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07E4" w14:textId="6503F146" w:rsidR="00DA6133" w:rsidRPr="00F74D0E" w:rsidRDefault="00DA6133" w:rsidP="001D78B3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74D0E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6C321D">
        <w:rPr>
          <w:rFonts w:ascii="Times New Roman" w:hAnsi="Times New Roman" w:cs="Times New Roman"/>
          <w:b/>
          <w:bCs/>
          <w:sz w:val="24"/>
          <w:szCs w:val="24"/>
        </w:rPr>
        <w:t xml:space="preserve"> ze zmianami</w:t>
      </w:r>
    </w:p>
    <w:p w14:paraId="0DB296DD" w14:textId="77777777" w:rsidR="00DA6133" w:rsidRPr="00F74D0E" w:rsidRDefault="00DA6133" w:rsidP="00DA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</w:t>
      </w:r>
      <w:r w:rsidRPr="00F74D0E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</w:p>
    <w:p w14:paraId="17525861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92039"/>
      <w:r w:rsidRPr="00F74D0E">
        <w:rPr>
          <w:rFonts w:ascii="Times New Roman" w:hAnsi="Times New Roman" w:cs="Times New Roman"/>
          <w:sz w:val="24"/>
          <w:szCs w:val="24"/>
        </w:rPr>
        <w:t>Część</w:t>
      </w:r>
      <w:bookmarkEnd w:id="0"/>
      <w:r w:rsidRPr="00F74D0E">
        <w:rPr>
          <w:rFonts w:ascii="Times New Roman" w:hAnsi="Times New Roman" w:cs="Times New Roman"/>
          <w:sz w:val="24"/>
          <w:szCs w:val="24"/>
        </w:rPr>
        <w:t xml:space="preserve"> 1 -  Odczynniki monoklonalne (opakowanie jednostkowe 5 ml – 10 ml):</w:t>
      </w:r>
    </w:p>
    <w:p w14:paraId="4D154EA4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anty-A klon I – 40 ml</w:t>
      </w:r>
    </w:p>
    <w:p w14:paraId="4576B568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anty-A klon II – 40 ml</w:t>
      </w:r>
    </w:p>
    <w:p w14:paraId="761A29B9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anty-B klon I – 40 ml </w:t>
      </w:r>
    </w:p>
    <w:p w14:paraId="64BFA154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anty-B klon II – 40 ml</w:t>
      </w:r>
    </w:p>
    <w:p w14:paraId="269D0EED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anty-D (RUM) klon I – 40 ml</w:t>
      </w:r>
    </w:p>
    <w:p w14:paraId="725253CA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anty-D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IgM+IgG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>) klon II – 40 ml</w:t>
      </w:r>
    </w:p>
    <w:p w14:paraId="5B656757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2 – Odczynniki monoklonalne do oznaczania fenotypów układów czerwonokrwinkowych (opakowanie jednostkowe 2 ml – 5 ml):</w:t>
      </w:r>
    </w:p>
    <w:p w14:paraId="5C3A514A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anty-C – 4 ml</w:t>
      </w:r>
    </w:p>
    <w:p w14:paraId="444D782C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anty-c – 4 ml</w:t>
      </w:r>
    </w:p>
    <w:p w14:paraId="6B080639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anty-E – 4 ml</w:t>
      </w:r>
    </w:p>
    <w:p w14:paraId="2DE3BB89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anty-e – 4 ml</w:t>
      </w:r>
    </w:p>
    <w:p w14:paraId="149E2FF1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C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8 ml</w:t>
      </w:r>
    </w:p>
    <w:p w14:paraId="13A1FAB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3 – Odczynniki monoklonalne do oznaczania fenotypów układów czerwonokrwinkowych w teście bezpośredniej aglutynacji (opakowanie jednostkowe 2 ml – 5 ml):</w:t>
      </w:r>
    </w:p>
    <w:p w14:paraId="481CAB07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anty-K – 4 ml</w:t>
      </w:r>
    </w:p>
    <w:p w14:paraId="0EDA163F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anty-k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Cellano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) – 40 ml </w:t>
      </w:r>
    </w:p>
    <w:p w14:paraId="5F94152C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anty-M – 60 ml</w:t>
      </w:r>
    </w:p>
    <w:p w14:paraId="4EFD3238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anty-N – 60 ml </w:t>
      </w:r>
    </w:p>
    <w:p w14:paraId="627C6423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anty-S – 30 ml</w:t>
      </w:r>
    </w:p>
    <w:p w14:paraId="591A6BBA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anty-s – 30 ml</w:t>
      </w:r>
    </w:p>
    <w:p w14:paraId="65A3B6AE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anty-Le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74D0E">
        <w:rPr>
          <w:rFonts w:ascii="Times New Roman" w:hAnsi="Times New Roman" w:cs="Times New Roman"/>
          <w:sz w:val="24"/>
          <w:szCs w:val="24"/>
        </w:rPr>
        <w:t xml:space="preserve"> – 26 ml</w:t>
      </w:r>
    </w:p>
    <w:p w14:paraId="54A41191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Le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26 ml</w:t>
      </w:r>
    </w:p>
    <w:p w14:paraId="3542D825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anty-P1 – 30 ml </w:t>
      </w:r>
    </w:p>
    <w:p w14:paraId="606ACF91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Jk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30 ml</w:t>
      </w:r>
    </w:p>
    <w:p w14:paraId="7CA9DC7E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Jk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30 ml</w:t>
      </w:r>
    </w:p>
    <w:p w14:paraId="4DB7CC22" w14:textId="77777777" w:rsidR="006C321D" w:rsidRPr="006C321D" w:rsidRDefault="00DA6133" w:rsidP="006C321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hAnsi="Times New Roman" w:cs="Times New Roman"/>
          <w:b/>
          <w:bCs/>
          <w:sz w:val="24"/>
          <w:szCs w:val="24"/>
        </w:rPr>
        <w:t>Część 4 –</w:t>
      </w:r>
      <w:r w:rsidRPr="006C321D">
        <w:rPr>
          <w:rFonts w:ascii="Times New Roman" w:hAnsi="Times New Roman" w:cs="Times New Roman"/>
          <w:sz w:val="24"/>
          <w:szCs w:val="24"/>
        </w:rPr>
        <w:t xml:space="preserve"> </w:t>
      </w:r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Odczynniki mono/ </w:t>
      </w:r>
      <w:proofErr w:type="spellStart"/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poliklonalne</w:t>
      </w:r>
      <w:proofErr w:type="spellEnd"/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oznaczania fenotypów układów czerwonokrwinkowych (opakowanie jednostkowe 2 ml - 5 ml):</w:t>
      </w:r>
    </w:p>
    <w:p w14:paraId="1F1F1A1B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anty-Kp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10 ml</w:t>
      </w:r>
    </w:p>
    <w:p w14:paraId="07394AEA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Kp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–10 ml</w:t>
      </w:r>
    </w:p>
    <w:p w14:paraId="3BFBA2F6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Lu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–10 ml</w:t>
      </w:r>
    </w:p>
    <w:p w14:paraId="3FA79ACC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anty-Lu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10 ml</w:t>
      </w:r>
    </w:p>
    <w:p w14:paraId="1BEA5F60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Fy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 ml</w:t>
      </w:r>
    </w:p>
    <w:p w14:paraId="0959A27F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Fy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 ml</w:t>
      </w:r>
    </w:p>
    <w:p w14:paraId="7F1484CD" w14:textId="4EBB9397" w:rsidR="006C321D" w:rsidRPr="00F74D0E" w:rsidRDefault="006C321D" w:rsidP="006C3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17625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5 – Odczynniki (</w:t>
      </w:r>
      <w:bookmarkStart w:id="1" w:name="_Hlk128131222"/>
      <w:r w:rsidRPr="00F74D0E">
        <w:rPr>
          <w:rFonts w:ascii="Times New Roman" w:hAnsi="Times New Roman" w:cs="Times New Roman"/>
          <w:sz w:val="24"/>
          <w:szCs w:val="24"/>
        </w:rPr>
        <w:t>opakowanie jednostkowe 2 ml</w:t>
      </w:r>
      <w:bookmarkEnd w:id="1"/>
      <w:r w:rsidRPr="00F74D0E">
        <w:rPr>
          <w:rFonts w:ascii="Times New Roman" w:hAnsi="Times New Roman" w:cs="Times New Roman"/>
          <w:sz w:val="24"/>
          <w:szCs w:val="24"/>
        </w:rPr>
        <w:t xml:space="preserve"> – 5ml):</w:t>
      </w:r>
    </w:p>
    <w:p w14:paraId="43AE1F17" w14:textId="77777777" w:rsidR="00DA6133" w:rsidRPr="00F74D0E" w:rsidRDefault="00DA6133" w:rsidP="00DA613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anty-H – 12 ml </w:t>
      </w:r>
    </w:p>
    <w:p w14:paraId="09EB914C" w14:textId="77777777" w:rsidR="00DA6133" w:rsidRPr="00F74D0E" w:rsidRDefault="00DA6133" w:rsidP="00DA613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anty-A</w:t>
      </w:r>
      <w:r w:rsidRPr="00F74D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4D0E">
        <w:rPr>
          <w:rFonts w:ascii="Times New Roman" w:hAnsi="Times New Roman" w:cs="Times New Roman"/>
          <w:sz w:val="24"/>
          <w:szCs w:val="24"/>
        </w:rPr>
        <w:t xml:space="preserve"> – 24 ml</w:t>
      </w:r>
    </w:p>
    <w:p w14:paraId="2D31BF37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6 – Odczynniki (opakowanie jednostkowe 2 ml – 5ml):</w:t>
      </w:r>
    </w:p>
    <w:p w14:paraId="68817A11" w14:textId="77777777" w:rsidR="00DA6133" w:rsidRPr="00F74D0E" w:rsidRDefault="00DA6133" w:rsidP="00DA613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lastRenderedPageBreak/>
        <w:t>Odczynnik anty-I – 4 ml</w:t>
      </w:r>
    </w:p>
    <w:p w14:paraId="4A34DD41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7 - Odczynniki (opakowanie jednostkowe 2 ml – 5ml):</w:t>
      </w:r>
    </w:p>
    <w:p w14:paraId="6918E2D9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Standard anty-D (płynny do techniki probówkowej) – 30 ml </w:t>
      </w:r>
    </w:p>
    <w:p w14:paraId="7AC38FAC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papainowy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14 ml </w:t>
      </w:r>
    </w:p>
    <w:p w14:paraId="3B6BA874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Roztwór glikolu polietylenowego 20% (PEG) do PTA – 180 ml </w:t>
      </w:r>
    </w:p>
    <w:p w14:paraId="2C2A446E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8 – Odczynniki (opakowanie jednostkowe 5 ml – 10 ml):</w:t>
      </w:r>
    </w:p>
    <w:p w14:paraId="6C900514" w14:textId="77777777" w:rsidR="00DA6133" w:rsidRPr="00F74D0E" w:rsidRDefault="00DA6133" w:rsidP="00DA613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antyglobulinowy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poliwalentny (anty-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+ C3) płynny – 100 ml </w:t>
      </w:r>
    </w:p>
    <w:p w14:paraId="6C1FB74A" w14:textId="77777777" w:rsidR="00DA6133" w:rsidRPr="00F74D0E" w:rsidRDefault="00DA6133" w:rsidP="00DA613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antyglobulinowy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monowalentny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(anty-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) płynny – 150 ml </w:t>
      </w:r>
    </w:p>
    <w:p w14:paraId="17C788C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Część 9 – Zestaw odczynników do kwaśnej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elucji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przeciwciał klasy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z krwinek czerwonych (pojemność opakowań jednostkowych w zestawie 5 ml – 30 ml) – 25 zestawów</w:t>
      </w:r>
    </w:p>
    <w:p w14:paraId="5CD7B7C6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10</w:t>
      </w:r>
    </w:p>
    <w:p w14:paraId="5AB21393" w14:textId="77777777" w:rsidR="00DA6133" w:rsidRPr="00F74D0E" w:rsidRDefault="00DA6133" w:rsidP="00DA6133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LISS (roztwór NaCl o niskiej sile jonowej – 0,03 mol/l, zakres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6,5-7,0) – butelki z zakraplaczem o pojemności 100 ml – 250 ml – 10 000 ml = 10 l</w:t>
      </w:r>
    </w:p>
    <w:p w14:paraId="7CA5D6C6" w14:textId="77777777" w:rsidR="00DA6133" w:rsidRPr="00F74D0E" w:rsidRDefault="00DA6133" w:rsidP="00DA6133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PBS – buforowany roztwór soli fizjologicznej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6,85 – 7,2) w butelkach o pojemności 500 ml – 1000 ml – 2 000 000 ml = 2 000 l</w:t>
      </w:r>
    </w:p>
    <w:p w14:paraId="012D6B1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Część 11 – Trombina wołowa 400j. do diagnostyki in vitro – 5 op. (1 op. x 10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>.)</w:t>
      </w:r>
    </w:p>
    <w:p w14:paraId="4672CA58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95C26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076609"/>
      <w:r w:rsidRPr="00F74D0E">
        <w:rPr>
          <w:rFonts w:ascii="Times New Roman" w:hAnsi="Times New Roman" w:cs="Times New Roman"/>
          <w:sz w:val="24"/>
          <w:szCs w:val="24"/>
        </w:rPr>
        <w:t>PARAMETRY DOTYCZĄCE POSZCZEGÓLNYCH CZĘŚCI</w:t>
      </w:r>
    </w:p>
    <w:bookmarkEnd w:id="2"/>
    <w:p w14:paraId="13E0FC5E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muszą być zgodne z wymaganiami zawartymi w Obwieszczeniu Ministra Zdrowia z dnia 30 marca 2021 w sprawie dobrej praktyki pobierania krwi i jej składników, badania, preparatyki, przechowywania, wydawania…” oraz odpowiadać wymogom Ustawy z dnia 7 kwietnia 2022 r o wyrobach medycznych i Rozporządzenia Ministra Zdrowia w sprawie wymagań zasadniczych oraz procedur oceny zgodności wyrobów medycznych do diagnostyki in vitro. Wraz z dostawą zostaną dostarczone ww. dokumenty.</w:t>
      </w:r>
    </w:p>
    <w:p w14:paraId="393E5E7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odczynników Wykonawca zobowiązany jest dołączyć dokumenty kontroli jakości serii (w języku polskim).</w:t>
      </w:r>
    </w:p>
    <w:p w14:paraId="28BADD8A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stosowania odczynników do badań w języku polskim dołączone do każdej dostarczanej partii odczynnika.</w:t>
      </w:r>
    </w:p>
    <w:p w14:paraId="23D1B699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spełniają wymagania dla jednostek organizacyjnych publicznej służby krwi. Zamawiający wymaga, aby oferowane odczynniki i surowice diagnostyczne stanowiące przedmiot zamówienia były wysokiej jakości.</w:t>
      </w:r>
    </w:p>
    <w:p w14:paraId="3F56DFA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jedna seria danego odczynnika w dostawie.</w:t>
      </w:r>
    </w:p>
    <w:p w14:paraId="02CEDBDE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w postaci płynnej gotowej bezpośrednio do użycia.</w:t>
      </w:r>
    </w:p>
    <w:p w14:paraId="54D5911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w oryginalnym opakowaniu z etykietą producenta.</w:t>
      </w:r>
    </w:p>
    <w:p w14:paraId="202BF71A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 procedurze stosowania odczynnika:</w:t>
      </w:r>
    </w:p>
    <w:p w14:paraId="51B35F76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warunków przechowywania,</w:t>
      </w:r>
    </w:p>
    <w:p w14:paraId="6962027D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okresu ważności danego odczynnika po otwarciu jego opakowania jednostkowego.</w:t>
      </w:r>
    </w:p>
    <w:p w14:paraId="70066055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 Odczynniki muszą być aktywne i swoiste (również po otwarciu buteleczki – do końca okresu ważności określonej przez Wytwórcę).</w:t>
      </w:r>
    </w:p>
    <w:p w14:paraId="3FAA7E70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opakowaniu jednostkowym, znajduje się wyraźna etykieta z nazwą produktu, datą ważności, oznaczeniem klonu i numeru serii oraz warunkami przechowywania.</w:t>
      </w:r>
    </w:p>
    <w:p w14:paraId="0AC15559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Opakowanie firmowe z nazwą producenta, nazwą produktu, ilością oraz informacjami jak w pkt. 10, zabezpieczone przed uszkodzeniem.</w:t>
      </w:r>
    </w:p>
    <w:p w14:paraId="35F3F5D3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odczynnika dołączona karta charakterystyki substancji (preparatu) niebezpiecznej zgodna z aktualnie obowiązującymi przepisami.</w:t>
      </w:r>
    </w:p>
    <w:p w14:paraId="6B2A65DC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28A54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19774" w14:textId="495881D8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131076558"/>
      <w:r w:rsidRPr="000471B0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Próbka każdego z odczynników – po jednej butelce – na potwierdzenie spełnienia</w:t>
      </w: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71B0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wymagań Zamawiającego pod względem swoistości i aktywności,  opisanych poniżej</w:t>
      </w:r>
      <w:r w:rsidR="002B0506" w:rsidRPr="000471B0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-dotyczy odczynników z części 1 do 5,części 8,odczynnika z poz. 1 części 7,</w:t>
      </w:r>
    </w:p>
    <w:bookmarkEnd w:id="3"/>
    <w:p w14:paraId="47ABF5F0" w14:textId="77777777" w:rsidR="00DA6133" w:rsidRPr="00F74D0E" w:rsidRDefault="00DA6133" w:rsidP="00DA6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6C5E4" w14:textId="77777777" w:rsidR="00DA6133" w:rsidRPr="00F74D0E" w:rsidRDefault="00DA6133" w:rsidP="00DA6133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</w:p>
    <w:p w14:paraId="3DE27D2B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anty-A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E89D15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A1: co najmniej 128 w teście probówkowym i co najmniej 32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DF0CE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A2: co najmniej 64 w teście probówkowym i co najmniej 16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FE4DA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8826195"/>
      <w:bookmarkStart w:id="5" w:name="_Hlk12882357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może wykazywać fałszywych reakcji aglutynacji z krwinkami wzorcowymi grupy O,</w:t>
      </w:r>
    </w:p>
    <w:p w14:paraId="6BF532A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28824237"/>
      <w:bookmarkEnd w:id="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wykazywać jednoznaczne reakcje aglutynacji z antygenami o osłabionej ekspresji (np. A</w:t>
      </w:r>
      <w:r w:rsidRPr="00F74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bookmarkEnd w:id="6"/>
    <w:p w14:paraId="38A4A1E8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być przeznaczony do bezpośredniego stosowania w technikach probówkowych 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4238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być barwiony zgodnie z międzynarodową konwencją.</w:t>
      </w:r>
    </w:p>
    <w:bookmarkEnd w:id="5"/>
    <w:p w14:paraId="31333773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anty-B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E30EF9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B: co najmniej 128 w teście probówkowym i co najmniej 32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C211EA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AB: co najmniej 64 w teście probówkowym i co najmniej 16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362555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może wykazywać fałszywych reakcji aglutynacji z krwinkami wzorcowymi grupy O,</w:t>
      </w:r>
    </w:p>
    <w:p w14:paraId="75431A39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wykazywać jednoznaczne reakcje aglutynacji z antygenami o osłabionej ekspresji (np. A</w:t>
      </w:r>
      <w:r w:rsidRPr="00F74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B),</w:t>
      </w:r>
    </w:p>
    <w:p w14:paraId="2A51EF9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być przeznaczony do bezpośredniego stosowania w technikach probówkowych 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609F6A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być barwiony zgodnie z międzynarodową konwencją.</w:t>
      </w:r>
    </w:p>
    <w:p w14:paraId="29D06426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9ED9F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o fenotypie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C+c+E-e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+: co najmniej 64 w teście probówkowym.</w:t>
      </w:r>
    </w:p>
    <w:p w14:paraId="7B1C1870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2882581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E286BB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mieć zdolność silnego reagowania (od 3+ do 4+)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(dodatnimi) o normalnej ekspresji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fenotypu Rh w technice probówkowej oraz w żelu,</w:t>
      </w:r>
    </w:p>
    <w:p w14:paraId="3057B27D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wykazywać reakcje aglutynacji ze wszystkimi próbkami krwi z antygenem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słaby i wariantami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kategorii DVI.</w:t>
      </w:r>
    </w:p>
    <w:bookmarkEnd w:id="7"/>
    <w:p w14:paraId="2F67374F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C199A2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mieć zdolność silnego reagowania (od 3+ do 4+)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(dodatnimi) o normalnej ekspresji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fenotypu Rh w technice probówkowej oraz w żelu,</w:t>
      </w:r>
    </w:p>
    <w:p w14:paraId="0F2F9DB8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musi wykazywać reakcje aglutynacji ze wszystkimi próbkami krwi z antygenem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słaby i wariantami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kategorią DVI, w teście bezpośredniej aglutynacji oraz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2425C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</w:t>
      </w:r>
      <w:bookmarkStart w:id="8" w:name="_Hlk128824128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przeznaczony do bezpośredniego stosowania w technikach probówkowych</w:t>
      </w:r>
      <w:bookmarkEnd w:id="8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może wykazywać fałszywych reakcji aglutynacji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(ujemnymi).</w:t>
      </w:r>
    </w:p>
    <w:p w14:paraId="277884D6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zastosowania do badania w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odczynnika monoklonalnego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klon II wykrywającego antygen DVI. Odczynniki przy pomocy, których wykonuje się oznaczenia w PTA, muszą nadawać się do wykonywania PTA techniką probówkową oraz na kartach żelowych.</w:t>
      </w:r>
    </w:p>
    <w:p w14:paraId="558CCF2C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czas inkubacji odczynników monoklonalnych (anty-A, anty-B, anty-D) z badanymi krwinkami maksymalnie do 5 minut. W przypadku odczynników anty-A i anty-B aglutynacja z zawiesiną krwinek powinna pojawić się po 10 sekundach i po 3 minutach osiągnąć nasilenie od 3 + do 4+. W przypadku odczynników anty-D, reakcja aglutynacji widoczna w pierwszej minucie od nakropienia, a po 5 minutach nasilenie aglutynacji nie może być mniejsze niż 3+.</w:t>
      </w:r>
    </w:p>
    <w:p w14:paraId="15F4A520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anty-D nie powinny zawierać dodatkowych składników, które mogą powodować fałszywie dodatnie reakcje, jeśli krwinki pacjenta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opłaszczone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 vivo przeciwciałami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F83CE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0220651C" w14:textId="77777777" w:rsidR="00DA6133" w:rsidRPr="00F74D0E" w:rsidRDefault="00DA6133" w:rsidP="00DA613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</w:p>
    <w:p w14:paraId="2FD38C89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wykazują miano w teście probówkowym nie niższe niż 16 z krwinkami heterozygotycznymi w danym antygenie.</w:t>
      </w:r>
    </w:p>
    <w:p w14:paraId="61C32170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mieć zdolność bezpośredniego i silnego reagowania z próbkami krwi zawierającymi dany antygen niezależnie od fenotypu.</w:t>
      </w:r>
    </w:p>
    <w:p w14:paraId="15E6A2FA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wykazywać fałszywych reakcji aglutynacji z krwinkami wzorcowymi ujemnymi pod względem danego antygenu.</w:t>
      </w:r>
    </w:p>
    <w:p w14:paraId="4C0709C4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wykazywać w pierwszej minucie od nakropienia zachodzącą reakcję aglutynacji a po 5 minutach nasilenie aglutynacji nie może być niższe niż 3+.</w:t>
      </w:r>
    </w:p>
    <w:p w14:paraId="450E7FD7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28827437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do stosowania w technikach probówkowych oraz w żelu</w:t>
      </w:r>
      <w:bookmarkEnd w:id="9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3A90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59128FE3" w14:textId="77777777" w:rsidR="00DA6133" w:rsidRPr="00F74D0E" w:rsidRDefault="00DA6133" w:rsidP="00DA613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Hlk129692799"/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</w:p>
    <w:bookmarkEnd w:id="10"/>
    <w:p w14:paraId="3826CEAF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43D3D389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28827167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płynnej do stosowania w testach bezpośredniej aglutynacji.</w:t>
      </w:r>
    </w:p>
    <w:p w14:paraId="3066FEF2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do stosowania w technikach probówkowych oraz/ lub w żelu.</w:t>
      </w:r>
    </w:p>
    <w:p w14:paraId="7A4F4B06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wykazywać jednoznaczne i specyficzne reakcje serologiczne.</w:t>
      </w:r>
    </w:p>
    <w:bookmarkEnd w:id="11"/>
    <w:p w14:paraId="4EFE1F76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zastosowania odczynników do oznaczania antygenów u pacjentów z dodatnim bezpośrednim testem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(BTA).</w:t>
      </w:r>
    </w:p>
    <w:p w14:paraId="11A86983" w14:textId="77777777" w:rsidR="006C321D" w:rsidRPr="006C321D" w:rsidRDefault="00DA6133" w:rsidP="006C321D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4,5,6</w:t>
      </w:r>
      <w:r w:rsidR="006C321D"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BCAA54C" w14:textId="1EF3FFC8" w:rsidR="006C321D" w:rsidRPr="006C321D" w:rsidRDefault="006C321D" w:rsidP="006C321D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18340EFB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Odczynniki w postaci płynnej bezpośrednio gotowej do użycia. Dopuszcza się odczynnik anty-I (część 6 ) i odczynnik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papainowy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(część 7 poz. 2) w postaci liofilizowanej z dołączonym rozpuszczalnikiem. W przypadku odczynników w postaci liofilizowanej podanie w procedurze stosowania odczynnika, terminu ważności odczynnika po jego rozpuszczeniu.</w:t>
      </w:r>
    </w:p>
    <w:p w14:paraId="202F79C5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Odczynniki mono- lub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poliklonalne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stosowania w testach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antyglobulinowych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klasy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IgM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stosowania w testach bezpośredniej aglutynacji – dotyczy części IV.</w:t>
      </w:r>
    </w:p>
    <w:p w14:paraId="585F3216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Muszą wykazywać jednoznaczne i specyficzne reakcje serologiczne.</w:t>
      </w:r>
    </w:p>
    <w:p w14:paraId="571166AF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Przeznaczone do stosowania w technikach probówkowych oraz w żelu.</w:t>
      </w:r>
    </w:p>
    <w:p w14:paraId="7B7C1F8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7,8</w:t>
      </w:r>
    </w:p>
    <w:p w14:paraId="63D20D07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0C4AABF9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muszą mieć postać płynną, być przejrzyste, bez osadu.</w:t>
      </w:r>
    </w:p>
    <w:p w14:paraId="27B42E8C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anty-D musi zawierać przeciwciała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stężeniu umożliwiającym kontrolę prawidłowości wykonania testu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antyglobulinowego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enzymatycznego. Musi aglutynować krwinki wzorcowe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z nasileniem reakcji maksymalnie 2+. Nie może wykazywać reakcji aglutynacji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(ujemnymi).</w:t>
      </w:r>
    </w:p>
    <w:p w14:paraId="466A8873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papainowy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tracić aktywności po otwarciu i pozostawieniu go w temperaturze pokojowej przez okres 8 godzin (na czas pracy).</w:t>
      </w:r>
    </w:p>
    <w:p w14:paraId="00018A95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28828176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poliwalentny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C3) musi wykrywać przeciwciała zaadsorbowane na krwinkach czerwonych w bezpośrednim i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bookmarkEnd w:id="12"/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Musi zawierać przeciwciała przeciw ludzkim globulinom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składowym układu dopełniacza C3b i C3d.</w:t>
      </w:r>
    </w:p>
    <w:p w14:paraId="562E31B2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monowalentny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wykrywać przeciwciała zaadsorbowane na krwinkach czerwonych w bezpośrednim i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Musi posiadać wysoką czułość i specyficzność wobec krwinek czerwonych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przeciwciałami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może wykazywać czułości w stosunku do krwinek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składnikami C3b i C3d dopełniacza. Nie może zawierać przeciwciał o reaktywności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IgA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anty-C3 i anty-C4.</w:t>
      </w:r>
    </w:p>
    <w:p w14:paraId="4535630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9</w:t>
      </w:r>
    </w:p>
    <w:p w14:paraId="2C2460A1" w14:textId="77777777" w:rsidR="00DA6133" w:rsidRPr="00F74D0E" w:rsidRDefault="00DA6133" w:rsidP="00DA613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pakowane w zestawy (w 1 zestawie – 3 odczynniki: bufor 0,1M glicyna/HCl –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1,5; 10% EDTA-Na2; 1M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Tris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/NaCl).</w:t>
      </w:r>
    </w:p>
    <w:p w14:paraId="0A9BC19B" w14:textId="77777777" w:rsidR="00DA6133" w:rsidRPr="00F74D0E" w:rsidRDefault="00DA6133" w:rsidP="00DA613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145F04DE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10</w:t>
      </w:r>
    </w:p>
    <w:p w14:paraId="1C4A7CE9" w14:textId="77777777" w:rsidR="00DA6133" w:rsidRPr="00F74D0E" w:rsidRDefault="00DA6133" w:rsidP="00DA613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 – odczynnik LISS: roztwór NaCl o niskiej sile jonowej – 0,03 mol/l w postaci gotowej do użycia, zakres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6,5-7,0, opakowanie o pojemności 100 – 250 ml – butelka jednorazowego użytku, wykonana z tworzywa sztucznego z dołączonym zakraplaczem oraz zabezpieczeniem, które gwarantuje, że produkt nie był wcześniej otwierany, możliwość przechowywania w temperaturze pokojowej, 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</w:t>
      </w:r>
    </w:p>
    <w:p w14:paraId="70A6BC53" w14:textId="77777777" w:rsidR="00DA6133" w:rsidRPr="00F74D0E" w:rsidRDefault="00DA6133" w:rsidP="00DA613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 – PBS - buforowany roztwór soli fizjologicznej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6,85 – 7,2) w postaci gotowej do użycia, opakowanie o pojemności 500 – 1000 ml- butelka jednorazowego użytku, wykonana z tworzywa sztucznego z dołączonym zakraplaczem oraz zabezpieczeniem, które gwarantuje, że produkt nie był wcześniej otwierany, możliwość przechowywania 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temperaturze pokojowej, 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</w:t>
      </w:r>
    </w:p>
    <w:p w14:paraId="4793B982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11</w:t>
      </w:r>
    </w:p>
    <w:p w14:paraId="094085B9" w14:textId="77777777" w:rsidR="00DA6133" w:rsidRPr="00F74D0E" w:rsidRDefault="00DA6133" w:rsidP="00DA61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buteleczkach/fiolkach. Firmowe opakowania zbiorcze powinny posiadać zabezpieczenie gwarantujące, że nie były one wcześniej otwierane.</w:t>
      </w:r>
    </w:p>
    <w:p w14:paraId="39A1758E" w14:textId="0B56C75A" w:rsidR="00C61AD5" w:rsidRDefault="00DA6133" w:rsidP="00DA6133"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 w postaci liofilizowanej. Podanie w procedurze stosowania odczynnika, terminu ważności odczynnika po jego rozpuszczeniu</w:t>
      </w:r>
    </w:p>
    <w:sectPr w:rsidR="00C6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BF"/>
    <w:multiLevelType w:val="hybridMultilevel"/>
    <w:tmpl w:val="2DBC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68A"/>
    <w:multiLevelType w:val="hybridMultilevel"/>
    <w:tmpl w:val="A2F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801"/>
    <w:multiLevelType w:val="hybridMultilevel"/>
    <w:tmpl w:val="7CD8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FB3"/>
    <w:multiLevelType w:val="hybridMultilevel"/>
    <w:tmpl w:val="35AC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788C"/>
    <w:multiLevelType w:val="hybridMultilevel"/>
    <w:tmpl w:val="E05E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47E"/>
    <w:multiLevelType w:val="hybridMultilevel"/>
    <w:tmpl w:val="9322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56BA"/>
    <w:multiLevelType w:val="hybridMultilevel"/>
    <w:tmpl w:val="845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26B5"/>
    <w:multiLevelType w:val="hybridMultilevel"/>
    <w:tmpl w:val="D50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450"/>
    <w:multiLevelType w:val="hybridMultilevel"/>
    <w:tmpl w:val="C0C0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0A"/>
    <w:multiLevelType w:val="hybridMultilevel"/>
    <w:tmpl w:val="370A0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8CC"/>
    <w:multiLevelType w:val="hybridMultilevel"/>
    <w:tmpl w:val="D53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2881"/>
    <w:multiLevelType w:val="hybridMultilevel"/>
    <w:tmpl w:val="2A5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294"/>
    <w:multiLevelType w:val="hybridMultilevel"/>
    <w:tmpl w:val="253A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68AA"/>
    <w:multiLevelType w:val="hybridMultilevel"/>
    <w:tmpl w:val="370A0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2005"/>
    <w:multiLevelType w:val="hybridMultilevel"/>
    <w:tmpl w:val="6DA4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667C"/>
    <w:multiLevelType w:val="hybridMultilevel"/>
    <w:tmpl w:val="BE92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7CCB"/>
    <w:multiLevelType w:val="hybridMultilevel"/>
    <w:tmpl w:val="1FEC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FC9"/>
    <w:multiLevelType w:val="hybridMultilevel"/>
    <w:tmpl w:val="1466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56037">
    <w:abstractNumId w:val="12"/>
  </w:num>
  <w:num w:numId="2" w16cid:durableId="130094306">
    <w:abstractNumId w:val="13"/>
  </w:num>
  <w:num w:numId="3" w16cid:durableId="1735280329">
    <w:abstractNumId w:val="1"/>
  </w:num>
  <w:num w:numId="4" w16cid:durableId="1039935818">
    <w:abstractNumId w:val="9"/>
  </w:num>
  <w:num w:numId="5" w16cid:durableId="715084555">
    <w:abstractNumId w:val="5"/>
  </w:num>
  <w:num w:numId="6" w16cid:durableId="277952919">
    <w:abstractNumId w:val="10"/>
  </w:num>
  <w:num w:numId="7" w16cid:durableId="209928521">
    <w:abstractNumId w:val="7"/>
  </w:num>
  <w:num w:numId="8" w16cid:durableId="1115245999">
    <w:abstractNumId w:val="8"/>
  </w:num>
  <w:num w:numId="9" w16cid:durableId="1796295104">
    <w:abstractNumId w:val="4"/>
  </w:num>
  <w:num w:numId="10" w16cid:durableId="41947800">
    <w:abstractNumId w:val="3"/>
  </w:num>
  <w:num w:numId="11" w16cid:durableId="21909020">
    <w:abstractNumId w:val="2"/>
  </w:num>
  <w:num w:numId="12" w16cid:durableId="1086921349">
    <w:abstractNumId w:val="0"/>
  </w:num>
  <w:num w:numId="13" w16cid:durableId="559445379">
    <w:abstractNumId w:val="15"/>
  </w:num>
  <w:num w:numId="14" w16cid:durableId="2121413892">
    <w:abstractNumId w:val="16"/>
  </w:num>
  <w:num w:numId="15" w16cid:durableId="169224359">
    <w:abstractNumId w:val="14"/>
  </w:num>
  <w:num w:numId="16" w16cid:durableId="1292858823">
    <w:abstractNumId w:val="17"/>
  </w:num>
  <w:num w:numId="17" w16cid:durableId="824132105">
    <w:abstractNumId w:val="6"/>
  </w:num>
  <w:num w:numId="18" w16cid:durableId="251161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33"/>
    <w:rsid w:val="000471B0"/>
    <w:rsid w:val="001D78B3"/>
    <w:rsid w:val="002B0506"/>
    <w:rsid w:val="00316967"/>
    <w:rsid w:val="006C321D"/>
    <w:rsid w:val="00744B39"/>
    <w:rsid w:val="00C61AD5"/>
    <w:rsid w:val="00C92ED5"/>
    <w:rsid w:val="00DA6133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8A10"/>
  <w15:chartTrackingRefBased/>
  <w15:docId w15:val="{37282428-3E1D-4A40-A2AF-6E37AF9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2</cp:revision>
  <dcterms:created xsi:type="dcterms:W3CDTF">2023-03-31T12:19:00Z</dcterms:created>
  <dcterms:modified xsi:type="dcterms:W3CDTF">2023-03-31T12:19:00Z</dcterms:modified>
</cp:coreProperties>
</file>