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5F48E8E"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943F21">
        <w:rPr>
          <w:sz w:val="20"/>
          <w:szCs w:val="20"/>
        </w:rPr>
        <w:t>szybkich testów laboratoryjnych oraz barwników</w:t>
      </w:r>
    </w:p>
    <w:p w14:paraId="681A97EA" w14:textId="77777777" w:rsidR="009940D8" w:rsidRPr="00A16576" w:rsidRDefault="009940D8" w:rsidP="00A16576">
      <w:pPr>
        <w:spacing w:line="360" w:lineRule="auto"/>
        <w:rPr>
          <w:sz w:val="20"/>
          <w:szCs w:val="20"/>
        </w:rPr>
      </w:pPr>
    </w:p>
    <w:p w14:paraId="00000011" w14:textId="073F145D"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51DF4">
        <w:rPr>
          <w:b/>
          <w:sz w:val="20"/>
          <w:szCs w:val="20"/>
        </w:rPr>
        <w:t>1</w:t>
      </w:r>
      <w:r w:rsidR="00943F21">
        <w:rPr>
          <w:b/>
          <w:sz w:val="20"/>
          <w:szCs w:val="20"/>
        </w:rPr>
        <w:t>0</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17E306CB" w:rsidR="001F0474" w:rsidRDefault="00051DF4">
      <w:pPr>
        <w:jc w:val="center"/>
        <w:rPr>
          <w:b/>
          <w:sz w:val="24"/>
          <w:szCs w:val="24"/>
        </w:rPr>
      </w:pPr>
      <w:r>
        <w:rPr>
          <w:b/>
          <w:sz w:val="24"/>
          <w:szCs w:val="24"/>
        </w:rPr>
        <w:t>26</w:t>
      </w:r>
      <w:r w:rsidR="002A5721" w:rsidRPr="002A5721">
        <w:rPr>
          <w:b/>
          <w:sz w:val="24"/>
          <w:szCs w:val="24"/>
        </w:rPr>
        <w:t>.</w:t>
      </w:r>
      <w:r w:rsidR="00153215">
        <w:rPr>
          <w:b/>
          <w:sz w:val="24"/>
          <w:szCs w:val="24"/>
        </w:rPr>
        <w:t>0</w:t>
      </w:r>
      <w:r>
        <w:rPr>
          <w:b/>
          <w:sz w:val="24"/>
          <w:szCs w:val="24"/>
        </w:rPr>
        <w:t>9</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19E2AD0D" w:rsidR="004831C1" w:rsidRPr="00792D4E" w:rsidRDefault="00942A9A" w:rsidP="00792D4E">
      <w:pPr>
        <w:spacing w:line="360" w:lineRule="auto"/>
        <w:jc w:val="both"/>
        <w:rPr>
          <w:sz w:val="20"/>
          <w:szCs w:val="20"/>
        </w:rPr>
      </w:pPr>
      <w:r w:rsidRPr="00792D4E">
        <w:rPr>
          <w:b/>
          <w:sz w:val="20"/>
          <w:szCs w:val="20"/>
        </w:rPr>
        <w:t>1.</w:t>
      </w:r>
      <w:r w:rsidRPr="00792D4E">
        <w:rPr>
          <w:sz w:val="20"/>
          <w:szCs w:val="20"/>
        </w:rPr>
        <w:t xml:space="preserve"> </w:t>
      </w:r>
      <w:r w:rsidR="000F7C1B" w:rsidRPr="00792D4E">
        <w:rPr>
          <w:sz w:val="20"/>
          <w:szCs w:val="20"/>
        </w:rPr>
        <w:t>Przedmiotem zamówienia są</w:t>
      </w:r>
      <w:r w:rsidR="002E5E0D" w:rsidRPr="00792D4E">
        <w:rPr>
          <w:sz w:val="20"/>
          <w:szCs w:val="20"/>
        </w:rPr>
        <w:t xml:space="preserve"> </w:t>
      </w:r>
      <w:r w:rsidR="004831C1" w:rsidRPr="00792D4E">
        <w:rPr>
          <w:sz w:val="20"/>
          <w:szCs w:val="20"/>
        </w:rPr>
        <w:t>dostawy</w:t>
      </w:r>
      <w:r w:rsidR="00051DF4" w:rsidRPr="00792D4E">
        <w:rPr>
          <w:sz w:val="20"/>
          <w:szCs w:val="20"/>
        </w:rPr>
        <w:t xml:space="preserve"> </w:t>
      </w:r>
      <w:r w:rsidR="00C0219C" w:rsidRPr="00792D4E">
        <w:rPr>
          <w:sz w:val="20"/>
          <w:szCs w:val="20"/>
        </w:rPr>
        <w:t xml:space="preserve">szybkich testów laboratoryjnych </w:t>
      </w:r>
      <w:r w:rsidR="00792D4E" w:rsidRPr="00792D4E">
        <w:rPr>
          <w:sz w:val="20"/>
          <w:szCs w:val="20"/>
        </w:rPr>
        <w:t>oraz</w:t>
      </w:r>
      <w:r w:rsidR="00C0219C" w:rsidRPr="00792D4E">
        <w:rPr>
          <w:sz w:val="20"/>
          <w:szCs w:val="20"/>
        </w:rPr>
        <w:t xml:space="preserve"> barwników </w:t>
      </w:r>
      <w:r w:rsidR="00F3773D" w:rsidRPr="00792D4E">
        <w:rPr>
          <w:sz w:val="20"/>
          <w:szCs w:val="20"/>
        </w:rPr>
        <w:t>w</w:t>
      </w:r>
      <w:r w:rsidR="009D33BF" w:rsidRPr="00792D4E">
        <w:rPr>
          <w:sz w:val="20"/>
          <w:szCs w:val="20"/>
        </w:rPr>
        <w:t xml:space="preserve"> asortymencie oraz ilościach </w:t>
      </w:r>
      <w:r w:rsidR="000F7C1B" w:rsidRPr="00792D4E">
        <w:rPr>
          <w:sz w:val="20"/>
          <w:szCs w:val="20"/>
        </w:rPr>
        <w:t>szczegółowo określon</w:t>
      </w:r>
      <w:r w:rsidR="009D33BF" w:rsidRPr="00792D4E">
        <w:rPr>
          <w:sz w:val="20"/>
          <w:szCs w:val="20"/>
        </w:rPr>
        <w:t>ych</w:t>
      </w:r>
      <w:r w:rsidR="004831C1" w:rsidRPr="00792D4E">
        <w:rPr>
          <w:sz w:val="20"/>
          <w:szCs w:val="20"/>
        </w:rPr>
        <w:t xml:space="preserve"> </w:t>
      </w:r>
      <w:r w:rsidR="000F7C1B" w:rsidRPr="00792D4E">
        <w:rPr>
          <w:sz w:val="20"/>
          <w:szCs w:val="20"/>
        </w:rPr>
        <w:t xml:space="preserve">w </w:t>
      </w:r>
      <w:r w:rsidR="004831C1" w:rsidRPr="00792D4E">
        <w:rPr>
          <w:sz w:val="20"/>
          <w:szCs w:val="20"/>
        </w:rPr>
        <w:t>formularzu asortymentowo-</w:t>
      </w:r>
      <w:r w:rsidR="000F7C1B" w:rsidRPr="00792D4E">
        <w:rPr>
          <w:sz w:val="20"/>
          <w:szCs w:val="20"/>
        </w:rPr>
        <w:t xml:space="preserve">cenowym </w:t>
      </w:r>
      <w:r w:rsidR="00FC24DB" w:rsidRPr="00792D4E">
        <w:rPr>
          <w:sz w:val="20"/>
          <w:szCs w:val="20"/>
        </w:rPr>
        <w:t xml:space="preserve">stanowiącym </w:t>
      </w:r>
      <w:r w:rsidR="00F401B1" w:rsidRPr="00792D4E">
        <w:rPr>
          <w:b/>
          <w:sz w:val="20"/>
          <w:szCs w:val="20"/>
        </w:rPr>
        <w:t xml:space="preserve">Załącznik </w:t>
      </w:r>
      <w:r w:rsidR="00FC24DB" w:rsidRPr="00792D4E">
        <w:rPr>
          <w:b/>
          <w:sz w:val="20"/>
          <w:szCs w:val="20"/>
        </w:rPr>
        <w:t xml:space="preserve">nr </w:t>
      </w:r>
      <w:r w:rsidR="004831C1" w:rsidRPr="00792D4E">
        <w:rPr>
          <w:b/>
          <w:sz w:val="20"/>
          <w:szCs w:val="20"/>
        </w:rPr>
        <w:t>1</w:t>
      </w:r>
      <w:r w:rsidR="00FC24DB" w:rsidRPr="00792D4E">
        <w:rPr>
          <w:b/>
          <w:sz w:val="20"/>
          <w:szCs w:val="20"/>
        </w:rPr>
        <w:t xml:space="preserve"> do S</w:t>
      </w:r>
      <w:r w:rsidR="000F7C1B" w:rsidRPr="00792D4E">
        <w:rPr>
          <w:b/>
          <w:sz w:val="20"/>
          <w:szCs w:val="20"/>
        </w:rPr>
        <w:t>WZ</w:t>
      </w:r>
      <w:r w:rsidR="00FF0F43" w:rsidRPr="00792D4E">
        <w:rPr>
          <w:sz w:val="20"/>
          <w:szCs w:val="20"/>
        </w:rPr>
        <w:t>.</w:t>
      </w:r>
    </w:p>
    <w:p w14:paraId="50B1EDCF" w14:textId="1EB395BE" w:rsidR="00586763" w:rsidRPr="00792D4E" w:rsidRDefault="00F401B1" w:rsidP="00792D4E">
      <w:pPr>
        <w:pStyle w:val="Tekstpodstawowy3"/>
        <w:spacing w:line="360" w:lineRule="auto"/>
        <w:rPr>
          <w:rFonts w:cs="Arial"/>
          <w:b/>
          <w:sz w:val="20"/>
          <w:u w:val="single"/>
        </w:rPr>
      </w:pPr>
      <w:r w:rsidRPr="00792D4E">
        <w:rPr>
          <w:rFonts w:cs="Arial"/>
          <w:b/>
          <w:sz w:val="20"/>
          <w:u w:val="single"/>
        </w:rPr>
        <w:t>Z</w:t>
      </w:r>
      <w:r w:rsidR="00586763" w:rsidRPr="00792D4E">
        <w:rPr>
          <w:rFonts w:cs="Arial"/>
          <w:b/>
          <w:sz w:val="20"/>
          <w:u w:val="single"/>
        </w:rPr>
        <w:t>aoferowany asortyment musi być zgodny z wymaganiami określonymi przez Zamawiającego.</w:t>
      </w:r>
    </w:p>
    <w:p w14:paraId="54FD02E7" w14:textId="51E3613D" w:rsidR="00586763" w:rsidRPr="00792D4E" w:rsidRDefault="00586763" w:rsidP="00792D4E">
      <w:pPr>
        <w:spacing w:line="360" w:lineRule="auto"/>
        <w:jc w:val="both"/>
        <w:rPr>
          <w:sz w:val="20"/>
          <w:szCs w:val="20"/>
        </w:rPr>
      </w:pPr>
      <w:r w:rsidRPr="00792D4E">
        <w:rPr>
          <w:sz w:val="20"/>
          <w:szCs w:val="20"/>
        </w:rPr>
        <w:t xml:space="preserve">Szczegółowy opis przedmiotu zamówienia zamieszczony w </w:t>
      </w:r>
      <w:r w:rsidR="00F401B1" w:rsidRPr="00792D4E">
        <w:rPr>
          <w:sz w:val="20"/>
          <w:szCs w:val="20"/>
        </w:rPr>
        <w:t xml:space="preserve">formularzu </w:t>
      </w:r>
      <w:r w:rsidRPr="00792D4E">
        <w:rPr>
          <w:sz w:val="20"/>
          <w:szCs w:val="20"/>
        </w:rPr>
        <w:t xml:space="preserve">asortymentowo-cenowym stanowiącym </w:t>
      </w:r>
      <w:r w:rsidRPr="00792D4E">
        <w:rPr>
          <w:b/>
          <w:sz w:val="20"/>
          <w:szCs w:val="20"/>
        </w:rPr>
        <w:t>Załącznik nr 1 do SWZ</w:t>
      </w:r>
      <w:r w:rsidRPr="00792D4E">
        <w:rPr>
          <w:sz w:val="20"/>
          <w:szCs w:val="20"/>
        </w:rPr>
        <w:t xml:space="preserve"> zawiera standardy jakościowe odnoszące się do wszystkich istotnych cech przedmiotu zamówienia. </w:t>
      </w:r>
    </w:p>
    <w:p w14:paraId="3D1807C9" w14:textId="1D2266F2" w:rsidR="002E5E0D" w:rsidRPr="00792D4E" w:rsidRDefault="002E5E0D" w:rsidP="00792D4E">
      <w:pPr>
        <w:spacing w:line="360" w:lineRule="auto"/>
        <w:jc w:val="both"/>
        <w:rPr>
          <w:sz w:val="20"/>
          <w:szCs w:val="20"/>
        </w:rPr>
      </w:pPr>
      <w:r w:rsidRPr="00792D4E">
        <w:rPr>
          <w:b/>
          <w:sz w:val="20"/>
          <w:szCs w:val="20"/>
        </w:rPr>
        <w:t>2.</w:t>
      </w:r>
      <w:r w:rsidRPr="00792D4E">
        <w:rPr>
          <w:sz w:val="20"/>
          <w:szCs w:val="20"/>
        </w:rPr>
        <w:t xml:space="preserve"> Przedmiot zamówienia </w:t>
      </w:r>
      <w:r w:rsidR="00792D4E" w:rsidRPr="00792D4E">
        <w:rPr>
          <w:sz w:val="20"/>
          <w:szCs w:val="20"/>
        </w:rPr>
        <w:t xml:space="preserve">nie </w:t>
      </w:r>
      <w:r w:rsidRPr="00792D4E">
        <w:rPr>
          <w:sz w:val="20"/>
          <w:szCs w:val="20"/>
        </w:rPr>
        <w:t xml:space="preserve">został podzielony na </w:t>
      </w:r>
      <w:r w:rsidR="00792D4E" w:rsidRPr="00792D4E">
        <w:rPr>
          <w:sz w:val="20"/>
          <w:szCs w:val="20"/>
        </w:rPr>
        <w:t>grupy</w:t>
      </w:r>
      <w:r w:rsidRPr="00792D4E">
        <w:rPr>
          <w:sz w:val="20"/>
          <w:szCs w:val="20"/>
        </w:rPr>
        <w:t xml:space="preserve">, w związku z czym Zamawiający </w:t>
      </w:r>
      <w:r w:rsidR="00792D4E" w:rsidRPr="00792D4E">
        <w:rPr>
          <w:sz w:val="20"/>
          <w:szCs w:val="20"/>
        </w:rPr>
        <w:t>nie dopuszcza składania</w:t>
      </w:r>
      <w:r w:rsidRPr="00792D4E">
        <w:rPr>
          <w:sz w:val="20"/>
          <w:szCs w:val="20"/>
        </w:rPr>
        <w:t xml:space="preserve"> ofert częściowych.</w:t>
      </w:r>
      <w:r w:rsidR="00821B02" w:rsidRPr="00792D4E">
        <w:rPr>
          <w:sz w:val="20"/>
          <w:szCs w:val="20"/>
        </w:rPr>
        <w:t xml:space="preserve"> </w:t>
      </w:r>
    </w:p>
    <w:p w14:paraId="00000071" w14:textId="4F886CE6" w:rsidR="001F0474" w:rsidRPr="00792D4E" w:rsidRDefault="00362D1C" w:rsidP="00792D4E">
      <w:pPr>
        <w:spacing w:line="360" w:lineRule="auto"/>
        <w:jc w:val="both"/>
        <w:rPr>
          <w:sz w:val="20"/>
          <w:szCs w:val="20"/>
        </w:rPr>
      </w:pPr>
      <w:r w:rsidRPr="00792D4E">
        <w:rPr>
          <w:b/>
          <w:sz w:val="20"/>
          <w:szCs w:val="20"/>
        </w:rPr>
        <w:t>3</w:t>
      </w:r>
      <w:r w:rsidR="005A5770" w:rsidRPr="00792D4E">
        <w:rPr>
          <w:b/>
          <w:sz w:val="20"/>
          <w:szCs w:val="20"/>
        </w:rPr>
        <w:t>.</w:t>
      </w:r>
      <w:r w:rsidR="005A5770" w:rsidRPr="00792D4E">
        <w:rPr>
          <w:sz w:val="20"/>
          <w:szCs w:val="20"/>
        </w:rPr>
        <w:t xml:space="preserve"> </w:t>
      </w:r>
      <w:r w:rsidR="000534DE" w:rsidRPr="00792D4E">
        <w:rPr>
          <w:sz w:val="20"/>
          <w:szCs w:val="20"/>
        </w:rPr>
        <w:t xml:space="preserve">Wspólny Słownik Zamówień CPV: </w:t>
      </w:r>
    </w:p>
    <w:p w14:paraId="48505F07" w14:textId="77777777" w:rsidR="00680C36" w:rsidRPr="00792D4E" w:rsidRDefault="00680C36" w:rsidP="00680C36">
      <w:pPr>
        <w:pStyle w:val="Tekstpodstawowy2"/>
        <w:spacing w:line="360" w:lineRule="auto"/>
        <w:rPr>
          <w:rFonts w:cs="Arial"/>
          <w:sz w:val="20"/>
        </w:rPr>
      </w:pPr>
      <w:r w:rsidRPr="00792D4E">
        <w:rPr>
          <w:rFonts w:cs="Arial"/>
          <w:sz w:val="20"/>
        </w:rPr>
        <w:t>33696500-0 odczynniki laboratoryjne</w:t>
      </w:r>
    </w:p>
    <w:p w14:paraId="1F77F0FB" w14:textId="77777777" w:rsidR="00792D4E" w:rsidRPr="00792D4E" w:rsidRDefault="00792D4E" w:rsidP="00792D4E">
      <w:pPr>
        <w:pStyle w:val="Tekstpodstawowy2"/>
        <w:spacing w:line="360" w:lineRule="auto"/>
        <w:rPr>
          <w:rFonts w:cs="Arial"/>
          <w:sz w:val="20"/>
        </w:rPr>
      </w:pPr>
      <w:r w:rsidRPr="00792D4E">
        <w:rPr>
          <w:rFonts w:cs="Arial"/>
          <w:sz w:val="20"/>
        </w:rPr>
        <w:t>33192500-7 probówki</w:t>
      </w:r>
    </w:p>
    <w:p w14:paraId="00000074" w14:textId="0F6F0CCB" w:rsidR="001F0474" w:rsidRPr="00792D4E" w:rsidRDefault="00DA70EF" w:rsidP="00792D4E">
      <w:pPr>
        <w:spacing w:line="360" w:lineRule="auto"/>
        <w:jc w:val="both"/>
        <w:rPr>
          <w:sz w:val="20"/>
          <w:szCs w:val="20"/>
        </w:rPr>
      </w:pPr>
      <w:r w:rsidRPr="00792D4E">
        <w:rPr>
          <w:b/>
          <w:sz w:val="20"/>
          <w:szCs w:val="20"/>
        </w:rPr>
        <w:t>4.</w:t>
      </w:r>
      <w:r w:rsidRPr="00792D4E">
        <w:rPr>
          <w:sz w:val="20"/>
          <w:szCs w:val="20"/>
        </w:rPr>
        <w:t xml:space="preserve"> </w:t>
      </w:r>
      <w:r w:rsidR="000534DE" w:rsidRPr="00792D4E">
        <w:rPr>
          <w:sz w:val="20"/>
          <w:szCs w:val="20"/>
        </w:rPr>
        <w:t>Zamawiający nie dopuszcza składania ofert wariantowych</w:t>
      </w:r>
      <w:r w:rsidR="00FF0F43" w:rsidRPr="00792D4E">
        <w:rPr>
          <w:sz w:val="20"/>
          <w:szCs w:val="20"/>
        </w:rPr>
        <w:t>.</w:t>
      </w:r>
    </w:p>
    <w:p w14:paraId="00000075" w14:textId="491F6FA0" w:rsidR="001F0474" w:rsidRPr="00792D4E" w:rsidRDefault="00DA70EF" w:rsidP="00792D4E">
      <w:pPr>
        <w:spacing w:line="360" w:lineRule="auto"/>
        <w:jc w:val="both"/>
        <w:rPr>
          <w:sz w:val="20"/>
          <w:szCs w:val="20"/>
        </w:rPr>
      </w:pPr>
      <w:r w:rsidRPr="00792D4E">
        <w:rPr>
          <w:b/>
          <w:sz w:val="20"/>
          <w:szCs w:val="20"/>
        </w:rPr>
        <w:t>5.</w:t>
      </w:r>
      <w:r w:rsidRPr="00792D4E">
        <w:rPr>
          <w:sz w:val="20"/>
          <w:szCs w:val="20"/>
        </w:rPr>
        <w:t xml:space="preserve"> </w:t>
      </w:r>
      <w:r w:rsidR="000534DE" w:rsidRPr="00792D4E">
        <w:rPr>
          <w:sz w:val="20"/>
          <w:szCs w:val="20"/>
        </w:rPr>
        <w:t>Zamawiający nie przewiduje udzielania zamówień, o których mowa w art. 214 ust. 1 pkt 8.</w:t>
      </w:r>
    </w:p>
    <w:p w14:paraId="00000076" w14:textId="1F9F6F28" w:rsidR="001F0474" w:rsidRPr="00792D4E" w:rsidRDefault="00DA70EF" w:rsidP="00792D4E">
      <w:pPr>
        <w:spacing w:line="360" w:lineRule="auto"/>
        <w:jc w:val="both"/>
        <w:rPr>
          <w:sz w:val="20"/>
          <w:szCs w:val="20"/>
        </w:rPr>
      </w:pPr>
      <w:r w:rsidRPr="00792D4E">
        <w:rPr>
          <w:b/>
          <w:sz w:val="20"/>
          <w:szCs w:val="20"/>
        </w:rPr>
        <w:t>6.</w:t>
      </w:r>
      <w:r w:rsidRPr="00792D4E">
        <w:rPr>
          <w:sz w:val="20"/>
          <w:szCs w:val="20"/>
        </w:rPr>
        <w:t xml:space="preserve"> </w:t>
      </w:r>
      <w:r w:rsidR="000534DE" w:rsidRPr="00792D4E">
        <w:rPr>
          <w:sz w:val="20"/>
          <w:szCs w:val="20"/>
        </w:rPr>
        <w:t xml:space="preserve">Szczegółowy opis oraz sposób realizacji zamówienia zawiera </w:t>
      </w:r>
      <w:r w:rsidR="00FF0F43" w:rsidRPr="00792D4E">
        <w:rPr>
          <w:sz w:val="20"/>
          <w:szCs w:val="20"/>
        </w:rPr>
        <w:t xml:space="preserve">formularz asortymentowo-cenowy </w:t>
      </w:r>
      <w:r w:rsidR="000534DE" w:rsidRPr="00792D4E">
        <w:rPr>
          <w:sz w:val="20"/>
          <w:szCs w:val="20"/>
        </w:rPr>
        <w:t xml:space="preserve">stanowiący </w:t>
      </w:r>
      <w:r w:rsidR="00573462" w:rsidRPr="00792D4E">
        <w:rPr>
          <w:b/>
          <w:sz w:val="20"/>
          <w:szCs w:val="20"/>
        </w:rPr>
        <w:t xml:space="preserve">Załącznik </w:t>
      </w:r>
      <w:r w:rsidR="000534DE" w:rsidRPr="00792D4E">
        <w:rPr>
          <w:b/>
          <w:sz w:val="20"/>
          <w:szCs w:val="20"/>
        </w:rPr>
        <w:t xml:space="preserve">nr </w:t>
      </w:r>
      <w:r w:rsidR="00FC24DB" w:rsidRPr="00792D4E">
        <w:rPr>
          <w:b/>
          <w:sz w:val="20"/>
          <w:szCs w:val="20"/>
        </w:rPr>
        <w:t xml:space="preserve">1 </w:t>
      </w:r>
      <w:r w:rsidR="000534DE" w:rsidRPr="00792D4E">
        <w:rPr>
          <w:b/>
          <w:sz w:val="20"/>
          <w:szCs w:val="20"/>
        </w:rPr>
        <w:t>do SWZ</w:t>
      </w:r>
      <w:r w:rsidR="000534DE" w:rsidRPr="00792D4E">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lastRenderedPageBreak/>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22ECE3F8" w14:textId="31288CFB" w:rsidR="00192AF9" w:rsidRPr="003B44A3" w:rsidRDefault="00573462" w:rsidP="00192AF9">
      <w:pPr>
        <w:spacing w:line="360" w:lineRule="auto"/>
        <w:rPr>
          <w:sz w:val="20"/>
          <w:szCs w:val="20"/>
        </w:rPr>
      </w:pPr>
      <w:r w:rsidRPr="003B44A3">
        <w:rPr>
          <w:sz w:val="20"/>
          <w:szCs w:val="20"/>
        </w:rPr>
        <w:t xml:space="preserve">1. </w:t>
      </w:r>
      <w:r w:rsidR="000534DE" w:rsidRPr="003B44A3">
        <w:rPr>
          <w:sz w:val="20"/>
          <w:szCs w:val="20"/>
        </w:rPr>
        <w:t>Termi</w:t>
      </w:r>
      <w:r w:rsidR="009D53B7" w:rsidRPr="003B44A3">
        <w:rPr>
          <w:sz w:val="20"/>
          <w:szCs w:val="20"/>
        </w:rPr>
        <w:t xml:space="preserve">n realizacji zamówienia wynosi </w:t>
      </w:r>
      <w:r w:rsidR="00792D4E">
        <w:rPr>
          <w:sz w:val="20"/>
          <w:szCs w:val="20"/>
        </w:rPr>
        <w:t>36</w:t>
      </w:r>
      <w:r w:rsidRPr="003B44A3">
        <w:rPr>
          <w:sz w:val="20"/>
          <w:szCs w:val="20"/>
        </w:rPr>
        <w:t xml:space="preserve"> miesi</w:t>
      </w:r>
      <w:r w:rsidR="00792D4E">
        <w:rPr>
          <w:sz w:val="20"/>
          <w:szCs w:val="20"/>
        </w:rPr>
        <w:t>ęcy</w:t>
      </w:r>
      <w:r w:rsidR="009D53B7" w:rsidRPr="003B44A3">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w:t>
      </w:r>
      <w:r w:rsidRPr="00E67FE4">
        <w:rPr>
          <w:sz w:val="20"/>
          <w:szCs w:val="20"/>
        </w:rPr>
        <w:lastRenderedPageBreak/>
        <w:t xml:space="preserve">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przedmiotowe środki dowodowe</w:t>
      </w:r>
      <w:r w:rsidR="00E8757B" w:rsidRPr="0086546A">
        <w:rPr>
          <w:sz w:val="20"/>
          <w:szCs w:val="20"/>
        </w:rPr>
        <w:t>:</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114384B7" w:rsidR="00E8757B" w:rsidRPr="00AA7515"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r w:rsidR="00E8757B" w:rsidRPr="00AA7515">
        <w:rPr>
          <w:sz w:val="20"/>
          <w:szCs w:val="20"/>
        </w:rPr>
        <w:t>.</w:t>
      </w:r>
      <w:r w:rsidR="0048248F" w:rsidRPr="00AA7515">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615EE055"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lastRenderedPageBreak/>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C10E04A"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079A7146"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lastRenderedPageBreak/>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4" w:name="_21eeoojwb3nb" w:colFirst="0" w:colLast="0"/>
      <w:bookmarkStart w:id="15" w:name="_Toc65139594"/>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683BCE"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7BB549BA"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74DA6EE3"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lastRenderedPageBreak/>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7" w:name="_Toc65139596"/>
      <w:r w:rsidRPr="00821B02">
        <w:rPr>
          <w:sz w:val="26"/>
          <w:szCs w:val="26"/>
        </w:rPr>
        <w:t>XVI. Wymagania dotyczące wadium</w:t>
      </w:r>
      <w:bookmarkEnd w:id="17"/>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18760097"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03425" w:rsidRPr="002D795A">
        <w:rPr>
          <w:b/>
          <w:color w:val="FF0000"/>
          <w:sz w:val="20"/>
          <w:szCs w:val="20"/>
        </w:rPr>
        <w:t>0</w:t>
      </w:r>
      <w:r w:rsidR="002D795A">
        <w:rPr>
          <w:b/>
          <w:color w:val="FF0000"/>
          <w:sz w:val="20"/>
          <w:szCs w:val="20"/>
        </w:rPr>
        <w:t>8</w:t>
      </w:r>
      <w:bookmarkStart w:id="19" w:name="_GoBack"/>
      <w:bookmarkEnd w:id="19"/>
      <w:r w:rsidR="00E23956" w:rsidRPr="002D795A">
        <w:rPr>
          <w:b/>
          <w:color w:val="FF0000"/>
          <w:sz w:val="20"/>
          <w:szCs w:val="20"/>
        </w:rPr>
        <w:t>.</w:t>
      </w:r>
      <w:r w:rsidR="00821B02" w:rsidRPr="002D795A">
        <w:rPr>
          <w:b/>
          <w:color w:val="FF0000"/>
          <w:sz w:val="20"/>
          <w:szCs w:val="20"/>
        </w:rPr>
        <w:t>1</w:t>
      </w:r>
      <w:r w:rsidR="00A03425" w:rsidRPr="002D795A">
        <w:rPr>
          <w:b/>
          <w:color w:val="FF0000"/>
          <w:sz w:val="20"/>
          <w:szCs w:val="20"/>
        </w:rPr>
        <w:t>1</w:t>
      </w:r>
      <w:r w:rsidR="00E23956" w:rsidRPr="002D795A">
        <w:rPr>
          <w:b/>
          <w:color w:val="FF0000"/>
          <w:sz w:val="20"/>
          <w:szCs w:val="20"/>
        </w:rPr>
        <w:t xml:space="preserve">.2022 </w:t>
      </w:r>
      <w:r w:rsidRPr="002D795A">
        <w:rPr>
          <w:b/>
          <w:color w:val="FF0000"/>
          <w:sz w:val="20"/>
          <w:szCs w:val="20"/>
        </w:rPr>
        <w:t>r.</w:t>
      </w:r>
      <w:r w:rsidRPr="002D795A">
        <w:rPr>
          <w:color w:val="FF0000"/>
          <w:sz w:val="20"/>
          <w:szCs w:val="20"/>
        </w:rPr>
        <w:t xml:space="preserve">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4D8F685E"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2D795A">
        <w:rPr>
          <w:b/>
          <w:color w:val="FF0000"/>
          <w:sz w:val="20"/>
          <w:szCs w:val="20"/>
        </w:rPr>
        <w:t>10</w:t>
      </w:r>
      <w:r w:rsidR="001C6764" w:rsidRPr="002D795A">
        <w:rPr>
          <w:b/>
          <w:color w:val="FF0000"/>
          <w:sz w:val="20"/>
          <w:szCs w:val="20"/>
        </w:rPr>
        <w:t>.</w:t>
      </w:r>
      <w:r w:rsidR="00A03425" w:rsidRPr="002D795A">
        <w:rPr>
          <w:b/>
          <w:color w:val="FF0000"/>
          <w:sz w:val="20"/>
          <w:szCs w:val="20"/>
        </w:rPr>
        <w:t>1</w:t>
      </w:r>
      <w:r w:rsidR="00AF1E22" w:rsidRPr="002D795A">
        <w:rPr>
          <w:b/>
          <w:color w:val="FF0000"/>
          <w:sz w:val="20"/>
          <w:szCs w:val="20"/>
        </w:rPr>
        <w:t>0</w:t>
      </w:r>
      <w:r w:rsidR="001C6764" w:rsidRPr="002D795A">
        <w:rPr>
          <w:b/>
          <w:color w:val="FF0000"/>
          <w:sz w:val="20"/>
          <w:szCs w:val="20"/>
        </w:rPr>
        <w:t>.202</w:t>
      </w:r>
      <w:r w:rsidR="00AF1E22" w:rsidRPr="002D795A">
        <w:rPr>
          <w:b/>
          <w:color w:val="FF0000"/>
          <w:sz w:val="20"/>
          <w:szCs w:val="20"/>
        </w:rPr>
        <w:t>2</w:t>
      </w:r>
      <w:r w:rsidR="001C6764" w:rsidRPr="002D795A">
        <w:rPr>
          <w:b/>
          <w:color w:val="FF0000"/>
          <w:sz w:val="20"/>
          <w:szCs w:val="20"/>
        </w:rPr>
        <w:t xml:space="preserve"> r. </w:t>
      </w:r>
      <w:r w:rsidRPr="002D795A">
        <w:rPr>
          <w:color w:val="FF0000"/>
          <w:sz w:val="20"/>
          <w:szCs w:val="20"/>
        </w:rPr>
        <w:t xml:space="preserve"> </w:t>
      </w:r>
      <w:r w:rsidRPr="001C6764">
        <w:rPr>
          <w:sz w:val="20"/>
          <w:szCs w:val="20"/>
        </w:rPr>
        <w:t xml:space="preserve">do godziny </w:t>
      </w:r>
      <w:r w:rsidR="00F2346A" w:rsidRPr="002D795A">
        <w:rPr>
          <w:b/>
          <w:color w:val="FF0000"/>
          <w:sz w:val="20"/>
          <w:szCs w:val="20"/>
        </w:rPr>
        <w:t>12</w:t>
      </w:r>
      <w:r w:rsidR="001C6764" w:rsidRPr="002D795A">
        <w:rPr>
          <w:b/>
          <w:color w:val="FF0000"/>
          <w:sz w:val="20"/>
          <w:szCs w:val="20"/>
        </w:rPr>
        <w:t>:00</w:t>
      </w:r>
      <w:r w:rsidR="001C6764" w:rsidRPr="00AB3FA1">
        <w:rPr>
          <w:b/>
          <w:sz w:val="20"/>
          <w:szCs w:val="20"/>
        </w:rPr>
        <w:t>.</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50FB94E6"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2D795A">
        <w:rPr>
          <w:b/>
          <w:color w:val="FF0000"/>
          <w:sz w:val="20"/>
          <w:szCs w:val="20"/>
        </w:rPr>
        <w:t>10</w:t>
      </w:r>
      <w:r w:rsidR="00BE5E89" w:rsidRPr="002D795A">
        <w:rPr>
          <w:b/>
          <w:color w:val="FF0000"/>
          <w:sz w:val="20"/>
          <w:szCs w:val="20"/>
        </w:rPr>
        <w:t>.</w:t>
      </w:r>
      <w:r w:rsidR="00A03425" w:rsidRPr="002D795A">
        <w:rPr>
          <w:b/>
          <w:color w:val="FF0000"/>
          <w:sz w:val="20"/>
          <w:szCs w:val="20"/>
        </w:rPr>
        <w:t>1</w:t>
      </w:r>
      <w:r w:rsidR="00BE5E89" w:rsidRPr="002D795A">
        <w:rPr>
          <w:b/>
          <w:color w:val="FF0000"/>
          <w:sz w:val="20"/>
          <w:szCs w:val="20"/>
        </w:rPr>
        <w:t>0.202</w:t>
      </w:r>
      <w:r w:rsidR="00AF1E22" w:rsidRPr="002D795A">
        <w:rPr>
          <w:b/>
          <w:color w:val="FF0000"/>
          <w:sz w:val="20"/>
          <w:szCs w:val="20"/>
        </w:rPr>
        <w:t>2</w:t>
      </w:r>
      <w:r w:rsidR="00BE5E89" w:rsidRPr="002D795A">
        <w:rPr>
          <w:b/>
          <w:color w:val="FF0000"/>
          <w:sz w:val="20"/>
          <w:szCs w:val="20"/>
        </w:rPr>
        <w:t xml:space="preserve"> r. </w:t>
      </w:r>
      <w:r w:rsidR="001C6764">
        <w:rPr>
          <w:sz w:val="20"/>
          <w:szCs w:val="20"/>
        </w:rPr>
        <w:t>o godz.</w:t>
      </w:r>
      <w:r w:rsidR="00944004">
        <w:rPr>
          <w:sz w:val="20"/>
          <w:szCs w:val="20"/>
        </w:rPr>
        <w:t xml:space="preserve"> </w:t>
      </w:r>
      <w:r w:rsidR="00F2346A" w:rsidRPr="002D795A">
        <w:rPr>
          <w:b/>
          <w:color w:val="FF0000"/>
          <w:sz w:val="20"/>
          <w:szCs w:val="20"/>
        </w:rPr>
        <w:t>12</w:t>
      </w:r>
      <w:r w:rsidR="001C6764" w:rsidRPr="002D795A">
        <w:rPr>
          <w:b/>
          <w:color w:val="FF0000"/>
          <w:sz w:val="20"/>
          <w:szCs w:val="20"/>
        </w:rPr>
        <w:t>:15</w:t>
      </w:r>
      <w:r w:rsidR="001C6764" w:rsidRPr="002D795A">
        <w:rPr>
          <w:color w:val="FF0000"/>
          <w:sz w:val="20"/>
          <w:szCs w:val="20"/>
        </w:rPr>
        <w:t xml:space="preserve"> </w:t>
      </w:r>
      <w:r w:rsidR="001C6764">
        <w:rPr>
          <w:sz w:val="20"/>
          <w:szCs w:val="20"/>
        </w:rPr>
        <w:t>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71FFDFD7"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lastRenderedPageBreak/>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lastRenderedPageBreak/>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93AD" w14:textId="77777777" w:rsidR="00683BCE" w:rsidRDefault="00683BCE">
      <w:pPr>
        <w:spacing w:line="240" w:lineRule="auto"/>
      </w:pPr>
      <w:r>
        <w:separator/>
      </w:r>
    </w:p>
  </w:endnote>
  <w:endnote w:type="continuationSeparator" w:id="0">
    <w:p w14:paraId="244EFF94" w14:textId="77777777" w:rsidR="00683BCE" w:rsidRDefault="00683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2D795A">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3F01" w14:textId="77777777" w:rsidR="00683BCE" w:rsidRDefault="00683BCE">
      <w:pPr>
        <w:spacing w:line="240" w:lineRule="auto"/>
      </w:pPr>
      <w:r>
        <w:separator/>
      </w:r>
    </w:p>
  </w:footnote>
  <w:footnote w:type="continuationSeparator" w:id="0">
    <w:p w14:paraId="6D82CD0A" w14:textId="77777777" w:rsidR="00683BCE" w:rsidRDefault="00683BCE">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D28E65E"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051DF4">
      <w:rPr>
        <w:rFonts w:ascii="Calibri" w:eastAsia="Calibri" w:hAnsi="Calibri" w:cs="Calibri"/>
        <w:color w:val="434343"/>
      </w:rPr>
      <w:t>1</w:t>
    </w:r>
    <w:r w:rsidR="00C0219C">
      <w:rPr>
        <w:rFonts w:ascii="Calibri" w:eastAsia="Calibri" w:hAnsi="Calibri" w:cs="Calibri"/>
        <w:color w:val="434343"/>
      </w:rPr>
      <w:t>0</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53215"/>
    <w:rsid w:val="00173726"/>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D795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03CA"/>
    <w:rsid w:val="00680C36"/>
    <w:rsid w:val="006815E9"/>
    <w:rsid w:val="00683BCE"/>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92D4E"/>
    <w:rsid w:val="007A0764"/>
    <w:rsid w:val="007C18D9"/>
    <w:rsid w:val="007D4379"/>
    <w:rsid w:val="007E5C45"/>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3F21"/>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E0F42"/>
    <w:rsid w:val="00AF1E22"/>
    <w:rsid w:val="00B0643F"/>
    <w:rsid w:val="00B32DD2"/>
    <w:rsid w:val="00B845C9"/>
    <w:rsid w:val="00B92C0F"/>
    <w:rsid w:val="00B95CE5"/>
    <w:rsid w:val="00BA6D2E"/>
    <w:rsid w:val="00BB12D3"/>
    <w:rsid w:val="00BC33B4"/>
    <w:rsid w:val="00BD582F"/>
    <w:rsid w:val="00BE5E89"/>
    <w:rsid w:val="00BF2EB9"/>
    <w:rsid w:val="00C0219C"/>
    <w:rsid w:val="00C36FBD"/>
    <w:rsid w:val="00C6270A"/>
    <w:rsid w:val="00C87EFD"/>
    <w:rsid w:val="00CA1A2C"/>
    <w:rsid w:val="00CC163E"/>
    <w:rsid w:val="00CD08CB"/>
    <w:rsid w:val="00CD2783"/>
    <w:rsid w:val="00CD306C"/>
    <w:rsid w:val="00CD38EB"/>
    <w:rsid w:val="00CE1A07"/>
    <w:rsid w:val="00CE2381"/>
    <w:rsid w:val="00CE54F3"/>
    <w:rsid w:val="00CE7B42"/>
    <w:rsid w:val="00D06F0D"/>
    <w:rsid w:val="00D12332"/>
    <w:rsid w:val="00D160CE"/>
    <w:rsid w:val="00D55F61"/>
    <w:rsid w:val="00D61A3A"/>
    <w:rsid w:val="00DA70EF"/>
    <w:rsid w:val="00DB0EB7"/>
    <w:rsid w:val="00DB1697"/>
    <w:rsid w:val="00DB3CD7"/>
    <w:rsid w:val="00E23956"/>
    <w:rsid w:val="00E252F1"/>
    <w:rsid w:val="00E40D79"/>
    <w:rsid w:val="00E530F9"/>
    <w:rsid w:val="00E67FE4"/>
    <w:rsid w:val="00E8757B"/>
    <w:rsid w:val="00E92654"/>
    <w:rsid w:val="00EB7FAA"/>
    <w:rsid w:val="00EC00F7"/>
    <w:rsid w:val="00EC7579"/>
    <w:rsid w:val="00ED2161"/>
    <w:rsid w:val="00EE52ED"/>
    <w:rsid w:val="00F07008"/>
    <w:rsid w:val="00F1270A"/>
    <w:rsid w:val="00F2346A"/>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2BF0-078C-46BF-9229-2FDCD84C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28491</TotalTime>
  <Pages>17</Pages>
  <Words>5759</Words>
  <Characters>34558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113</cp:revision>
  <cp:lastPrinted>2021-05-27T11:51:00Z</cp:lastPrinted>
  <dcterms:created xsi:type="dcterms:W3CDTF">2022-01-13T10:00:00Z</dcterms:created>
  <dcterms:modified xsi:type="dcterms:W3CDTF">2022-10-04T12:52:00Z</dcterms:modified>
</cp:coreProperties>
</file>