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BB20" w14:textId="77573180" w:rsidR="00203862" w:rsidRPr="00355870" w:rsidRDefault="00203862" w:rsidP="00203862">
      <w:pPr>
        <w:spacing w:after="0"/>
        <w:ind w:right="-2"/>
        <w:jc w:val="right"/>
        <w:rPr>
          <w:rFonts w:ascii="Cambria" w:hAnsi="Cambria"/>
          <w:bCs/>
          <w:iCs/>
          <w:sz w:val="24"/>
          <w:szCs w:val="24"/>
        </w:rPr>
      </w:pPr>
      <w:r w:rsidRPr="00355870">
        <w:rPr>
          <w:rFonts w:ascii="Cambria" w:hAnsi="Cambria"/>
          <w:bCs/>
          <w:iCs/>
          <w:sz w:val="24"/>
          <w:szCs w:val="24"/>
        </w:rPr>
        <w:t xml:space="preserve">Koszalin, dn. </w:t>
      </w:r>
      <w:r w:rsidR="00C16241">
        <w:rPr>
          <w:rFonts w:ascii="Cambria" w:hAnsi="Cambria"/>
          <w:bCs/>
          <w:iCs/>
          <w:sz w:val="24"/>
          <w:szCs w:val="24"/>
        </w:rPr>
        <w:t>19.</w:t>
      </w:r>
      <w:r w:rsidRPr="00355870">
        <w:rPr>
          <w:rFonts w:ascii="Cambria" w:hAnsi="Cambria"/>
          <w:bCs/>
          <w:iCs/>
          <w:sz w:val="24"/>
          <w:szCs w:val="24"/>
        </w:rPr>
        <w:t>07.2023</w:t>
      </w:r>
    </w:p>
    <w:p w14:paraId="478A5B72" w14:textId="77777777" w:rsidR="00203862" w:rsidRPr="00355870" w:rsidRDefault="00203862" w:rsidP="00203862">
      <w:pPr>
        <w:spacing w:after="0"/>
        <w:ind w:right="-2"/>
        <w:rPr>
          <w:rFonts w:ascii="Cambria" w:hAnsi="Cambria" w:cs="Calibri"/>
          <w:b/>
          <w:iCs/>
          <w:u w:val="single"/>
        </w:rPr>
      </w:pPr>
      <w:r w:rsidRPr="00355870">
        <w:rPr>
          <w:rFonts w:ascii="Cambria" w:hAnsi="Cambria" w:cs="Calibri"/>
          <w:b/>
          <w:iCs/>
          <w:u w:val="single"/>
        </w:rPr>
        <w:t>Zamawiający:</w:t>
      </w:r>
    </w:p>
    <w:p w14:paraId="21E2ED52" w14:textId="77777777" w:rsidR="00203862" w:rsidRPr="00355870" w:rsidRDefault="00203862" w:rsidP="00203862">
      <w:pPr>
        <w:spacing w:after="0"/>
        <w:ind w:right="-2"/>
        <w:jc w:val="both"/>
        <w:rPr>
          <w:rFonts w:ascii="Cambria" w:hAnsi="Cambria" w:cs="Calibri"/>
          <w:b/>
          <w:iCs/>
        </w:rPr>
      </w:pPr>
      <w:r w:rsidRPr="00355870">
        <w:rPr>
          <w:rFonts w:ascii="Cambria" w:hAnsi="Cambria" w:cs="Calibri"/>
          <w:b/>
          <w:iCs/>
        </w:rPr>
        <w:t>Przedsiębiorstwo Gospodarki Komunalnej Sp. z o.o.</w:t>
      </w:r>
    </w:p>
    <w:p w14:paraId="19B73284" w14:textId="77777777" w:rsidR="00203862" w:rsidRPr="00355870" w:rsidRDefault="00203862" w:rsidP="00203862">
      <w:pPr>
        <w:spacing w:after="0"/>
        <w:ind w:right="-2"/>
        <w:rPr>
          <w:rFonts w:ascii="Cambria" w:hAnsi="Cambria" w:cs="Calibri"/>
          <w:b/>
          <w:color w:val="000000"/>
        </w:rPr>
      </w:pPr>
      <w:r w:rsidRPr="00355870">
        <w:rPr>
          <w:rFonts w:ascii="Cambria" w:hAnsi="Cambria" w:cs="Calibri"/>
          <w:b/>
          <w:iCs/>
        </w:rPr>
        <w:t>ul. Komunalna 5, 75-724 Koszalin</w:t>
      </w:r>
    </w:p>
    <w:p w14:paraId="05E9A4FF" w14:textId="71C85BDF" w:rsidR="00203862" w:rsidRPr="00355870" w:rsidRDefault="00203862" w:rsidP="008063BC">
      <w:pPr>
        <w:spacing w:after="0"/>
        <w:ind w:right="-2"/>
        <w:rPr>
          <w:rFonts w:ascii="Cambria" w:eastAsia="Calibri" w:hAnsi="Cambria" w:cs="Calibri"/>
          <w:color w:val="000000"/>
        </w:rPr>
      </w:pPr>
      <w:r w:rsidRPr="00355870">
        <w:rPr>
          <w:rFonts w:ascii="Cambria" w:hAnsi="Cambria" w:cs="Calibri"/>
          <w:b/>
          <w:iCs/>
          <w:u w:val="single"/>
        </w:rPr>
        <w:br/>
      </w:r>
    </w:p>
    <w:p w14:paraId="6F6B8F0B" w14:textId="77777777" w:rsidR="00203862" w:rsidRPr="00355870" w:rsidRDefault="00203862" w:rsidP="00203862">
      <w:pPr>
        <w:autoSpaceDE w:val="0"/>
        <w:autoSpaceDN w:val="0"/>
        <w:adjustRightInd w:val="0"/>
        <w:spacing w:after="0"/>
        <w:ind w:firstLine="5245"/>
        <w:rPr>
          <w:rFonts w:ascii="Cambria" w:eastAsia="Calibri" w:hAnsi="Cambria" w:cs="Calibri"/>
          <w:color w:val="000000"/>
        </w:rPr>
      </w:pPr>
    </w:p>
    <w:p w14:paraId="75167777" w14:textId="77777777" w:rsidR="009C77F0" w:rsidRDefault="009C77F0" w:rsidP="00203862">
      <w:pPr>
        <w:pStyle w:val="Default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212393AC" w14:textId="3CBE8C3B" w:rsidR="00E727B0" w:rsidRPr="00A31D7B" w:rsidRDefault="00536EEF" w:rsidP="00E727B0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INFORMACJA </w:t>
      </w:r>
      <w:r w:rsidR="00E727B0" w:rsidRPr="00A31D7B">
        <w:rPr>
          <w:rFonts w:asciiTheme="majorHAnsi" w:hAnsiTheme="majorHAnsi"/>
          <w:b/>
          <w:sz w:val="22"/>
          <w:szCs w:val="22"/>
        </w:rPr>
        <w:t>O WYBORZE NAJKORZYSTNIEJSZEJ OFERTY</w:t>
      </w:r>
    </w:p>
    <w:p w14:paraId="5CBE14A8" w14:textId="571D3879" w:rsidR="00DB5C2A" w:rsidRPr="00A31D7B" w:rsidRDefault="00DB5C2A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  <w:r w:rsidRPr="00144642">
        <w:rPr>
          <w:rFonts w:asciiTheme="majorHAnsi" w:hAnsiTheme="majorHAnsi" w:cstheme="minorHAnsi"/>
          <w:b/>
        </w:rPr>
        <w:t>- CZĘŚĆ I</w:t>
      </w:r>
      <w:r w:rsidR="001F7D95" w:rsidRPr="00144642">
        <w:rPr>
          <w:rFonts w:asciiTheme="majorHAnsi" w:hAnsiTheme="majorHAnsi" w:cstheme="minorHAnsi"/>
          <w:b/>
        </w:rPr>
        <w:t>,</w:t>
      </w:r>
      <w:r w:rsidRPr="00144642">
        <w:rPr>
          <w:rFonts w:asciiTheme="majorHAnsi" w:hAnsiTheme="majorHAnsi" w:cstheme="minorHAnsi"/>
          <w:b/>
        </w:rPr>
        <w:t xml:space="preserve"> CZĘŚĆ II ZAMÓWIENIA</w:t>
      </w:r>
    </w:p>
    <w:p w14:paraId="3082B891" w14:textId="77777777" w:rsidR="00DB5C2A" w:rsidRPr="00A31D7B" w:rsidRDefault="00DB5C2A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</w:p>
    <w:p w14:paraId="5476AD6C" w14:textId="13B4AF23" w:rsidR="00203862" w:rsidRPr="00355870" w:rsidRDefault="00203862" w:rsidP="00203862">
      <w:pPr>
        <w:spacing w:after="160" w:line="259" w:lineRule="auto"/>
        <w:ind w:left="993" w:hanging="993"/>
        <w:jc w:val="both"/>
        <w:rPr>
          <w:rFonts w:ascii="Cambria" w:eastAsia="Calibri" w:hAnsi="Cambria"/>
          <w:b/>
          <w:bCs/>
          <w:i/>
          <w:iCs/>
        </w:rPr>
      </w:pPr>
      <w:r w:rsidRPr="00355870">
        <w:rPr>
          <w:rFonts w:ascii="Cambria" w:eastAsia="Calibri" w:hAnsi="Cambria"/>
          <w:b/>
          <w:bCs/>
          <w:i/>
          <w:iCs/>
        </w:rPr>
        <w:t xml:space="preserve">Dotyczy: postępowania o udzielenie zamówienia publicznego prowadzonego w trybie </w:t>
      </w:r>
      <w:r>
        <w:rPr>
          <w:rFonts w:ascii="Cambria" w:eastAsia="Calibri" w:hAnsi="Cambria"/>
          <w:b/>
          <w:bCs/>
          <w:i/>
          <w:iCs/>
        </w:rPr>
        <w:t xml:space="preserve">   </w:t>
      </w:r>
      <w:r w:rsidRPr="00355870">
        <w:rPr>
          <w:rFonts w:ascii="Cambria" w:eastAsia="Calibri" w:hAnsi="Cambria"/>
          <w:b/>
          <w:bCs/>
          <w:i/>
          <w:iCs/>
        </w:rPr>
        <w:t>przetargu nieograniczonego na: Ubezpieczenia komunikacyjne i środowiskowe Przedsiębiorstwa Gospodarki Komunalnej Sp. z o.o. w Koszalinie</w:t>
      </w:r>
      <w:r>
        <w:rPr>
          <w:rFonts w:ascii="Cambria" w:eastAsia="Calibri" w:hAnsi="Cambria"/>
          <w:b/>
          <w:bCs/>
          <w:i/>
          <w:iCs/>
        </w:rPr>
        <w:t>.</w:t>
      </w:r>
    </w:p>
    <w:p w14:paraId="67E7EF8F" w14:textId="77777777" w:rsidR="00203862" w:rsidRPr="00F95CB7" w:rsidRDefault="00203862" w:rsidP="00203862">
      <w:pPr>
        <w:pStyle w:val="Tekstpodstawowywcity"/>
        <w:suppressAutoHyphens/>
        <w:spacing w:after="60"/>
        <w:ind w:left="0" w:right="-2"/>
        <w:rPr>
          <w:rStyle w:val="Pogrubienie"/>
          <w:rFonts w:ascii="Cambria" w:eastAsia="Arial Unicode MS" w:hAnsi="Cambria" w:cstheme="minorHAnsi"/>
          <w:b w:val="0"/>
          <w:bCs w:val="0"/>
          <w:sz w:val="20"/>
          <w:szCs w:val="20"/>
        </w:rPr>
      </w:pPr>
      <w:r w:rsidRPr="00F95CB7">
        <w:rPr>
          <w:rStyle w:val="Pogrubienie"/>
          <w:rFonts w:ascii="Cambria" w:eastAsia="Arial Unicode MS" w:hAnsi="Cambria" w:cstheme="minorHAnsi"/>
          <w:sz w:val="20"/>
          <w:szCs w:val="20"/>
        </w:rPr>
        <w:t>Nr ogłoszenia 2023/S  108-340151</w:t>
      </w:r>
    </w:p>
    <w:p w14:paraId="47DE2D4C" w14:textId="77777777" w:rsidR="00203862" w:rsidRPr="00F95CB7" w:rsidRDefault="00203862" w:rsidP="00203862">
      <w:pPr>
        <w:pStyle w:val="Tekstpodstawowywcity"/>
        <w:suppressAutoHyphens/>
        <w:spacing w:after="60"/>
        <w:ind w:left="0"/>
        <w:rPr>
          <w:rStyle w:val="Pogrubienie"/>
          <w:rFonts w:ascii="Cambria" w:eastAsia="Arial Unicode MS" w:hAnsi="Cambria" w:cstheme="minorHAnsi"/>
          <w:b w:val="0"/>
          <w:bCs w:val="0"/>
          <w:sz w:val="20"/>
          <w:szCs w:val="20"/>
        </w:rPr>
      </w:pPr>
      <w:r w:rsidRPr="00F95CB7">
        <w:rPr>
          <w:rStyle w:val="Pogrubienie"/>
          <w:rFonts w:ascii="Cambria" w:eastAsia="Arial Unicode MS" w:hAnsi="Cambria" w:cstheme="minorHAnsi"/>
          <w:sz w:val="20"/>
          <w:szCs w:val="20"/>
        </w:rPr>
        <w:t>Identyfikator postępowania  ocds-148610-26965f19-052d-11ee-b70f-ae2d9e28ec7b</w:t>
      </w:r>
    </w:p>
    <w:p w14:paraId="317C891D" w14:textId="77777777" w:rsidR="00203862" w:rsidRDefault="00203862" w:rsidP="00203862">
      <w:pPr>
        <w:pStyle w:val="Tekstpodstawowywcity"/>
        <w:suppressAutoHyphens/>
        <w:spacing w:after="60" w:line="240" w:lineRule="auto"/>
        <w:ind w:left="0"/>
        <w:rPr>
          <w:rStyle w:val="Pogrubienie"/>
          <w:rFonts w:ascii="Cambria" w:eastAsia="Arial Unicode MS" w:hAnsi="Cambria" w:cstheme="minorHAnsi"/>
          <w:sz w:val="20"/>
          <w:szCs w:val="20"/>
        </w:rPr>
      </w:pPr>
      <w:r w:rsidRPr="00F95CB7">
        <w:rPr>
          <w:rStyle w:val="Pogrubienie"/>
          <w:rFonts w:ascii="Cambria" w:eastAsia="Arial Unicode MS" w:hAnsi="Cambria" w:cstheme="minorHAnsi"/>
          <w:sz w:val="20"/>
          <w:szCs w:val="20"/>
        </w:rPr>
        <w:t>Numer referencyjny 17/AP/2023</w:t>
      </w:r>
    </w:p>
    <w:p w14:paraId="11EBD1E8" w14:textId="77777777" w:rsidR="00203862" w:rsidRPr="00F95CB7" w:rsidRDefault="00203862" w:rsidP="00203862">
      <w:pPr>
        <w:pStyle w:val="Tekstpodstawowywcity"/>
        <w:suppressAutoHyphens/>
        <w:spacing w:line="240" w:lineRule="auto"/>
        <w:ind w:left="0"/>
        <w:rPr>
          <w:rStyle w:val="Pogrubienie"/>
          <w:rFonts w:ascii="Cambria" w:eastAsia="Arial Unicode MS" w:hAnsi="Cambria" w:cstheme="minorHAnsi"/>
          <w:b w:val="0"/>
          <w:bCs w:val="0"/>
          <w:sz w:val="20"/>
          <w:szCs w:val="20"/>
        </w:rPr>
      </w:pPr>
    </w:p>
    <w:p w14:paraId="79A5BBA0" w14:textId="4D1C609E" w:rsidR="00DB5C2A" w:rsidRPr="003D4F1C" w:rsidRDefault="00DB5C2A" w:rsidP="00423D36">
      <w:pPr>
        <w:jc w:val="both"/>
        <w:rPr>
          <w:rFonts w:asciiTheme="majorHAnsi" w:hAnsiTheme="majorHAnsi" w:cstheme="minorHAnsi"/>
        </w:rPr>
      </w:pPr>
      <w:r w:rsidRPr="00A31D7B">
        <w:rPr>
          <w:rFonts w:asciiTheme="majorHAnsi" w:hAnsiTheme="majorHAnsi" w:cstheme="minorHAnsi"/>
        </w:rPr>
        <w:t xml:space="preserve">Działając na podstawie art. </w:t>
      </w:r>
      <w:r w:rsidR="00A31D7B" w:rsidRPr="00A31D7B">
        <w:rPr>
          <w:rFonts w:asciiTheme="majorHAnsi" w:hAnsiTheme="majorHAnsi" w:cstheme="minorHAnsi"/>
        </w:rPr>
        <w:t>253</w:t>
      </w:r>
      <w:r w:rsidRPr="00A31D7B">
        <w:rPr>
          <w:rFonts w:asciiTheme="majorHAnsi" w:hAnsiTheme="majorHAnsi" w:cstheme="minorHAnsi"/>
        </w:rPr>
        <w:t xml:space="preserve"> ust. </w:t>
      </w:r>
      <w:r w:rsidR="00423BAA">
        <w:rPr>
          <w:rFonts w:asciiTheme="majorHAnsi" w:hAnsiTheme="majorHAnsi" w:cstheme="minorHAnsi"/>
        </w:rPr>
        <w:t>1</w:t>
      </w:r>
      <w:r w:rsidR="006A3C3A">
        <w:rPr>
          <w:rFonts w:asciiTheme="majorHAnsi" w:hAnsiTheme="majorHAnsi" w:cstheme="minorHAnsi"/>
        </w:rPr>
        <w:t xml:space="preserve"> </w:t>
      </w:r>
      <w:r w:rsidR="00A31D7B" w:rsidRPr="00A31D7B">
        <w:rPr>
          <w:rFonts w:asciiTheme="majorHAnsi" w:hAnsiTheme="majorHAnsi" w:cstheme="minorHAnsi"/>
        </w:rPr>
        <w:t xml:space="preserve">ustawy z dnia </w:t>
      </w:r>
      <w:r w:rsidR="00A31D7B" w:rsidRPr="00A31D7B">
        <w:rPr>
          <w:rFonts w:asciiTheme="majorHAnsi" w:hAnsiTheme="majorHAnsi" w:cstheme="minorHAnsi"/>
          <w:bCs/>
        </w:rPr>
        <w:t>11 września 2019 r. Prawo zamówień publicznych (</w:t>
      </w:r>
      <w:r w:rsidR="005813DE" w:rsidRPr="005813DE">
        <w:rPr>
          <w:rFonts w:asciiTheme="majorHAnsi" w:hAnsiTheme="majorHAnsi" w:cstheme="minorHAnsi"/>
        </w:rPr>
        <w:t>t.j.: Dz.U. z 202</w:t>
      </w:r>
      <w:r w:rsidR="005E5B4B">
        <w:rPr>
          <w:rFonts w:asciiTheme="majorHAnsi" w:hAnsiTheme="majorHAnsi" w:cstheme="minorHAnsi"/>
        </w:rPr>
        <w:t>2</w:t>
      </w:r>
      <w:r w:rsidR="005813DE" w:rsidRPr="005813DE">
        <w:rPr>
          <w:rFonts w:asciiTheme="majorHAnsi" w:hAnsiTheme="majorHAnsi" w:cstheme="minorHAnsi"/>
        </w:rPr>
        <w:t xml:space="preserve"> r., poz. 1</w:t>
      </w:r>
      <w:r w:rsidR="005E5B4B">
        <w:rPr>
          <w:rFonts w:asciiTheme="majorHAnsi" w:hAnsiTheme="majorHAnsi" w:cstheme="minorHAnsi"/>
        </w:rPr>
        <w:t>710</w:t>
      </w:r>
      <w:r w:rsidR="00E05401">
        <w:rPr>
          <w:rFonts w:asciiTheme="majorHAnsi" w:hAnsiTheme="majorHAnsi" w:cstheme="minorHAnsi"/>
        </w:rPr>
        <w:t xml:space="preserve"> ze zm.</w:t>
      </w:r>
      <w:r w:rsidR="00A31D7B" w:rsidRPr="00A97798">
        <w:rPr>
          <w:rFonts w:asciiTheme="majorHAnsi" w:hAnsiTheme="majorHAnsi" w:cstheme="minorHAnsi"/>
          <w:bCs/>
        </w:rPr>
        <w:t>)</w:t>
      </w:r>
      <w:r w:rsidR="00536EEF">
        <w:rPr>
          <w:rFonts w:asciiTheme="majorHAnsi" w:hAnsiTheme="majorHAnsi" w:cstheme="minorHAnsi"/>
          <w:bCs/>
        </w:rPr>
        <w:t xml:space="preserve"> – </w:t>
      </w:r>
      <w:r w:rsidR="00536EEF" w:rsidRPr="00536EEF">
        <w:rPr>
          <w:rFonts w:asciiTheme="majorHAnsi" w:hAnsiTheme="majorHAnsi" w:cstheme="minorHAnsi"/>
          <w:bCs/>
          <w:i/>
          <w:iCs/>
        </w:rPr>
        <w:t xml:space="preserve">dalej jako </w:t>
      </w:r>
      <w:r w:rsidR="00E05401">
        <w:rPr>
          <w:rFonts w:asciiTheme="majorHAnsi" w:hAnsiTheme="majorHAnsi" w:cstheme="minorHAnsi"/>
          <w:bCs/>
          <w:i/>
          <w:iCs/>
        </w:rPr>
        <w:t>„</w:t>
      </w:r>
      <w:r w:rsidR="00536EEF" w:rsidRPr="00536EEF">
        <w:rPr>
          <w:rFonts w:asciiTheme="majorHAnsi" w:hAnsiTheme="majorHAnsi" w:cstheme="minorHAnsi"/>
          <w:bCs/>
          <w:i/>
          <w:iCs/>
        </w:rPr>
        <w:t>ustawa Pzp</w:t>
      </w:r>
      <w:r w:rsidR="00E05401">
        <w:rPr>
          <w:rFonts w:asciiTheme="majorHAnsi" w:hAnsiTheme="majorHAnsi" w:cstheme="minorHAnsi"/>
          <w:bCs/>
          <w:i/>
          <w:iCs/>
        </w:rPr>
        <w:t>”</w:t>
      </w:r>
      <w:r w:rsidR="00A97798" w:rsidRPr="00A97798">
        <w:rPr>
          <w:rFonts w:asciiTheme="majorHAnsi" w:hAnsiTheme="majorHAnsi" w:cstheme="minorHAnsi"/>
          <w:bCs/>
        </w:rPr>
        <w:t xml:space="preserve"> </w:t>
      </w:r>
      <w:r w:rsidR="00A31D7B" w:rsidRPr="00A97798">
        <w:rPr>
          <w:rFonts w:asciiTheme="majorHAnsi" w:hAnsiTheme="majorHAnsi" w:cstheme="minorHAnsi"/>
          <w:bCs/>
        </w:rPr>
        <w:t xml:space="preserve">- </w:t>
      </w:r>
      <w:r w:rsidRPr="00A31D7B">
        <w:rPr>
          <w:rFonts w:asciiTheme="majorHAnsi" w:hAnsiTheme="majorHAnsi" w:cstheme="minorHAnsi"/>
        </w:rPr>
        <w:t xml:space="preserve">Zamawiający w postępowaniu </w:t>
      </w:r>
      <w:r w:rsidRPr="00C334F4">
        <w:rPr>
          <w:rFonts w:asciiTheme="majorHAnsi" w:hAnsiTheme="majorHAnsi" w:cstheme="minorHAnsi"/>
        </w:rPr>
        <w:t xml:space="preserve">prowadzonym w trybie </w:t>
      </w:r>
      <w:r w:rsidR="00203862">
        <w:rPr>
          <w:rFonts w:asciiTheme="majorHAnsi" w:hAnsiTheme="majorHAnsi" w:cstheme="minorHAnsi"/>
        </w:rPr>
        <w:t>przetargu nieograniczonego</w:t>
      </w:r>
      <w:r w:rsidRPr="00C334F4">
        <w:rPr>
          <w:rFonts w:asciiTheme="majorHAnsi" w:hAnsiTheme="majorHAnsi" w:cstheme="minorHAnsi"/>
        </w:rPr>
        <w:t xml:space="preserve"> </w:t>
      </w:r>
      <w:r w:rsidR="009C77F0">
        <w:rPr>
          <w:rFonts w:asciiTheme="majorHAnsi" w:hAnsiTheme="majorHAnsi" w:cstheme="minorHAnsi"/>
        </w:rPr>
        <w:t>na</w:t>
      </w:r>
      <w:r w:rsidR="009C77F0" w:rsidRPr="009C77F0">
        <w:rPr>
          <w:rFonts w:asciiTheme="majorHAnsi" w:hAnsiTheme="majorHAnsi" w:cstheme="minorHAnsi"/>
        </w:rPr>
        <w:t xml:space="preserve">: </w:t>
      </w:r>
      <w:r w:rsidR="00144642">
        <w:rPr>
          <w:rFonts w:asciiTheme="majorHAnsi" w:hAnsiTheme="majorHAnsi" w:cstheme="minorHAnsi"/>
        </w:rPr>
        <w:t>„</w:t>
      </w:r>
      <w:r w:rsidR="00203862" w:rsidRPr="00203862">
        <w:rPr>
          <w:rFonts w:asciiTheme="majorHAnsi" w:hAnsiTheme="majorHAnsi"/>
          <w:bCs/>
          <w:i/>
        </w:rPr>
        <w:t>Ubezpieczenia komunikacyjne i środowiskowe Przedsiębiorstwa Gospodarki Komunalnej Sp. z o.o. w Koszalinie</w:t>
      </w:r>
      <w:r w:rsidR="00144642">
        <w:rPr>
          <w:rFonts w:asciiTheme="majorHAnsi" w:hAnsiTheme="majorHAnsi"/>
          <w:bCs/>
          <w:i/>
        </w:rPr>
        <w:t>”</w:t>
      </w:r>
      <w:r w:rsidR="00144642" w:rsidRPr="00C334F4">
        <w:rPr>
          <w:rFonts w:asciiTheme="majorHAnsi" w:hAnsiTheme="majorHAnsi" w:cstheme="minorHAnsi"/>
        </w:rPr>
        <w:t xml:space="preserve"> </w:t>
      </w:r>
      <w:r w:rsidRPr="00C334F4">
        <w:rPr>
          <w:rFonts w:asciiTheme="majorHAnsi" w:hAnsiTheme="majorHAnsi" w:cstheme="minorHAnsi"/>
        </w:rPr>
        <w:t>dokonał wyboru oferty najkorzystniejszej złożonej przez:</w:t>
      </w:r>
    </w:p>
    <w:p w14:paraId="10F50AC0" w14:textId="043D9599" w:rsidR="00234221" w:rsidRPr="00144642" w:rsidRDefault="00DB5C2A" w:rsidP="002342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b/>
          <w:color w:val="000000"/>
          <w:szCs w:val="18"/>
        </w:rPr>
      </w:pPr>
      <w:r w:rsidRPr="00144642">
        <w:rPr>
          <w:rFonts w:asciiTheme="majorHAnsi" w:eastAsia="Times New Roman" w:hAnsiTheme="majorHAnsi" w:cs="Sylfaen"/>
          <w:b/>
          <w:color w:val="000000"/>
          <w:szCs w:val="18"/>
        </w:rPr>
        <w:t>W części I zamówienia –</w:t>
      </w:r>
      <w:r w:rsidR="00203862" w:rsidRPr="00203862">
        <w:rPr>
          <w:rFonts w:asciiTheme="majorHAnsi" w:hAnsiTheme="majorHAnsi" w:cstheme="minorHAnsi"/>
        </w:rPr>
        <w:t xml:space="preserve"> ubezpieczenia komunikacyjne</w:t>
      </w:r>
    </w:p>
    <w:p w14:paraId="5B9C1508" w14:textId="5CF3786A" w:rsidR="00203862" w:rsidRPr="00203862" w:rsidRDefault="00203862" w:rsidP="00203862">
      <w:pPr>
        <w:autoSpaceDE w:val="0"/>
        <w:autoSpaceDN w:val="0"/>
        <w:adjustRightInd w:val="0"/>
        <w:spacing w:after="0"/>
        <w:ind w:left="709"/>
        <w:rPr>
          <w:rFonts w:asciiTheme="majorHAnsi" w:eastAsia="Times New Roman" w:hAnsiTheme="majorHAnsi" w:cs="Sylfaen"/>
          <w:b/>
          <w:color w:val="000000"/>
        </w:rPr>
      </w:pPr>
      <w:r w:rsidRPr="00203862">
        <w:rPr>
          <w:rFonts w:asciiTheme="majorHAnsi" w:eastAsia="Times New Roman" w:hAnsiTheme="majorHAnsi" w:cs="Sylfaen"/>
          <w:b/>
          <w:color w:val="000000"/>
        </w:rPr>
        <w:t>Sopockie Towarzystwo Ubezpieczeń ERGO Hestia S.A.</w:t>
      </w:r>
    </w:p>
    <w:p w14:paraId="72DF836D" w14:textId="5D7497E1" w:rsidR="00144642" w:rsidRDefault="00203862" w:rsidP="00203862">
      <w:pPr>
        <w:autoSpaceDE w:val="0"/>
        <w:autoSpaceDN w:val="0"/>
        <w:adjustRightInd w:val="0"/>
        <w:spacing w:after="0"/>
        <w:ind w:left="709"/>
        <w:rPr>
          <w:rFonts w:asciiTheme="majorHAnsi" w:eastAsia="Times New Roman" w:hAnsiTheme="majorHAnsi" w:cs="Sylfaen"/>
          <w:b/>
          <w:color w:val="000000"/>
        </w:rPr>
      </w:pPr>
      <w:r w:rsidRPr="00203862">
        <w:rPr>
          <w:rFonts w:asciiTheme="majorHAnsi" w:eastAsia="Times New Roman" w:hAnsiTheme="majorHAnsi" w:cs="Sylfaen"/>
          <w:b/>
          <w:color w:val="000000"/>
        </w:rPr>
        <w:t>ul. Hestii 1, 81-731 Sopot</w:t>
      </w:r>
    </w:p>
    <w:p w14:paraId="766D5C19" w14:textId="77777777" w:rsidR="0071616C" w:rsidRPr="009721B9" w:rsidRDefault="0071616C" w:rsidP="00144642">
      <w:pPr>
        <w:autoSpaceDE w:val="0"/>
        <w:autoSpaceDN w:val="0"/>
        <w:adjustRightInd w:val="0"/>
        <w:spacing w:after="0"/>
        <w:ind w:left="709"/>
        <w:rPr>
          <w:rFonts w:asciiTheme="majorHAnsi" w:eastAsia="Times New Roman" w:hAnsiTheme="majorHAnsi" w:cs="Sylfaen"/>
          <w:b/>
          <w:color w:val="000000"/>
        </w:rPr>
      </w:pPr>
    </w:p>
    <w:p w14:paraId="380DDDE7" w14:textId="242EA55D" w:rsidR="00DB5C2A" w:rsidRPr="00A31D7B" w:rsidRDefault="00DB5C2A" w:rsidP="00DB5C2A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A31D7B">
        <w:rPr>
          <w:rFonts w:asciiTheme="majorHAnsi" w:eastAsia="Times New Roman" w:hAnsiTheme="majorHAnsi" w:cs="Sylfaen"/>
          <w:color w:val="000000"/>
          <w:szCs w:val="18"/>
        </w:rPr>
        <w:t xml:space="preserve">Oferta najkorzystniejsza wybrana została zgodnie z art. </w:t>
      </w:r>
      <w:r w:rsidR="00E05401">
        <w:rPr>
          <w:rFonts w:asciiTheme="majorHAnsi" w:eastAsia="Times New Roman" w:hAnsiTheme="majorHAnsi" w:cs="Sylfaen"/>
          <w:color w:val="000000"/>
          <w:szCs w:val="18"/>
        </w:rPr>
        <w:t>239 ust. 1 i 2</w:t>
      </w:r>
      <w:r w:rsidRPr="00A31D7B">
        <w:rPr>
          <w:rFonts w:asciiTheme="majorHAnsi" w:eastAsia="Times New Roman" w:hAnsiTheme="majorHAnsi" w:cs="Sylfaen"/>
          <w:color w:val="000000"/>
          <w:szCs w:val="18"/>
        </w:rPr>
        <w:t xml:space="preserve"> ustawy Pzp na podstawie kryteriów oceny ofert określonych w specyfikacji warunków zamówienia, którymi były: cena oraz fakultatywne warunki ubezpieczenia. Oferta otrzymała najwyższą liczbę punktów, obliczoną zgodnie ze wzorem określonym w Rozdz. </w:t>
      </w:r>
      <w:r w:rsidR="00A31D7B" w:rsidRPr="00A31D7B">
        <w:rPr>
          <w:rFonts w:asciiTheme="majorHAnsi" w:eastAsia="Times New Roman" w:hAnsiTheme="majorHAnsi" w:cs="Sylfaen"/>
          <w:color w:val="000000"/>
          <w:szCs w:val="18"/>
        </w:rPr>
        <w:t>XX</w:t>
      </w:r>
      <w:r w:rsidR="00203862">
        <w:rPr>
          <w:rFonts w:asciiTheme="majorHAnsi" w:eastAsia="Times New Roman" w:hAnsiTheme="majorHAnsi" w:cs="Sylfaen"/>
          <w:color w:val="000000"/>
          <w:szCs w:val="18"/>
        </w:rPr>
        <w:t>II</w:t>
      </w:r>
      <w:r w:rsidR="00A31D7B" w:rsidRPr="00A31D7B">
        <w:rPr>
          <w:rFonts w:asciiTheme="majorHAnsi" w:eastAsia="Times New Roman" w:hAnsiTheme="majorHAnsi" w:cs="Sylfaen"/>
          <w:color w:val="000000"/>
          <w:szCs w:val="18"/>
        </w:rPr>
        <w:t xml:space="preserve"> </w:t>
      </w:r>
      <w:r w:rsidRPr="00A31D7B">
        <w:rPr>
          <w:rFonts w:asciiTheme="majorHAnsi" w:eastAsia="Times New Roman" w:hAnsiTheme="majorHAnsi" w:cs="Sylfaen"/>
          <w:color w:val="000000"/>
          <w:szCs w:val="18"/>
        </w:rPr>
        <w:t>SWZ.</w:t>
      </w:r>
    </w:p>
    <w:p w14:paraId="4685A6F2" w14:textId="0FC733CF" w:rsidR="002B0901" w:rsidRDefault="002B0901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2B0901">
        <w:rPr>
          <w:rFonts w:asciiTheme="majorHAnsi" w:eastAsia="Times New Roman" w:hAnsiTheme="majorHAnsi" w:cs="Sylfaen"/>
          <w:color w:val="000000"/>
          <w:szCs w:val="18"/>
        </w:rPr>
        <w:t>Wykonawca wykazał spełnienie warunków udziału w postępowaniu oraz brak podstaw do</w:t>
      </w:r>
      <w:r w:rsidR="00A17DF1">
        <w:rPr>
          <w:rFonts w:asciiTheme="majorHAnsi" w:eastAsia="Times New Roman" w:hAnsiTheme="majorHAnsi" w:cs="Sylfaen"/>
          <w:color w:val="000000"/>
          <w:szCs w:val="18"/>
        </w:rPr>
        <w:t> </w:t>
      </w:r>
      <w:r w:rsidRPr="002B0901">
        <w:rPr>
          <w:rFonts w:asciiTheme="majorHAnsi" w:eastAsia="Times New Roman" w:hAnsiTheme="majorHAnsi" w:cs="Sylfaen"/>
          <w:color w:val="000000"/>
          <w:szCs w:val="18"/>
        </w:rPr>
        <w:t>wykluczenia z postępowania.</w:t>
      </w:r>
    </w:p>
    <w:p w14:paraId="5C861314" w14:textId="77777777" w:rsidR="00203862" w:rsidRDefault="00203862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19BECD30" w14:textId="77777777" w:rsidR="00203862" w:rsidRDefault="00203862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6F048DAC" w14:textId="77777777" w:rsidR="00203862" w:rsidRDefault="00203862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73AE9049" w14:textId="77777777" w:rsidR="00203862" w:rsidRDefault="00203862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2213CAD3" w14:textId="77777777" w:rsidR="00203862" w:rsidRDefault="00203862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05B6FD48" w14:textId="77777777" w:rsidR="008063BC" w:rsidRDefault="008063BC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4558618D" w14:textId="77777777" w:rsidR="008063BC" w:rsidRDefault="008063BC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15315264" w14:textId="77777777" w:rsidR="008063BC" w:rsidRDefault="008063BC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4A6C5189" w14:textId="77777777" w:rsidR="008063BC" w:rsidRDefault="008063BC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406369C4" w14:textId="77777777" w:rsidR="008063BC" w:rsidRDefault="008063BC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0867B26C" w14:textId="77777777" w:rsidR="008063BC" w:rsidRDefault="008063BC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31F8EB75" w14:textId="77777777" w:rsidR="008063BC" w:rsidRDefault="008063BC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</w:p>
    <w:p w14:paraId="4ECC1E68" w14:textId="0AE22E38" w:rsidR="00850F8A" w:rsidRDefault="00527553" w:rsidP="00561E34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  <w:r w:rsidRPr="00527553">
        <w:rPr>
          <w:rFonts w:asciiTheme="majorHAnsi" w:eastAsia="Times New Roman" w:hAnsiTheme="majorHAnsi" w:cs="Times New Roman"/>
          <w:szCs w:val="30"/>
          <w:lang w:eastAsia="pl-PL"/>
        </w:rPr>
        <w:lastRenderedPageBreak/>
        <w:t xml:space="preserve">Nazwy  i  siedziby  Wykonawców, którzy złożyli oferty w postępowaniu </w:t>
      </w:r>
      <w:r>
        <w:rPr>
          <w:rFonts w:asciiTheme="majorHAnsi" w:eastAsia="Times New Roman" w:hAnsiTheme="majorHAnsi" w:cs="Times New Roman"/>
          <w:szCs w:val="30"/>
          <w:lang w:eastAsia="pl-PL"/>
        </w:rPr>
        <w:t xml:space="preserve">dla części I zamówienia </w:t>
      </w:r>
      <w:r w:rsidRPr="00527553">
        <w:rPr>
          <w:rFonts w:asciiTheme="majorHAnsi" w:eastAsia="Times New Roman" w:hAnsiTheme="majorHAnsi" w:cs="Times New Roman"/>
          <w:szCs w:val="30"/>
          <w:lang w:eastAsia="pl-PL"/>
        </w:rPr>
        <w:t>oraz punktacja przyznana  ofertom zgodnie z zapisami SWZ znajduje się w poniższej tab</w:t>
      </w:r>
      <w:r>
        <w:rPr>
          <w:rFonts w:asciiTheme="majorHAnsi" w:eastAsia="Times New Roman" w:hAnsiTheme="majorHAnsi" w:cs="Times New Roman"/>
          <w:szCs w:val="30"/>
          <w:lang w:eastAsia="pl-PL"/>
        </w:rPr>
        <w:t>eli: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4120"/>
        <w:gridCol w:w="1559"/>
        <w:gridCol w:w="1703"/>
        <w:gridCol w:w="1274"/>
      </w:tblGrid>
      <w:tr w:rsidR="002B0C2B" w:rsidRPr="00527553" w14:paraId="7406A987" w14:textId="77777777" w:rsidTr="00203862">
        <w:trPr>
          <w:trHeight w:val="916"/>
          <w:jc w:val="center"/>
        </w:trPr>
        <w:tc>
          <w:tcPr>
            <w:tcW w:w="441" w:type="pct"/>
            <w:vMerge w:val="restart"/>
            <w:shd w:val="clear" w:color="auto" w:fill="002060"/>
            <w:noWrap/>
            <w:vAlign w:val="center"/>
          </w:tcPr>
          <w:p w14:paraId="6744DF9E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Nr oferty</w:t>
            </w:r>
          </w:p>
        </w:tc>
        <w:tc>
          <w:tcPr>
            <w:tcW w:w="2170" w:type="pct"/>
            <w:vMerge w:val="restart"/>
            <w:shd w:val="clear" w:color="auto" w:fill="002060"/>
            <w:noWrap/>
            <w:vAlign w:val="center"/>
          </w:tcPr>
          <w:p w14:paraId="58438E82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Nazwa Wykonawcy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, s</w:t>
            </w:r>
            <w:r w:rsidRPr="00D31268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iedziba lub miejsce wykonywania działalności Wykonawcy</w:t>
            </w:r>
          </w:p>
        </w:tc>
        <w:tc>
          <w:tcPr>
            <w:tcW w:w="1718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2BEF076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Punktacja przyznana ofertom w każdym kryterium oceny ofert</w:t>
            </w:r>
          </w:p>
        </w:tc>
        <w:tc>
          <w:tcPr>
            <w:tcW w:w="671" w:type="pct"/>
            <w:vMerge w:val="restart"/>
            <w:shd w:val="clear" w:color="auto" w:fill="002060"/>
            <w:vAlign w:val="center"/>
          </w:tcPr>
          <w:p w14:paraId="621BB389" w14:textId="77777777" w:rsidR="002B0C2B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Łączna punktacja oferty</w:t>
            </w:r>
          </w:p>
          <w:p w14:paraId="5BC37259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- max 100 punktów</w:t>
            </w:r>
          </w:p>
        </w:tc>
      </w:tr>
      <w:tr w:rsidR="002B0C2B" w:rsidRPr="00527553" w14:paraId="1EE26DFD" w14:textId="77777777" w:rsidTr="00203862">
        <w:trPr>
          <w:trHeight w:val="1373"/>
          <w:jc w:val="center"/>
        </w:trPr>
        <w:tc>
          <w:tcPr>
            <w:tcW w:w="441" w:type="pct"/>
            <w:vMerge/>
            <w:shd w:val="clear" w:color="auto" w:fill="002060"/>
            <w:noWrap/>
            <w:vAlign w:val="center"/>
            <w:hideMark/>
          </w:tcPr>
          <w:p w14:paraId="3EA2A125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70" w:type="pct"/>
            <w:vMerge/>
            <w:shd w:val="clear" w:color="auto" w:fill="002060"/>
            <w:noWrap/>
            <w:vAlign w:val="center"/>
            <w:hideMark/>
          </w:tcPr>
          <w:p w14:paraId="000CE116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923B7E7" w14:textId="6DEB7302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Kryterium cen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a</w:t>
            </w:r>
            <w:r w:rsidR="005E5B4B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za zamówienie podstawowe 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-              max </w:t>
            </w:r>
            <w:r w:rsidR="00203862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9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pkt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A52C128" w14:textId="54B89E50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Kryterium -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fakultatywne warunki ubezpieczenia - max </w:t>
            </w:r>
            <w:r w:rsidR="00203862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1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pkt</w:t>
            </w:r>
          </w:p>
        </w:tc>
        <w:tc>
          <w:tcPr>
            <w:tcW w:w="671" w:type="pct"/>
            <w:vMerge/>
            <w:tcBorders>
              <w:left w:val="single" w:sz="4" w:space="0" w:color="auto"/>
            </w:tcBorders>
            <w:shd w:val="clear" w:color="auto" w:fill="002060"/>
            <w:vAlign w:val="center"/>
            <w:hideMark/>
          </w:tcPr>
          <w:p w14:paraId="13C8F16C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</w:p>
        </w:tc>
      </w:tr>
      <w:tr w:rsidR="00203862" w:rsidRPr="00203862" w14:paraId="33FD2DE0" w14:textId="77777777" w:rsidTr="00203862">
        <w:trPr>
          <w:trHeight w:val="510"/>
          <w:jc w:val="center"/>
        </w:trPr>
        <w:tc>
          <w:tcPr>
            <w:tcW w:w="441" w:type="pct"/>
            <w:noWrap/>
            <w:vAlign w:val="center"/>
          </w:tcPr>
          <w:p w14:paraId="6FA24DC3" w14:textId="20DAD0A6" w:rsidR="00203862" w:rsidRPr="00203862" w:rsidRDefault="00203862" w:rsidP="00872542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203862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2170" w:type="pct"/>
            <w:vAlign w:val="center"/>
          </w:tcPr>
          <w:p w14:paraId="0B16C9C2" w14:textId="77777777" w:rsidR="00203862" w:rsidRPr="00203862" w:rsidRDefault="00203862" w:rsidP="00B80633">
            <w:pPr>
              <w:spacing w:after="0"/>
              <w:jc w:val="center"/>
              <w:rPr>
                <w:rFonts w:asciiTheme="majorHAnsi" w:hAnsiTheme="majorHAnsi"/>
              </w:rPr>
            </w:pPr>
            <w:r w:rsidRPr="00203862">
              <w:rPr>
                <w:rFonts w:asciiTheme="majorHAnsi" w:hAnsiTheme="majorHAnsi"/>
              </w:rPr>
              <w:t>TUZ Towarzystwo Ubezpieczeń Wzajemnych</w:t>
            </w:r>
          </w:p>
          <w:p w14:paraId="408E1D4A" w14:textId="0446CA35" w:rsidR="00203862" w:rsidRPr="00203862" w:rsidRDefault="00203862" w:rsidP="00B80633">
            <w:pPr>
              <w:spacing w:after="0"/>
              <w:jc w:val="center"/>
              <w:rPr>
                <w:rFonts w:asciiTheme="majorHAnsi" w:hAnsiTheme="majorHAnsi"/>
              </w:rPr>
            </w:pPr>
            <w:r w:rsidRPr="00203862">
              <w:rPr>
                <w:rFonts w:asciiTheme="majorHAnsi" w:hAnsiTheme="majorHAnsi"/>
              </w:rPr>
              <w:t>ul. Domaniewska 41, 02-672 Warszawa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7D96E" w14:textId="5573C885" w:rsidR="00203862" w:rsidRPr="00203862" w:rsidRDefault="00203862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203862">
              <w:rPr>
                <w:rFonts w:asciiTheme="majorHAnsi" w:hAnsiTheme="majorHAnsi" w:cstheme="minorHAnsi"/>
                <w:color w:val="000000"/>
              </w:rPr>
              <w:t>Oferta odrzucona</w:t>
            </w:r>
          </w:p>
        </w:tc>
      </w:tr>
      <w:tr w:rsidR="00203862" w:rsidRPr="00203862" w14:paraId="10669E72" w14:textId="77777777" w:rsidTr="00203862">
        <w:trPr>
          <w:trHeight w:val="510"/>
          <w:jc w:val="center"/>
        </w:trPr>
        <w:tc>
          <w:tcPr>
            <w:tcW w:w="441" w:type="pct"/>
            <w:noWrap/>
            <w:vAlign w:val="center"/>
          </w:tcPr>
          <w:p w14:paraId="722B7800" w14:textId="16535B0D" w:rsidR="00203862" w:rsidRPr="00203862" w:rsidRDefault="00203862" w:rsidP="00203862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203862">
              <w:rPr>
                <w:rFonts w:asciiTheme="majorHAnsi" w:hAnsiTheme="majorHAnsi" w:cstheme="minorHAnsi"/>
                <w:color w:val="000000"/>
              </w:rPr>
              <w:t>2</w:t>
            </w:r>
          </w:p>
        </w:tc>
        <w:tc>
          <w:tcPr>
            <w:tcW w:w="2170" w:type="pct"/>
            <w:vAlign w:val="center"/>
          </w:tcPr>
          <w:p w14:paraId="08A78241" w14:textId="62F91F37" w:rsidR="00203862" w:rsidRPr="00203862" w:rsidRDefault="00203862" w:rsidP="00203862">
            <w:pPr>
              <w:spacing w:after="0"/>
              <w:jc w:val="center"/>
              <w:rPr>
                <w:rFonts w:asciiTheme="majorHAnsi" w:hAnsiTheme="majorHAnsi"/>
              </w:rPr>
            </w:pPr>
            <w:r w:rsidRPr="00203862">
              <w:rPr>
                <w:rFonts w:asciiTheme="majorHAnsi" w:hAnsiTheme="majorHAnsi"/>
              </w:rPr>
              <w:t>Sopockie Towarzystwo Ubezpieczeń ERGO Hestia S.A. ul. Hestii 1, 81-731 Sopot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9A9B" w14:textId="27DAE911" w:rsidR="00203862" w:rsidRPr="00203862" w:rsidRDefault="00203862" w:rsidP="00203862">
            <w:pPr>
              <w:spacing w:after="0"/>
              <w:jc w:val="center"/>
              <w:rPr>
                <w:rFonts w:asciiTheme="majorHAnsi" w:hAnsiTheme="majorHAnsi"/>
              </w:rPr>
            </w:pPr>
            <w:r w:rsidRPr="00203862">
              <w:rPr>
                <w:rFonts w:asciiTheme="majorHAnsi" w:hAnsiTheme="majorHAnsi"/>
              </w:rPr>
              <w:t>90,00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FF7B" w14:textId="75F7C96B" w:rsidR="00203862" w:rsidRPr="00203862" w:rsidRDefault="00203862" w:rsidP="00203862">
            <w:pPr>
              <w:spacing w:after="0"/>
              <w:jc w:val="center"/>
              <w:rPr>
                <w:rFonts w:asciiTheme="majorHAnsi" w:hAnsiTheme="majorHAnsi"/>
              </w:rPr>
            </w:pPr>
            <w:r w:rsidRPr="00203862">
              <w:rPr>
                <w:rFonts w:asciiTheme="majorHAnsi" w:hAnsiTheme="majorHAnsi"/>
              </w:rPr>
              <w:t>5,00</w:t>
            </w:r>
          </w:p>
        </w:tc>
        <w:tc>
          <w:tcPr>
            <w:tcW w:w="67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6CDCFC" w14:textId="49CCC1AF" w:rsidR="00203862" w:rsidRPr="00203862" w:rsidRDefault="00203862" w:rsidP="00203862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203862">
              <w:rPr>
                <w:rFonts w:asciiTheme="majorHAnsi" w:hAnsiTheme="majorHAnsi"/>
                <w:b/>
                <w:bCs/>
              </w:rPr>
              <w:t>95,00</w:t>
            </w:r>
          </w:p>
        </w:tc>
      </w:tr>
    </w:tbl>
    <w:p w14:paraId="22E1255D" w14:textId="77777777" w:rsidR="00DB5C2A" w:rsidRDefault="00DB5C2A" w:rsidP="00DB5C2A">
      <w:pPr>
        <w:autoSpaceDE w:val="0"/>
        <w:autoSpaceDN w:val="0"/>
        <w:adjustRightInd w:val="0"/>
        <w:spacing w:after="0"/>
        <w:jc w:val="both"/>
        <w:rPr>
          <w:rFonts w:eastAsia="Times New Roman" w:cs="Sylfaen"/>
          <w:b/>
          <w:color w:val="000000"/>
          <w:szCs w:val="18"/>
        </w:rPr>
      </w:pPr>
    </w:p>
    <w:p w14:paraId="44EF7CB7" w14:textId="77777777" w:rsidR="00203862" w:rsidRDefault="00203862" w:rsidP="00DB5C2A">
      <w:pPr>
        <w:autoSpaceDE w:val="0"/>
        <w:autoSpaceDN w:val="0"/>
        <w:adjustRightInd w:val="0"/>
        <w:spacing w:after="0"/>
        <w:jc w:val="both"/>
        <w:rPr>
          <w:rFonts w:eastAsia="Times New Roman" w:cs="Sylfaen"/>
          <w:b/>
          <w:color w:val="000000"/>
          <w:szCs w:val="18"/>
        </w:rPr>
      </w:pPr>
    </w:p>
    <w:p w14:paraId="7852CD1B" w14:textId="74987480" w:rsidR="00A31D7B" w:rsidRPr="00144642" w:rsidRDefault="00A31D7B" w:rsidP="002342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b/>
          <w:color w:val="000000"/>
          <w:szCs w:val="18"/>
        </w:rPr>
      </w:pPr>
      <w:r w:rsidRPr="00144642">
        <w:rPr>
          <w:rFonts w:asciiTheme="majorHAnsi" w:eastAsia="Times New Roman" w:hAnsiTheme="majorHAnsi" w:cs="Sylfaen"/>
          <w:b/>
          <w:color w:val="000000"/>
          <w:szCs w:val="18"/>
        </w:rPr>
        <w:t xml:space="preserve">W części II zamówienia – </w:t>
      </w:r>
      <w:r w:rsidR="00203862" w:rsidRPr="00203862">
        <w:rPr>
          <w:rFonts w:asciiTheme="majorHAnsi" w:eastAsia="Times New Roman" w:hAnsiTheme="majorHAnsi" w:cs="Sylfaen"/>
          <w:bCs/>
          <w:color w:val="000000"/>
          <w:szCs w:val="18"/>
        </w:rPr>
        <w:t>ubezpieczenia środowiskowe</w:t>
      </w:r>
    </w:p>
    <w:p w14:paraId="4AB3203D" w14:textId="77777777" w:rsidR="00203862" w:rsidRPr="00203862" w:rsidRDefault="00203862" w:rsidP="00203862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b/>
          <w:bCs/>
        </w:rPr>
      </w:pPr>
      <w:r w:rsidRPr="00203862">
        <w:rPr>
          <w:rFonts w:asciiTheme="majorHAnsi" w:hAnsiTheme="majorHAnsi"/>
          <w:b/>
          <w:bCs/>
        </w:rPr>
        <w:t>Sopockie Towarzystwo Ubezpieczeń ERGO Hestia S.A.</w:t>
      </w:r>
    </w:p>
    <w:p w14:paraId="79C48A97" w14:textId="77777777" w:rsidR="00203862" w:rsidRDefault="00203862" w:rsidP="00203862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b/>
          <w:bCs/>
        </w:rPr>
      </w:pPr>
      <w:r w:rsidRPr="00203862">
        <w:rPr>
          <w:rFonts w:asciiTheme="majorHAnsi" w:hAnsiTheme="majorHAnsi"/>
          <w:b/>
          <w:bCs/>
        </w:rPr>
        <w:t>ul. Hestii 1, 81-731 Sopot</w:t>
      </w:r>
    </w:p>
    <w:p w14:paraId="68759218" w14:textId="77777777" w:rsidR="00203862" w:rsidRDefault="00203862" w:rsidP="00203862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</w:rPr>
      </w:pPr>
    </w:p>
    <w:p w14:paraId="318227AF" w14:textId="7F3AAF81" w:rsidR="00A31D7B" w:rsidRPr="00A31D7B" w:rsidRDefault="00A31D7B" w:rsidP="00203862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A31D7B">
        <w:rPr>
          <w:rFonts w:asciiTheme="majorHAnsi" w:eastAsia="Times New Roman" w:hAnsiTheme="majorHAnsi" w:cs="Sylfaen"/>
          <w:color w:val="000000"/>
          <w:szCs w:val="18"/>
        </w:rPr>
        <w:t>Oferta najkorzystniejsza wybrana został</w:t>
      </w:r>
      <w:r w:rsidR="00E05401">
        <w:rPr>
          <w:rFonts w:asciiTheme="majorHAnsi" w:eastAsia="Times New Roman" w:hAnsiTheme="majorHAnsi" w:cs="Sylfaen"/>
          <w:color w:val="000000"/>
          <w:szCs w:val="18"/>
        </w:rPr>
        <w:t>a zgodnie z art. 239 ust. 1 i 2</w:t>
      </w:r>
      <w:r w:rsidRPr="00A31D7B">
        <w:rPr>
          <w:rFonts w:asciiTheme="majorHAnsi" w:eastAsia="Times New Roman" w:hAnsiTheme="majorHAnsi" w:cs="Sylfaen"/>
          <w:color w:val="000000"/>
          <w:szCs w:val="18"/>
        </w:rPr>
        <w:t xml:space="preserve"> ustawy Pzp na podstawie kryteriów oceny ofert określonych w specyfikacji warunków zamówienia, którymi były: cena oraz fakultatywne warunki ubezpieczenia. Oferta otrzymała najwyższą liczbę punktów, obliczoną zgodnie ze wzorem określonym w Rozdz. XX</w:t>
      </w:r>
      <w:r w:rsidR="00203862">
        <w:rPr>
          <w:rFonts w:asciiTheme="majorHAnsi" w:eastAsia="Times New Roman" w:hAnsiTheme="majorHAnsi" w:cs="Sylfaen"/>
          <w:color w:val="000000"/>
          <w:szCs w:val="18"/>
        </w:rPr>
        <w:t>II</w:t>
      </w:r>
      <w:r w:rsidRPr="00A31D7B">
        <w:rPr>
          <w:rFonts w:asciiTheme="majorHAnsi" w:eastAsia="Times New Roman" w:hAnsiTheme="majorHAnsi" w:cs="Sylfaen"/>
          <w:color w:val="000000"/>
          <w:szCs w:val="18"/>
        </w:rPr>
        <w:t xml:space="preserve"> SWZ.</w:t>
      </w:r>
    </w:p>
    <w:p w14:paraId="2EC44E46" w14:textId="6D1E6C29" w:rsidR="002B0901" w:rsidRDefault="002B0901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2B0901">
        <w:rPr>
          <w:rFonts w:asciiTheme="majorHAnsi" w:eastAsia="Times New Roman" w:hAnsiTheme="majorHAnsi" w:cs="Sylfaen"/>
          <w:color w:val="000000"/>
          <w:szCs w:val="18"/>
        </w:rPr>
        <w:t>Wykonawca wykazał spełnienie warunków udziału w postępowaniu oraz brak podstaw do</w:t>
      </w:r>
      <w:r w:rsidR="00A17DF1">
        <w:rPr>
          <w:rFonts w:asciiTheme="majorHAnsi" w:eastAsia="Times New Roman" w:hAnsiTheme="majorHAnsi" w:cs="Sylfaen"/>
          <w:color w:val="000000"/>
          <w:szCs w:val="18"/>
        </w:rPr>
        <w:t> </w:t>
      </w:r>
      <w:r w:rsidRPr="002B0901">
        <w:rPr>
          <w:rFonts w:asciiTheme="majorHAnsi" w:eastAsia="Times New Roman" w:hAnsiTheme="majorHAnsi" w:cs="Sylfaen"/>
          <w:color w:val="000000"/>
          <w:szCs w:val="18"/>
        </w:rPr>
        <w:t>wykluczenia z postępowania.</w:t>
      </w:r>
    </w:p>
    <w:p w14:paraId="0A093911" w14:textId="77777777" w:rsidR="00203862" w:rsidRDefault="0020386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3BFB98BD" w14:textId="41876490" w:rsidR="002B0901" w:rsidRDefault="002B0901" w:rsidP="002B0901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  <w:r w:rsidRPr="00527553">
        <w:rPr>
          <w:rFonts w:asciiTheme="majorHAnsi" w:eastAsia="Times New Roman" w:hAnsiTheme="majorHAnsi" w:cs="Times New Roman"/>
          <w:szCs w:val="30"/>
          <w:lang w:eastAsia="pl-PL"/>
        </w:rPr>
        <w:t xml:space="preserve">Nazwy  i  siedziby  Wykonawców, którzy złożyli oferty w postępowaniu </w:t>
      </w:r>
      <w:r>
        <w:rPr>
          <w:rFonts w:asciiTheme="majorHAnsi" w:eastAsia="Times New Roman" w:hAnsiTheme="majorHAnsi" w:cs="Times New Roman"/>
          <w:szCs w:val="30"/>
          <w:lang w:eastAsia="pl-PL"/>
        </w:rPr>
        <w:t>dla części I</w:t>
      </w:r>
      <w:r w:rsidR="00A17DF1">
        <w:rPr>
          <w:rFonts w:asciiTheme="majorHAnsi" w:eastAsia="Times New Roman" w:hAnsiTheme="majorHAnsi" w:cs="Times New Roman"/>
          <w:szCs w:val="30"/>
          <w:lang w:eastAsia="pl-PL"/>
        </w:rPr>
        <w:t>I</w:t>
      </w:r>
      <w:r>
        <w:rPr>
          <w:rFonts w:asciiTheme="majorHAnsi" w:eastAsia="Times New Roman" w:hAnsiTheme="majorHAnsi" w:cs="Times New Roman"/>
          <w:szCs w:val="30"/>
          <w:lang w:eastAsia="pl-PL"/>
        </w:rPr>
        <w:t xml:space="preserve"> zamówienia </w:t>
      </w:r>
      <w:r w:rsidRPr="00527553">
        <w:rPr>
          <w:rFonts w:asciiTheme="majorHAnsi" w:eastAsia="Times New Roman" w:hAnsiTheme="majorHAnsi" w:cs="Times New Roman"/>
          <w:szCs w:val="30"/>
          <w:lang w:eastAsia="pl-PL"/>
        </w:rPr>
        <w:t>oraz punktacja przyznana  ofertom zgodnie z zapisami SWZ znajduje się w poniższej tab</w:t>
      </w:r>
      <w:r>
        <w:rPr>
          <w:rFonts w:asciiTheme="majorHAnsi" w:eastAsia="Times New Roman" w:hAnsiTheme="majorHAnsi" w:cs="Times New Roman"/>
          <w:szCs w:val="30"/>
          <w:lang w:eastAsia="pl-PL"/>
        </w:rPr>
        <w:t>eli: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1701"/>
        <w:gridCol w:w="1269"/>
      </w:tblGrid>
      <w:tr w:rsidR="002B0C2B" w:rsidRPr="00527553" w14:paraId="122CBE08" w14:textId="77777777" w:rsidTr="001518FD">
        <w:trPr>
          <w:trHeight w:val="624"/>
          <w:jc w:val="center"/>
        </w:trPr>
        <w:tc>
          <w:tcPr>
            <w:tcW w:w="453" w:type="pct"/>
            <w:vMerge w:val="restart"/>
            <w:shd w:val="clear" w:color="auto" w:fill="002060"/>
            <w:noWrap/>
            <w:vAlign w:val="center"/>
          </w:tcPr>
          <w:p w14:paraId="1087E6D3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Nr oferty</w:t>
            </w:r>
          </w:p>
        </w:tc>
        <w:tc>
          <w:tcPr>
            <w:tcW w:w="2048" w:type="pct"/>
            <w:vMerge w:val="restart"/>
            <w:shd w:val="clear" w:color="auto" w:fill="002060"/>
            <w:noWrap/>
            <w:vAlign w:val="center"/>
          </w:tcPr>
          <w:p w14:paraId="48AEE61F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Nazwa Wykonawcy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, s</w:t>
            </w:r>
            <w:r w:rsidRPr="00D31268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iedziba lub miejsce wykonywania działalności Wykonawcy</w:t>
            </w:r>
          </w:p>
        </w:tc>
        <w:tc>
          <w:tcPr>
            <w:tcW w:w="1820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8BF1950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Punktacja przyznana ofertom w każdym kryterium oceny ofert</w:t>
            </w:r>
          </w:p>
        </w:tc>
        <w:tc>
          <w:tcPr>
            <w:tcW w:w="679" w:type="pct"/>
            <w:vMerge w:val="restart"/>
            <w:shd w:val="clear" w:color="auto" w:fill="002060"/>
            <w:vAlign w:val="center"/>
          </w:tcPr>
          <w:p w14:paraId="563AFB09" w14:textId="77777777" w:rsidR="002B0C2B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Łączna punktacja oferty</w:t>
            </w:r>
          </w:p>
          <w:p w14:paraId="2FBD748B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- max 100 punktów</w:t>
            </w:r>
          </w:p>
        </w:tc>
      </w:tr>
      <w:tr w:rsidR="002B0C2B" w:rsidRPr="00527553" w14:paraId="60D008C9" w14:textId="77777777" w:rsidTr="001518FD">
        <w:trPr>
          <w:trHeight w:val="1299"/>
          <w:jc w:val="center"/>
        </w:trPr>
        <w:tc>
          <w:tcPr>
            <w:tcW w:w="453" w:type="pct"/>
            <w:vMerge/>
            <w:shd w:val="clear" w:color="auto" w:fill="002060"/>
            <w:noWrap/>
            <w:vAlign w:val="center"/>
            <w:hideMark/>
          </w:tcPr>
          <w:p w14:paraId="598301F6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048" w:type="pct"/>
            <w:vMerge/>
            <w:shd w:val="clear" w:color="auto" w:fill="002060"/>
            <w:noWrap/>
            <w:vAlign w:val="center"/>
            <w:hideMark/>
          </w:tcPr>
          <w:p w14:paraId="11EF1808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C79A055" w14:textId="2B401543" w:rsidR="002B0C2B" w:rsidRPr="00527553" w:rsidRDefault="005E5B4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Kryterium cen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a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za zamówienie podstawowe </w:t>
            </w:r>
            <w:r w:rsidR="002B0C2B"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-              max </w:t>
            </w:r>
            <w:r w:rsidR="007F5829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9</w:t>
            </w:r>
            <w:r w:rsidR="002B0C2B"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0</w:t>
            </w:r>
            <w:r w:rsidR="002B0C2B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pkt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108A3EA" w14:textId="48644381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Kryterium -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fakultatywne warunki ubezpieczenia - max </w:t>
            </w:r>
            <w:r w:rsidR="007F5829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1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pkt</w:t>
            </w:r>
          </w:p>
        </w:tc>
        <w:tc>
          <w:tcPr>
            <w:tcW w:w="679" w:type="pct"/>
            <w:vMerge/>
            <w:tcBorders>
              <w:left w:val="single" w:sz="4" w:space="0" w:color="auto"/>
            </w:tcBorders>
            <w:shd w:val="clear" w:color="auto" w:fill="002060"/>
            <w:vAlign w:val="center"/>
            <w:hideMark/>
          </w:tcPr>
          <w:p w14:paraId="438502FA" w14:textId="77777777" w:rsidR="002B0C2B" w:rsidRPr="00527553" w:rsidRDefault="002B0C2B" w:rsidP="0087254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</w:p>
        </w:tc>
      </w:tr>
      <w:tr w:rsidR="00203862" w:rsidRPr="007F5829" w14:paraId="53586370" w14:textId="77777777" w:rsidTr="001518FD">
        <w:trPr>
          <w:trHeight w:val="510"/>
          <w:jc w:val="center"/>
        </w:trPr>
        <w:tc>
          <w:tcPr>
            <w:tcW w:w="453" w:type="pct"/>
            <w:noWrap/>
            <w:vAlign w:val="center"/>
          </w:tcPr>
          <w:p w14:paraId="6A767C28" w14:textId="20CE3022" w:rsidR="00203862" w:rsidRPr="007F5829" w:rsidRDefault="00203862" w:rsidP="00203862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7F5829">
              <w:rPr>
                <w:rFonts w:asciiTheme="majorHAnsi" w:hAnsiTheme="majorHAnsi" w:cstheme="minorHAnsi"/>
                <w:color w:val="000000"/>
              </w:rPr>
              <w:t>2</w:t>
            </w:r>
          </w:p>
        </w:tc>
        <w:tc>
          <w:tcPr>
            <w:tcW w:w="2048" w:type="pct"/>
            <w:vAlign w:val="center"/>
          </w:tcPr>
          <w:p w14:paraId="3A00EA2D" w14:textId="77777777" w:rsidR="00683468" w:rsidRDefault="00203862" w:rsidP="00203862">
            <w:pPr>
              <w:spacing w:after="0"/>
              <w:rPr>
                <w:rFonts w:asciiTheme="majorHAnsi" w:hAnsiTheme="majorHAnsi"/>
              </w:rPr>
            </w:pPr>
            <w:r w:rsidRPr="007F5829">
              <w:rPr>
                <w:rFonts w:asciiTheme="majorHAnsi" w:hAnsiTheme="majorHAnsi"/>
              </w:rPr>
              <w:t xml:space="preserve">Sopockie Towarzystwo Ubezpieczeń ERGO Hestia S.A. </w:t>
            </w:r>
          </w:p>
          <w:p w14:paraId="5E85EE8F" w14:textId="30CCC07B" w:rsidR="00203862" w:rsidRPr="007F5829" w:rsidRDefault="00203862" w:rsidP="00203862">
            <w:pPr>
              <w:spacing w:after="0"/>
              <w:rPr>
                <w:rFonts w:asciiTheme="majorHAnsi" w:hAnsiTheme="majorHAnsi"/>
              </w:rPr>
            </w:pPr>
            <w:r w:rsidRPr="007F5829">
              <w:rPr>
                <w:rFonts w:asciiTheme="majorHAnsi" w:hAnsiTheme="majorHAnsi"/>
              </w:rPr>
              <w:t>ul. Hestii 1, 81-731 Sopot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D098" w14:textId="76168FDF" w:rsidR="00203862" w:rsidRPr="007F5829" w:rsidRDefault="007F5829" w:rsidP="00203862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7F5829">
              <w:rPr>
                <w:rFonts w:asciiTheme="majorHAnsi" w:hAnsiTheme="majorHAnsi" w:cstheme="minorHAnsi"/>
                <w:color w:val="000000"/>
              </w:rPr>
              <w:t>90,00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3F98" w14:textId="4C8C9521" w:rsidR="00203862" w:rsidRPr="007F5829" w:rsidRDefault="007F5829" w:rsidP="00203862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7F5829">
              <w:rPr>
                <w:rFonts w:asciiTheme="majorHAnsi" w:hAnsiTheme="majorHAnsi" w:cstheme="minorHAnsi"/>
                <w:color w:val="000000"/>
              </w:rPr>
              <w:t>3,50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0C8508" w14:textId="777FA4D1" w:rsidR="00203862" w:rsidRPr="007F5829" w:rsidRDefault="007F5829" w:rsidP="00203862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7F5829">
              <w:rPr>
                <w:rFonts w:asciiTheme="majorHAnsi" w:hAnsiTheme="majorHAnsi" w:cstheme="minorHAnsi"/>
                <w:b/>
                <w:bCs/>
                <w:color w:val="000000"/>
              </w:rPr>
              <w:t>93,50</w:t>
            </w:r>
          </w:p>
        </w:tc>
      </w:tr>
    </w:tbl>
    <w:p w14:paraId="5357930C" w14:textId="77777777" w:rsidR="008E340D" w:rsidRDefault="008E340D" w:rsidP="00451F5E">
      <w:pPr>
        <w:spacing w:after="0"/>
        <w:jc w:val="both"/>
        <w:rPr>
          <w:rFonts w:asciiTheme="majorHAnsi" w:hAnsiTheme="majorHAnsi"/>
        </w:rPr>
      </w:pPr>
    </w:p>
    <w:p w14:paraId="19EC12BC" w14:textId="77777777" w:rsidR="003F7955" w:rsidRPr="000E66AC" w:rsidRDefault="003F7955" w:rsidP="003F7955">
      <w:pPr>
        <w:spacing w:after="0"/>
        <w:jc w:val="both"/>
        <w:rPr>
          <w:rFonts w:asciiTheme="majorHAnsi" w:hAnsiTheme="majorHAnsi" w:cstheme="minorHAnsi"/>
          <w:b/>
          <w:bCs/>
        </w:rPr>
      </w:pPr>
    </w:p>
    <w:p w14:paraId="22704B3D" w14:textId="05949FA9" w:rsidR="00D26943" w:rsidRDefault="00DB5C2A" w:rsidP="00423D36">
      <w:pPr>
        <w:ind w:firstLine="6237"/>
        <w:jc w:val="both"/>
        <w:rPr>
          <w:rFonts w:asciiTheme="majorHAnsi" w:hAnsiTheme="majorHAnsi" w:cstheme="minorHAnsi"/>
          <w:b/>
          <w:bCs/>
        </w:rPr>
      </w:pPr>
      <w:r w:rsidRPr="00763FAD">
        <w:rPr>
          <w:rFonts w:asciiTheme="majorHAnsi" w:hAnsiTheme="majorHAnsi" w:cstheme="minorHAnsi"/>
          <w:b/>
          <w:bCs/>
          <w:noProof/>
          <w:lang w:eastAsia="pl-PL"/>
        </w:rPr>
        <w:t>Zamawiając</w:t>
      </w:r>
      <w:r w:rsidR="00C45697">
        <w:rPr>
          <w:rFonts w:asciiTheme="majorHAnsi" w:hAnsiTheme="majorHAnsi" w:cstheme="minorHAnsi"/>
          <w:b/>
          <w:bCs/>
          <w:noProof/>
          <w:lang w:eastAsia="pl-PL"/>
        </w:rPr>
        <w:t>y</w:t>
      </w:r>
    </w:p>
    <w:p w14:paraId="7C8551F3" w14:textId="3BD83E82" w:rsidR="00F2053B" w:rsidRDefault="00F2053B" w:rsidP="00FF2BA3">
      <w:pPr>
        <w:ind w:left="6804" w:hanging="567"/>
        <w:jc w:val="both"/>
        <w:rPr>
          <w:b/>
          <w:bCs/>
        </w:rPr>
      </w:pPr>
    </w:p>
    <w:sectPr w:rsidR="00F2053B" w:rsidSect="00423D3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492A" w14:textId="77777777" w:rsidR="00341E66" w:rsidRDefault="00341E66" w:rsidP="00850F8A">
      <w:pPr>
        <w:spacing w:after="0" w:line="240" w:lineRule="auto"/>
      </w:pPr>
      <w:r>
        <w:separator/>
      </w:r>
    </w:p>
  </w:endnote>
  <w:endnote w:type="continuationSeparator" w:id="0">
    <w:p w14:paraId="0EA792E7" w14:textId="77777777" w:rsidR="00341E66" w:rsidRDefault="00341E66" w:rsidP="0085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13F5" w14:textId="77777777" w:rsidR="00341E66" w:rsidRDefault="00341E66" w:rsidP="00850F8A">
      <w:pPr>
        <w:spacing w:after="0" w:line="240" w:lineRule="auto"/>
      </w:pPr>
      <w:r>
        <w:separator/>
      </w:r>
    </w:p>
  </w:footnote>
  <w:footnote w:type="continuationSeparator" w:id="0">
    <w:p w14:paraId="5C40C87B" w14:textId="77777777" w:rsidR="00341E66" w:rsidRDefault="00341E66" w:rsidP="0085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52D38F1"/>
    <w:multiLevelType w:val="hybridMultilevel"/>
    <w:tmpl w:val="7464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43037">
    <w:abstractNumId w:val="1"/>
  </w:num>
  <w:num w:numId="2" w16cid:durableId="1823277254">
    <w:abstractNumId w:val="0"/>
  </w:num>
  <w:num w:numId="3" w16cid:durableId="154029635">
    <w:abstractNumId w:val="7"/>
  </w:num>
  <w:num w:numId="4" w16cid:durableId="1437477133">
    <w:abstractNumId w:val="10"/>
  </w:num>
  <w:num w:numId="5" w16cid:durableId="1054351779">
    <w:abstractNumId w:val="9"/>
  </w:num>
  <w:num w:numId="6" w16cid:durableId="1348486174">
    <w:abstractNumId w:val="6"/>
  </w:num>
  <w:num w:numId="7" w16cid:durableId="493691989">
    <w:abstractNumId w:val="2"/>
  </w:num>
  <w:num w:numId="8" w16cid:durableId="424959743">
    <w:abstractNumId w:val="2"/>
  </w:num>
  <w:num w:numId="9" w16cid:durableId="168106816">
    <w:abstractNumId w:val="6"/>
  </w:num>
  <w:num w:numId="10" w16cid:durableId="756483435">
    <w:abstractNumId w:val="3"/>
  </w:num>
  <w:num w:numId="11" w16cid:durableId="24211588">
    <w:abstractNumId w:val="5"/>
  </w:num>
  <w:num w:numId="12" w16cid:durableId="411127366">
    <w:abstractNumId w:val="4"/>
  </w:num>
  <w:num w:numId="13" w16cid:durableId="1054544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F05"/>
    <w:rsid w:val="000154C0"/>
    <w:rsid w:val="000202DD"/>
    <w:rsid w:val="00035F5A"/>
    <w:rsid w:val="00037413"/>
    <w:rsid w:val="0004068C"/>
    <w:rsid w:val="000428AC"/>
    <w:rsid w:val="000536B1"/>
    <w:rsid w:val="000807AD"/>
    <w:rsid w:val="000A4586"/>
    <w:rsid w:val="000A6C53"/>
    <w:rsid w:val="000C4405"/>
    <w:rsid w:val="000E66AC"/>
    <w:rsid w:val="000F0959"/>
    <w:rsid w:val="000F6043"/>
    <w:rsid w:val="00144642"/>
    <w:rsid w:val="00145629"/>
    <w:rsid w:val="001518FD"/>
    <w:rsid w:val="0015526F"/>
    <w:rsid w:val="00163AD1"/>
    <w:rsid w:val="001705AF"/>
    <w:rsid w:val="001A44C4"/>
    <w:rsid w:val="001D683E"/>
    <w:rsid w:val="001F7D95"/>
    <w:rsid w:val="002024F8"/>
    <w:rsid w:val="00203862"/>
    <w:rsid w:val="00220708"/>
    <w:rsid w:val="00234221"/>
    <w:rsid w:val="002667B9"/>
    <w:rsid w:val="00275365"/>
    <w:rsid w:val="002B0901"/>
    <w:rsid w:val="002B0C2B"/>
    <w:rsid w:val="002B5E9E"/>
    <w:rsid w:val="002C5090"/>
    <w:rsid w:val="002C5DAB"/>
    <w:rsid w:val="0031154C"/>
    <w:rsid w:val="00315C1A"/>
    <w:rsid w:val="003374A2"/>
    <w:rsid w:val="00341E66"/>
    <w:rsid w:val="00355B37"/>
    <w:rsid w:val="00374536"/>
    <w:rsid w:val="00386442"/>
    <w:rsid w:val="003D4F1C"/>
    <w:rsid w:val="003D7B5D"/>
    <w:rsid w:val="003F7955"/>
    <w:rsid w:val="00403017"/>
    <w:rsid w:val="004031A1"/>
    <w:rsid w:val="00423BAA"/>
    <w:rsid w:val="00423D36"/>
    <w:rsid w:val="00424DA9"/>
    <w:rsid w:val="00434E5D"/>
    <w:rsid w:val="00435E58"/>
    <w:rsid w:val="00451F5E"/>
    <w:rsid w:val="00484B44"/>
    <w:rsid w:val="004A187B"/>
    <w:rsid w:val="004D284B"/>
    <w:rsid w:val="004D7DF9"/>
    <w:rsid w:val="004E41A3"/>
    <w:rsid w:val="004F1288"/>
    <w:rsid w:val="00502AB3"/>
    <w:rsid w:val="00526582"/>
    <w:rsid w:val="00527553"/>
    <w:rsid w:val="00536EEF"/>
    <w:rsid w:val="00561E34"/>
    <w:rsid w:val="005727C1"/>
    <w:rsid w:val="005813DE"/>
    <w:rsid w:val="005834E0"/>
    <w:rsid w:val="005858C4"/>
    <w:rsid w:val="00593B76"/>
    <w:rsid w:val="005960AA"/>
    <w:rsid w:val="005E5B4B"/>
    <w:rsid w:val="006251CE"/>
    <w:rsid w:val="0066160A"/>
    <w:rsid w:val="00664675"/>
    <w:rsid w:val="00683468"/>
    <w:rsid w:val="006A3C3A"/>
    <w:rsid w:val="006F62B8"/>
    <w:rsid w:val="0071616C"/>
    <w:rsid w:val="0073061E"/>
    <w:rsid w:val="0073265C"/>
    <w:rsid w:val="00763FAD"/>
    <w:rsid w:val="00775AE1"/>
    <w:rsid w:val="0077765C"/>
    <w:rsid w:val="007A23D2"/>
    <w:rsid w:val="007A732A"/>
    <w:rsid w:val="007B399B"/>
    <w:rsid w:val="007F5829"/>
    <w:rsid w:val="00802F26"/>
    <w:rsid w:val="008063BC"/>
    <w:rsid w:val="008251F5"/>
    <w:rsid w:val="00833557"/>
    <w:rsid w:val="00850F8A"/>
    <w:rsid w:val="00871C07"/>
    <w:rsid w:val="008A3A64"/>
    <w:rsid w:val="008D4E0E"/>
    <w:rsid w:val="008E340D"/>
    <w:rsid w:val="00921E10"/>
    <w:rsid w:val="00940422"/>
    <w:rsid w:val="00942BB4"/>
    <w:rsid w:val="0094785C"/>
    <w:rsid w:val="00951F88"/>
    <w:rsid w:val="00956710"/>
    <w:rsid w:val="009665C4"/>
    <w:rsid w:val="009721B9"/>
    <w:rsid w:val="009842B9"/>
    <w:rsid w:val="00997D39"/>
    <w:rsid w:val="009C77F0"/>
    <w:rsid w:val="009E621A"/>
    <w:rsid w:val="009F293F"/>
    <w:rsid w:val="009F5BB6"/>
    <w:rsid w:val="009F6E00"/>
    <w:rsid w:val="00A17DF1"/>
    <w:rsid w:val="00A20317"/>
    <w:rsid w:val="00A244EA"/>
    <w:rsid w:val="00A30165"/>
    <w:rsid w:val="00A31D7B"/>
    <w:rsid w:val="00A3698F"/>
    <w:rsid w:val="00A57F4D"/>
    <w:rsid w:val="00A9036F"/>
    <w:rsid w:val="00A97798"/>
    <w:rsid w:val="00AA2DC7"/>
    <w:rsid w:val="00AD56BF"/>
    <w:rsid w:val="00B07CBB"/>
    <w:rsid w:val="00B23307"/>
    <w:rsid w:val="00B6109B"/>
    <w:rsid w:val="00B652C5"/>
    <w:rsid w:val="00B80633"/>
    <w:rsid w:val="00C02D8E"/>
    <w:rsid w:val="00C075CC"/>
    <w:rsid w:val="00C07F3B"/>
    <w:rsid w:val="00C159A7"/>
    <w:rsid w:val="00C16241"/>
    <w:rsid w:val="00C334F4"/>
    <w:rsid w:val="00C433B6"/>
    <w:rsid w:val="00C45697"/>
    <w:rsid w:val="00C81FFF"/>
    <w:rsid w:val="00C85CAA"/>
    <w:rsid w:val="00C86F60"/>
    <w:rsid w:val="00C908B3"/>
    <w:rsid w:val="00CA72AD"/>
    <w:rsid w:val="00CC2328"/>
    <w:rsid w:val="00CC63CF"/>
    <w:rsid w:val="00CD2CCC"/>
    <w:rsid w:val="00CD585A"/>
    <w:rsid w:val="00CD726D"/>
    <w:rsid w:val="00CF7742"/>
    <w:rsid w:val="00D115D8"/>
    <w:rsid w:val="00D20881"/>
    <w:rsid w:val="00D26943"/>
    <w:rsid w:val="00D33CF9"/>
    <w:rsid w:val="00D53ADB"/>
    <w:rsid w:val="00D7673F"/>
    <w:rsid w:val="00D86031"/>
    <w:rsid w:val="00DB5C2A"/>
    <w:rsid w:val="00DD0AC3"/>
    <w:rsid w:val="00DD3104"/>
    <w:rsid w:val="00DE6F8C"/>
    <w:rsid w:val="00E05401"/>
    <w:rsid w:val="00E35716"/>
    <w:rsid w:val="00E55B55"/>
    <w:rsid w:val="00E727B0"/>
    <w:rsid w:val="00E81020"/>
    <w:rsid w:val="00E85B04"/>
    <w:rsid w:val="00EB19E8"/>
    <w:rsid w:val="00EC36FB"/>
    <w:rsid w:val="00EC53B5"/>
    <w:rsid w:val="00ED72CD"/>
    <w:rsid w:val="00F2053B"/>
    <w:rsid w:val="00F4569F"/>
    <w:rsid w:val="00F506CC"/>
    <w:rsid w:val="00F54C73"/>
    <w:rsid w:val="00F561D6"/>
    <w:rsid w:val="00FB0BBD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F8A"/>
  </w:style>
  <w:style w:type="paragraph" w:styleId="Stopka">
    <w:name w:val="footer"/>
    <w:basedOn w:val="Normalny"/>
    <w:link w:val="StopkaZnak"/>
    <w:uiPriority w:val="99"/>
    <w:unhideWhenUsed/>
    <w:rsid w:val="0085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F8A"/>
  </w:style>
  <w:style w:type="character" w:styleId="Hipercze">
    <w:name w:val="Hyperlink"/>
    <w:basedOn w:val="Domylnaczcionkaakapitu"/>
    <w:uiPriority w:val="99"/>
    <w:unhideWhenUsed/>
    <w:rsid w:val="00144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64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0536B1"/>
  </w:style>
  <w:style w:type="character" w:customStyle="1" w:styleId="alb-s">
    <w:name w:val="a_lb-s"/>
    <w:basedOn w:val="Domylnaczcionkaakapitu"/>
    <w:rsid w:val="008E340D"/>
  </w:style>
  <w:style w:type="character" w:styleId="Pogrubienie">
    <w:name w:val="Strong"/>
    <w:uiPriority w:val="22"/>
    <w:qFormat/>
    <w:rsid w:val="00203862"/>
    <w:rPr>
      <w:b/>
      <w:bCs/>
    </w:rPr>
  </w:style>
  <w:style w:type="paragraph" w:styleId="NormalnyWeb">
    <w:name w:val="Normal (Web)"/>
    <w:basedOn w:val="Normalny"/>
    <w:rsid w:val="0016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16</cp:revision>
  <cp:lastPrinted>2023-06-07T06:13:00Z</cp:lastPrinted>
  <dcterms:created xsi:type="dcterms:W3CDTF">2023-06-09T07:16:00Z</dcterms:created>
  <dcterms:modified xsi:type="dcterms:W3CDTF">2023-07-19T10:37:00Z</dcterms:modified>
</cp:coreProperties>
</file>