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264"/>
        <w:ind w:right="-142" w:hanging="0"/>
        <w:jc w:val="right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Załącznik nr 1 do Zaproszenia </w:t>
      </w:r>
    </w:p>
    <w:p>
      <w:pPr>
        <w:pStyle w:val="Normal"/>
        <w:tabs>
          <w:tab w:val="left" w:pos="0" w:leader="none"/>
        </w:tabs>
        <w:spacing w:lineRule="auto" w:line="276"/>
        <w:ind w:right="-142" w:hanging="0"/>
        <w:jc w:val="right"/>
        <w:rPr>
          <w:rFonts w:ascii="Arial" w:hAnsi="Arial"/>
          <w:b/>
          <w:b/>
          <w:i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WTT.236.66.2.2020</w:t>
      </w:r>
    </w:p>
    <w:p>
      <w:pPr>
        <w:pStyle w:val="Normal"/>
        <w:tabs>
          <w:tab w:val="left" w:pos="0" w:leader="none"/>
        </w:tabs>
        <w:spacing w:lineRule="auto" w:line="276"/>
        <w:ind w:right="-142" w:hanging="0"/>
        <w:jc w:val="right"/>
        <w:rPr>
          <w:rFonts w:ascii="Arial" w:hAnsi="Arial"/>
          <w:b/>
          <w:b/>
          <w:i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</w:r>
    </w:p>
    <w:tbl>
      <w:tblPr>
        <w:tblW w:w="1488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407"/>
        <w:gridCol w:w="12473"/>
      </w:tblGrid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Funkcjonalność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Radioprzemiennik ma realizować funkcję wyniesionej stacji nadawczo-odbiorczej (na kanale simpleksowym pasma 149MHz) sterowanej łączem radiowym (kanał simpleksowy w paśmie 165 MHz). 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 metalowa, szczelnie zamykana, z możliwością montażu na ścianie.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Tryby pracy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Konwencjonalny analogowy z tonową blokadą szumów CTCSS oraz DMR.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Układ nadajników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5"/>
              </w:numPr>
              <w:ind w:left="376" w:hanging="360"/>
              <w:jc w:val="both"/>
              <w:rPr/>
            </w:pPr>
            <w:r>
              <w:rPr>
                <w:rFonts w:ascii="Arial" w:hAnsi="Arial"/>
                <w:sz w:val="22"/>
                <w:szCs w:val="22"/>
              </w:rPr>
              <w:t>Radioprzemiennik musi być wyposażony w dwa urządzenia nadawczo-odbiorcze mogące pracować na różnych częstotliwościach z wykorzystaniem dwóch osobnych torów antenowych.</w:t>
            </w:r>
          </w:p>
          <w:p>
            <w:pPr>
              <w:pStyle w:val="Zawartotabeli"/>
              <w:numPr>
                <w:ilvl w:val="0"/>
                <w:numId w:val="5"/>
              </w:numPr>
              <w:ind w:left="376" w:hanging="360"/>
              <w:jc w:val="both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Radioprzemiennik musi spełniać wymagania dla pracujących w PSP urządzeń radiowych, wynikające z „Instrukcji z sprawie organizacji łączności radiowej” z dnia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.04.2019 roku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AC 230V z zastosowaniem zasilacza obsługującego akumulator dla zachowania </w:t>
            </w:r>
            <w:r>
              <w:rPr>
                <w:rFonts w:ascii="Arial" w:hAnsi="Arial"/>
                <w:sz w:val="22"/>
                <w:szCs w:val="22"/>
              </w:rPr>
              <w:t xml:space="preserve">nieprzerwanej </w:t>
            </w:r>
            <w:r>
              <w:rPr>
                <w:rFonts w:ascii="Arial" w:hAnsi="Arial"/>
                <w:sz w:val="22"/>
                <w:szCs w:val="22"/>
              </w:rPr>
              <w:t>pracy przy zaniku zasilania w sieci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Pasmo pracy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2"/>
              </w:numPr>
              <w:ind w:left="365" w:hanging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VHF: 136-174MHz.</w:t>
            </w:r>
          </w:p>
          <w:p>
            <w:pPr>
              <w:pStyle w:val="Zawartotabeli"/>
              <w:numPr>
                <w:ilvl w:val="0"/>
                <w:numId w:val="2"/>
              </w:numPr>
              <w:ind w:left="365" w:hanging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Wymagane są 2 filtry pasmowo przepustowe VHF, po jednym dla każdego toru antenowego, zestrojone wg wymagań  zamawiającego, dla uzyskania maksymalnie separacji odbiornika względem nadajnika.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Zabezpieczenia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kpl. ochronników antenowych typu polyphaser.</w:t>
            </w:r>
          </w:p>
          <w:p>
            <w:pPr>
              <w:pStyle w:val="Zawartotabeli"/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Przeciwprzepięciowe zabezpieczenie zasilania typu B+C.</w:t>
            </w:r>
          </w:p>
          <w:p>
            <w:pPr>
              <w:pStyle w:val="Zawartotabeli"/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Zabezpieczenie przed skutkami zaniku zasilania umożliwiające podtrzymanie działania urządzenia przez minimum 240 minut (w tym 60 minut przy nadawaniu).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Dołączone akcesoria: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3"/>
              </w:numPr>
              <w:ind w:left="365" w:hanging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Kabel zasilający.</w:t>
            </w:r>
          </w:p>
          <w:p>
            <w:pPr>
              <w:pStyle w:val="Zawartotabeli"/>
              <w:numPr>
                <w:ilvl w:val="0"/>
                <w:numId w:val="3"/>
              </w:numPr>
              <w:ind w:left="365" w:hanging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Instrukcja obsługi w języku Polskim.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>Gwarancja dla całości zamówienia: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4"/>
              </w:numPr>
              <w:ind w:left="365" w:hanging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trwania gwarancji: min. 24 miesięcy od daty odbioru. </w:t>
            </w:r>
          </w:p>
          <w:p>
            <w:pPr>
              <w:pStyle w:val="Zawartotabeli"/>
              <w:numPr>
                <w:ilvl w:val="0"/>
                <w:numId w:val="4"/>
              </w:numPr>
              <w:ind w:left="365" w:hanging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gwarancji: Door-To-Door. 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wersji przez cały okres trwania gwarancji.</w:t>
            </w:r>
          </w:p>
        </w:tc>
      </w:tr>
      <w:tr>
        <w:trPr>
          <w:trHeight w:val="419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techniczny:</w:t>
            </w:r>
          </w:p>
        </w:tc>
        <w:tc>
          <w:tcPr>
            <w:tcW w:w="1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Całość dostarczanego sprzętu i oprogramowania musi być nowa, nierefabrykowana i wcześniej nieużywana.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rPr/>
      </w:pPr>
      <w:r>
        <w:rPr>
          <w:rStyle w:val="Strong"/>
          <w:rFonts w:ascii="Arial" w:hAnsi="Arial"/>
          <w:sz w:val="22"/>
          <w:szCs w:val="22"/>
        </w:rPr>
        <w:t>Uwaga: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88" w:before="0" w:after="140"/>
        <w:rPr/>
      </w:pPr>
      <w:r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tabeli.</w:t>
      </w:r>
    </w:p>
    <w:sectPr>
      <w:footerReference w:type="default" r:id="rId2"/>
      <w:type w:val="nextPage"/>
      <w:pgSz w:orient="landscape" w:w="16838" w:h="11906"/>
      <w:pgMar w:left="1020" w:right="1020" w:header="0" w:top="1020" w:footer="102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strona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</w:r>
    <w:r>
      <w:rPr>
        <w:i/>
        <w:color w:val="000000"/>
        <w:sz w:val="20"/>
        <w:szCs w:val="20"/>
      </w:rPr>
      <w:t>Załącznik nr 1 do Zaproszenia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Nagwek2">
    <w:name w:val="Heading 2"/>
    <w:basedOn w:val="Gwka"/>
    <w:qFormat/>
    <w:pPr>
      <w:spacing w:before="200" w:after="0"/>
      <w:outlineLvl w:val="1"/>
    </w:pPr>
    <w:rPr>
      <w:rFonts w:ascii="Liberation Serif" w:hAnsi="Liberation Serif" w:eastAsia="SimSun"/>
      <w:b/>
      <w:bCs/>
      <w:sz w:val="36"/>
      <w:szCs w:val="3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d4652"/>
    <w:pPr>
      <w:keepNext w:val="true"/>
      <w:keepLines/>
      <w:spacing w:before="40" w:after="0"/>
      <w:outlineLvl w:val="2"/>
    </w:pPr>
    <w:rPr>
      <w:rFonts w:ascii="Calibri Light" w:hAnsi="Calibri Light" w:eastAsia="" w:cs="Mangal" w:asciiTheme="majorHAnsi" w:eastAsiaTheme="majorEastAsia" w:hAnsiTheme="majorHAnsi"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b36b4"/>
    <w:rPr>
      <w:color w:val="0563C1" w:themeColor="hyperlink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77709"/>
    <w:rPr>
      <w:rFonts w:cs="Mangal"/>
      <w:sz w:val="20"/>
      <w:szCs w:val="18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77709"/>
    <w:rPr>
      <w:vertAlign w:val="superscript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b36b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a533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01a8a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d4652"/>
    <w:rPr>
      <w:rFonts w:ascii="Calibri Light" w:hAnsi="Calibri Light" w:eastAsia="" w:cs="Mangal" w:asciiTheme="majorHAnsi" w:eastAsiaTheme="majorEastAsia" w:hAnsiTheme="majorHAnsi"/>
      <w:color w:val="1F4D78" w:themeColor="accent1" w:themeShade="7f"/>
      <w:szCs w:val="21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 w:cs="Symbol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" w:hAnsi="Arial" w:cs="Symbol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" w:hAnsi="Arial" w:cs="Symbol"/>
      <w:sz w:val="2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Arial" w:hAnsi="Arial" w:cs="Symbol"/>
      <w:sz w:val="2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Gwkaistopka" w:customStyle="1">
    <w:name w:val="Główka i stopk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77709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Application>LibreOffice/6.0.7.3$MacOSX_X86_64 LibreOffice_project/dc89aa7a9eabfd848af146d5086077aeed2ae4a5</Application>
  <Pages>2</Pages>
  <Words>293</Words>
  <Characters>1996</Characters>
  <CharactersWithSpaces>2249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2020-10-09T13:08:00Z</dcterms:created>
  <dc:creator>Łukasz Nowak</dc:creator>
  <dc:description/>
  <dc:language>pl-PL</dc:language>
  <cp:lastModifiedBy/>
  <cp:lastPrinted>2020-10-06T11:41:00Z</cp:lastPrinted>
  <dcterms:modified xsi:type="dcterms:W3CDTF">2020-10-20T09:05:36Z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