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34079B25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355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9015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</w:t>
      </w:r>
      <w:r w:rsidR="00355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</w:t>
      </w:r>
      <w:r w:rsidR="009015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355D7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20003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55D7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00032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4626DF48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1582" w:rsidRPr="00901582">
        <w:rPr>
          <w:rFonts w:ascii="Times New Roman" w:eastAsia="Calibri" w:hAnsi="Times New Roman" w:cs="Times New Roman"/>
          <w:b/>
          <w:sz w:val="28"/>
          <w:szCs w:val="28"/>
        </w:rPr>
        <w:t>Dostawa rękawic, fartuchów oraz ob</w:t>
      </w:r>
      <w:r w:rsidR="00C03DEA">
        <w:rPr>
          <w:rFonts w:ascii="Times New Roman" w:eastAsia="Calibri" w:hAnsi="Times New Roman" w:cs="Times New Roman"/>
          <w:b/>
          <w:sz w:val="28"/>
          <w:szCs w:val="28"/>
        </w:rPr>
        <w:t>łożeń</w:t>
      </w:r>
      <w:r w:rsidR="00901582" w:rsidRPr="00901582">
        <w:rPr>
          <w:rFonts w:ascii="Times New Roman" w:eastAsia="Calibri" w:hAnsi="Times New Roman" w:cs="Times New Roman"/>
          <w:b/>
          <w:sz w:val="28"/>
          <w:szCs w:val="28"/>
        </w:rPr>
        <w:t xml:space="preserve"> pola operacyjnego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0F3605A0" w14:textId="77777777" w:rsidR="00575055" w:rsidRPr="00575055" w:rsidRDefault="00575055" w:rsidP="00575055">
      <w:pPr>
        <w:rPr>
          <w:rFonts w:ascii="Times New Roman" w:eastAsia="Calibri" w:hAnsi="Times New Roman" w:cs="Times New Roman"/>
        </w:rPr>
      </w:pPr>
    </w:p>
    <w:p w14:paraId="772B8C85" w14:textId="77777777" w:rsidR="00575055" w:rsidRPr="00575055" w:rsidRDefault="00575055" w:rsidP="00575055">
      <w:pPr>
        <w:rPr>
          <w:rFonts w:ascii="Times New Roman" w:eastAsia="Calibri" w:hAnsi="Times New Roman" w:cs="Times New Roman"/>
        </w:rPr>
      </w:pPr>
    </w:p>
    <w:p w14:paraId="0379D358" w14:textId="77777777" w:rsidR="00575055" w:rsidRPr="00575055" w:rsidRDefault="00575055" w:rsidP="00575055">
      <w:pPr>
        <w:rPr>
          <w:rFonts w:ascii="Times New Roman" w:eastAsia="Calibri" w:hAnsi="Times New Roman" w:cs="Times New Roman"/>
        </w:rPr>
      </w:pPr>
    </w:p>
    <w:p w14:paraId="61914102" w14:textId="77777777" w:rsidR="00575055" w:rsidRPr="00575055" w:rsidRDefault="00575055" w:rsidP="00575055">
      <w:pPr>
        <w:ind w:firstLine="708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1C131F">
        <w:rPr>
          <w:rFonts w:ascii="Times New Roman" w:eastAsia="Times New Roman" w:hAnsi="Times New Roman" w:cs="Times New Roman"/>
          <w:bCs/>
          <w:u w:val="single"/>
          <w:lang w:eastAsia="ar-SA"/>
        </w:rPr>
        <w:t>71 32 70 491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C34C47C" w:rsidR="00D22E84" w:rsidRDefault="006B7E0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D22E84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3013B8" w14:textId="066D3380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 w:rsidR="006B7E08"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 w:rsidR="006B7E08"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C71660A" w14:textId="77777777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564728F" w14:textId="77777777" w:rsidR="0057454D" w:rsidRPr="003B4859" w:rsidRDefault="0057454D" w:rsidP="005745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98BCB7D" w14:textId="7F1C5A24" w:rsidR="0057454D" w:rsidRPr="00BF7A04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 w:rsidR="00767A31"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 w:rsidR="003F1CF6">
        <w:rPr>
          <w:rFonts w:ascii="Times New Roman" w:hAnsi="Times New Roman"/>
        </w:rPr>
        <w:t>obach Medycznych (Dz. U. z 2022</w:t>
      </w:r>
      <w:r w:rsidR="00226BA1">
        <w:rPr>
          <w:rFonts w:ascii="Times New Roman" w:hAnsi="Times New Roman"/>
        </w:rPr>
        <w:t xml:space="preserve"> r. poz. 974</w:t>
      </w:r>
      <w:r w:rsidRPr="00BF7A04">
        <w:rPr>
          <w:rFonts w:ascii="Times New Roman" w:hAnsi="Times New Roman"/>
        </w:rPr>
        <w:t>),</w:t>
      </w:r>
    </w:p>
    <w:p w14:paraId="630A57B2" w14:textId="77777777" w:rsidR="0057454D" w:rsidRPr="008E0C66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68DFF3C5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FD209E">
        <w:rPr>
          <w:rFonts w:ascii="Times New Roman" w:eastAsia="Arial" w:hAnsi="Times New Roman" w:cs="Times New Roman"/>
          <w:lang w:eastAsia="ar-SA"/>
        </w:rPr>
        <w:t xml:space="preserve"> – Kodeks cywilny (Dz. U. z 2022</w:t>
      </w:r>
      <w:r>
        <w:rPr>
          <w:rFonts w:ascii="Times New Roman" w:eastAsia="Arial" w:hAnsi="Times New Roman" w:cs="Times New Roman"/>
          <w:lang w:eastAsia="ar-SA"/>
        </w:rPr>
        <w:t xml:space="preserve"> r., poz. 1</w:t>
      </w:r>
      <w:r w:rsidR="00FD209E">
        <w:rPr>
          <w:rFonts w:ascii="Times New Roman" w:eastAsia="Arial" w:hAnsi="Times New Roman" w:cs="Times New Roman"/>
          <w:lang w:eastAsia="ar-SA"/>
        </w:rPr>
        <w:t>360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0BE88AEA" w14:textId="1E85C505" w:rsidR="00320B96" w:rsidRPr="00BF7969" w:rsidRDefault="00320B96" w:rsidP="00320B96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>
        <w:rPr>
          <w:rFonts w:ascii="Times New Roman" w:eastAsia="Calibri" w:hAnsi="Times New Roman" w:cs="Times New Roman"/>
        </w:rPr>
        <w:t>wyrobów medycznych</w:t>
      </w:r>
      <w:r w:rsidR="00901582">
        <w:rPr>
          <w:rFonts w:ascii="Times New Roman" w:eastAsia="Calibri" w:hAnsi="Times New Roman" w:cs="Times New Roman"/>
        </w:rPr>
        <w:t xml:space="preserve"> do Magazynu Apteki Szpitalnej </w:t>
      </w:r>
      <w:r>
        <w:rPr>
          <w:rFonts w:ascii="Times New Roman" w:eastAsia="Calibri" w:hAnsi="Times New Roman" w:cs="Times New Roman"/>
        </w:rPr>
        <w:t xml:space="preserve"> </w:t>
      </w:r>
      <w:r w:rsidR="00901582">
        <w:rPr>
          <w:rFonts w:ascii="Times New Roman" w:eastAsia="Calibri" w:hAnsi="Times New Roman" w:cs="Times New Roman"/>
        </w:rPr>
        <w:t>do</w:t>
      </w:r>
      <w:r w:rsidRPr="00BF7969">
        <w:rPr>
          <w:rFonts w:ascii="Times New Roman" w:eastAsia="Calibri" w:hAnsi="Times New Roman" w:cs="Times New Roman"/>
        </w:rPr>
        <w:t xml:space="preserve"> </w:t>
      </w:r>
      <w:r w:rsidRPr="009C237E">
        <w:rPr>
          <w:rFonts w:ascii="Times New Roman" w:eastAsia="Calibri" w:hAnsi="Times New Roman" w:cs="Times New Roman"/>
        </w:rPr>
        <w:t>siedziby Zamawiającego</w:t>
      </w:r>
      <w:r>
        <w:rPr>
          <w:rFonts w:ascii="Times New Roman" w:eastAsia="Calibri" w:hAnsi="Times New Roman" w:cs="Times New Roman"/>
        </w:rPr>
        <w:t>, zwanych dalej „wyrobami”</w:t>
      </w:r>
      <w:r w:rsidRPr="00BF7969">
        <w:rPr>
          <w:rFonts w:ascii="Times New Roman" w:eastAsia="Calibri" w:hAnsi="Times New Roman" w:cs="Times New Roman"/>
        </w:rPr>
        <w:t>.</w:t>
      </w:r>
    </w:p>
    <w:p w14:paraId="7325EC40" w14:textId="22D7A5E5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</w:t>
      </w:r>
      <w:r w:rsidRPr="00451864">
        <w:rPr>
          <w:rFonts w:ascii="Times New Roman" w:hAnsi="Times New Roman"/>
        </w:rPr>
        <w:t xml:space="preserve">oraz ilości </w:t>
      </w:r>
      <w:r>
        <w:rPr>
          <w:rFonts w:ascii="Times New Roman" w:hAnsi="Times New Roman"/>
        </w:rPr>
        <w:t xml:space="preserve">przedmiotu zamówienia </w:t>
      </w:r>
      <w:r w:rsidRPr="00451864">
        <w:rPr>
          <w:rFonts w:ascii="Times New Roman" w:hAnsi="Times New Roman"/>
        </w:rPr>
        <w:t>określają formularze asortymentowo – cenowe nr 1.1 – 1.</w:t>
      </w:r>
      <w:r w:rsidR="0090158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451864">
        <w:rPr>
          <w:rFonts w:ascii="Times New Roman" w:hAnsi="Times New Roman"/>
        </w:rPr>
        <w:t>stanowiące załączniki do formularza ofertowego.</w:t>
      </w:r>
    </w:p>
    <w:p w14:paraId="10E54AC4" w14:textId="77777777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 w:rsidRPr="004A031C">
        <w:rPr>
          <w:rFonts w:ascii="Times New Roman" w:eastAsia="Calibri" w:hAnsi="Times New Roman" w:cs="Times New Roman"/>
        </w:rPr>
        <w:t>Termin ważności oferowanych wyrobów medycznych nie może być krótszy niż 12 miesięcy liczony od daty dostawy.</w:t>
      </w:r>
    </w:p>
    <w:p w14:paraId="3FCABA09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5F5F7006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64E58DA" w14:textId="585CD142" w:rsidR="00EE08E5" w:rsidRDefault="008A4E79" w:rsidP="00B23960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04D0EB5A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901582">
        <w:rPr>
          <w:rFonts w:ascii="Times New Roman" w:eastAsia="Calibri" w:hAnsi="Times New Roman" w:cs="Times New Roman"/>
        </w:rPr>
        <w:t>2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6C9FBCD1" w:rsidR="005D20B9" w:rsidRPr="00E35192" w:rsidRDefault="0006162F" w:rsidP="00186292">
      <w:pPr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6162F">
        <w:rPr>
          <w:rFonts w:ascii="Times New Roman" w:eastAsia="Calibri" w:hAnsi="Times New Roman" w:cs="Times New Roman"/>
        </w:rPr>
        <w:t xml:space="preserve">Zamawiający wymaga, aby Wykonawca realizował przedmiot zamówienia sukcesywnie </w:t>
      </w:r>
      <w:r w:rsidR="00901582">
        <w:rPr>
          <w:rFonts w:ascii="Times New Roman" w:eastAsia="Calibri" w:hAnsi="Times New Roman" w:cs="Times New Roman"/>
        </w:rPr>
        <w:t xml:space="preserve">przez okres </w:t>
      </w:r>
      <w:r w:rsidR="00901582" w:rsidRPr="00901582">
        <w:rPr>
          <w:rFonts w:ascii="Times New Roman" w:eastAsia="Calibri" w:hAnsi="Times New Roman" w:cs="Times New Roman"/>
          <w:b/>
          <w:bCs/>
        </w:rPr>
        <w:t>24 miesięcy</w:t>
      </w:r>
      <w:r w:rsidR="00901582">
        <w:rPr>
          <w:rFonts w:ascii="Times New Roman" w:eastAsia="Calibri" w:hAnsi="Times New Roman" w:cs="Times New Roman"/>
        </w:rPr>
        <w:t xml:space="preserve"> </w:t>
      </w:r>
      <w:r w:rsidRPr="0006162F">
        <w:rPr>
          <w:rFonts w:ascii="Times New Roman" w:eastAsia="Calibri" w:hAnsi="Times New Roman" w:cs="Times New Roman"/>
        </w:rPr>
        <w:t xml:space="preserve">od daty podpisania umowy 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poz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Wykluczenie, o którym mowa w niniejszym punkcie następować będzie na okres ww. okoliczności. W przypadku wykonawcy wykluczonego  na podstawie art. 7 ust 1 ustawy (Dz. U. 2022 poz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Listy Ministra właściwego do spraw wewnętrznych obejmujących osoby i podmioty, wobec których są stosowane środki, o których mowa w art. 1 ustawy (Dz. U. 2022 poz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CE49443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 xml:space="preserve">Wykonawcy wspólnie ubiegający się o udzielenie zamówienia wskazują w formularzu oferty, które </w:t>
      </w:r>
      <w:r w:rsidR="0094633A">
        <w:rPr>
          <w:rFonts w:ascii="Times New Roman" w:eastAsia="Calibri" w:hAnsi="Times New Roman" w:cs="Times New Roman"/>
        </w:rPr>
        <w:t>dostawy</w:t>
      </w:r>
      <w:r w:rsidRPr="00EB1170">
        <w:rPr>
          <w:rFonts w:ascii="Times New Roman" w:eastAsia="Calibri" w:hAnsi="Times New Roman" w:cs="Times New Roman"/>
        </w:rPr>
        <w:t xml:space="preserve">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2065A0C1" w:rsidR="002975C6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75D4CBE0" w14:textId="77777777" w:rsidR="009729AF" w:rsidRPr="006405A1" w:rsidRDefault="009729AF" w:rsidP="009729AF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41997FD3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A04699">
        <w:rPr>
          <w:rFonts w:ascii="Times New Roman" w:eastAsia="Calibri" w:hAnsi="Times New Roman" w:cs="Times New Roman"/>
        </w:rPr>
        <w:t>Anna Lis.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0" w:name="__RefHeading__76_381024118"/>
      <w:bookmarkEnd w:id="20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523351ED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0D385C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0D385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75055">
        <w:rPr>
          <w:rFonts w:ascii="Times New Roman" w:eastAsia="Times New Roman" w:hAnsi="Times New Roman" w:cs="Times New Roman"/>
          <w:b/>
          <w:lang w:eastAsia="ar-SA"/>
        </w:rPr>
        <w:t>13</w:t>
      </w:r>
      <w:r w:rsidR="0083384D" w:rsidRPr="000D385C">
        <w:rPr>
          <w:rFonts w:ascii="Times New Roman" w:eastAsia="Times New Roman" w:hAnsi="Times New Roman" w:cs="Times New Roman"/>
          <w:b/>
          <w:lang w:eastAsia="ar-SA"/>
        </w:rPr>
        <w:t>.0</w:t>
      </w:r>
      <w:r w:rsidR="00575055">
        <w:rPr>
          <w:rFonts w:ascii="Times New Roman" w:eastAsia="Times New Roman" w:hAnsi="Times New Roman" w:cs="Times New Roman"/>
          <w:b/>
          <w:lang w:eastAsia="ar-SA"/>
        </w:rPr>
        <w:t>9</w:t>
      </w:r>
      <w:r w:rsidR="00D526F2" w:rsidRPr="000D385C">
        <w:rPr>
          <w:rFonts w:ascii="Times New Roman" w:eastAsia="Times New Roman" w:hAnsi="Times New Roman" w:cs="Times New Roman"/>
          <w:b/>
          <w:lang w:eastAsia="ar-SA"/>
        </w:rPr>
        <w:t>.2023</w:t>
      </w:r>
      <w:r w:rsidR="002D7E93" w:rsidRPr="000D385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385C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072D3E6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065DE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r w:rsidRPr="00402DB2">
        <w:rPr>
          <w:rFonts w:ascii="Times New Roman" w:eastAsia="Times New Roman" w:hAnsi="Times New Roman" w:cs="Times New Roman"/>
          <w:lang w:eastAsia="ar-SA"/>
        </w:rPr>
        <w:t>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(eIDAS)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>ormatu podpisu XAdES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XAdES.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.rar .gif .bmp .numbers .pages</w:t>
      </w:r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>zaleca się opatrzyć podpisem w formacie XAdES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5959305C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towej prowadzonego </w:t>
      </w:r>
      <w:r w:rsidR="001412AC" w:rsidRPr="000D385C">
        <w:rPr>
          <w:rFonts w:ascii="Times New Roman" w:eastAsia="Calibri" w:hAnsi="Times New Roman" w:cs="Times New Roman"/>
          <w:color w:val="000000"/>
          <w:lang w:eastAsia="pl-PL"/>
        </w:rPr>
        <w:t>postępowania</w:t>
      </w:r>
      <w:r w:rsidRPr="000D385C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0D385C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0D385C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0D385C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0D385C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575055">
        <w:rPr>
          <w:rFonts w:ascii="Times New Roman" w:eastAsia="Calibri" w:hAnsi="Times New Roman" w:cs="Times New Roman"/>
          <w:b/>
          <w:color w:val="000000"/>
          <w:lang w:eastAsia="pl-PL"/>
        </w:rPr>
        <w:t>16</w:t>
      </w:r>
      <w:r w:rsidR="0083384D" w:rsidRPr="000D385C">
        <w:rPr>
          <w:rFonts w:ascii="Times New Roman" w:eastAsia="Calibri" w:hAnsi="Times New Roman" w:cs="Times New Roman"/>
          <w:b/>
          <w:color w:val="000000"/>
          <w:lang w:eastAsia="pl-PL"/>
        </w:rPr>
        <w:t>.0</w:t>
      </w:r>
      <w:r w:rsidR="00575055">
        <w:rPr>
          <w:rFonts w:ascii="Times New Roman" w:eastAsia="Calibri" w:hAnsi="Times New Roman" w:cs="Times New Roman"/>
          <w:b/>
          <w:color w:val="000000"/>
          <w:lang w:eastAsia="pl-PL"/>
        </w:rPr>
        <w:t>6</w:t>
      </w:r>
      <w:r w:rsidR="0083384D" w:rsidRPr="000D385C">
        <w:rPr>
          <w:rFonts w:ascii="Times New Roman" w:eastAsia="Calibri" w:hAnsi="Times New Roman" w:cs="Times New Roman"/>
          <w:b/>
          <w:color w:val="000000"/>
          <w:lang w:eastAsia="pl-PL"/>
        </w:rPr>
        <w:t>.2023</w:t>
      </w:r>
      <w:r w:rsidR="00D95629" w:rsidRPr="000D385C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83384D" w:rsidRPr="000D385C">
        <w:rPr>
          <w:rFonts w:ascii="Times New Roman" w:eastAsia="Calibri" w:hAnsi="Times New Roman" w:cs="Times New Roman"/>
          <w:b/>
          <w:color w:val="000000"/>
          <w:lang w:eastAsia="pl-PL"/>
        </w:rPr>
        <w:t>. do godz. 09:15</w:t>
      </w:r>
      <w:r w:rsidR="004C5BFD" w:rsidRPr="000D385C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2A2114F4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</w:t>
      </w:r>
      <w:r w:rsidRPr="000D385C">
        <w:rPr>
          <w:rFonts w:ascii="Times New Roman" w:hAnsi="Times New Roman" w:cs="Times New Roman"/>
        </w:rPr>
        <w:t xml:space="preserve">dniu </w:t>
      </w:r>
      <w:r w:rsidR="00575055">
        <w:rPr>
          <w:rFonts w:ascii="Times New Roman" w:hAnsi="Times New Roman" w:cs="Times New Roman"/>
          <w:b/>
        </w:rPr>
        <w:t>16</w:t>
      </w:r>
      <w:r w:rsidR="0083384D" w:rsidRPr="000D385C">
        <w:rPr>
          <w:rFonts w:ascii="Times New Roman" w:hAnsi="Times New Roman" w:cs="Times New Roman"/>
          <w:b/>
        </w:rPr>
        <w:t>.0</w:t>
      </w:r>
      <w:r w:rsidR="00575055">
        <w:rPr>
          <w:rFonts w:ascii="Times New Roman" w:hAnsi="Times New Roman" w:cs="Times New Roman"/>
          <w:b/>
        </w:rPr>
        <w:t>6</w:t>
      </w:r>
      <w:r w:rsidR="0096689F" w:rsidRPr="000D385C">
        <w:rPr>
          <w:rFonts w:ascii="Times New Roman" w:hAnsi="Times New Roman" w:cs="Times New Roman"/>
          <w:b/>
        </w:rPr>
        <w:t>.202</w:t>
      </w:r>
      <w:r w:rsidR="0083384D" w:rsidRPr="000D385C">
        <w:rPr>
          <w:rFonts w:ascii="Times New Roman" w:hAnsi="Times New Roman" w:cs="Times New Roman"/>
          <w:b/>
        </w:rPr>
        <w:t>3</w:t>
      </w:r>
      <w:r w:rsidR="002B1DDD" w:rsidRPr="000D385C">
        <w:rPr>
          <w:rFonts w:ascii="Times New Roman" w:hAnsi="Times New Roman" w:cs="Times New Roman"/>
          <w:b/>
        </w:rPr>
        <w:t xml:space="preserve"> r.</w:t>
      </w:r>
      <w:r w:rsidRPr="000D385C">
        <w:rPr>
          <w:rFonts w:ascii="Times New Roman" w:hAnsi="Times New Roman" w:cs="Times New Roman"/>
          <w:b/>
        </w:rPr>
        <w:t xml:space="preserve">, o godzinie </w:t>
      </w:r>
      <w:r w:rsidR="0083384D" w:rsidRPr="000D385C">
        <w:rPr>
          <w:rFonts w:ascii="Times New Roman" w:hAnsi="Times New Roman" w:cs="Times New Roman"/>
          <w:b/>
        </w:rPr>
        <w:t>09:30</w:t>
      </w:r>
      <w:r w:rsidRPr="000D385C">
        <w:rPr>
          <w:rFonts w:ascii="Times New Roman" w:hAnsi="Times New Roman" w:cs="Times New Roman"/>
          <w:b/>
          <w:bCs/>
        </w:rPr>
        <w:t>.</w:t>
      </w:r>
      <w:r w:rsidRPr="005001D6">
        <w:rPr>
          <w:rFonts w:ascii="Times New Roman" w:hAnsi="Times New Roman" w:cs="Times New Roman"/>
          <w:b/>
          <w:bCs/>
        </w:rPr>
        <w:t xml:space="preserve">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15DAC53F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C5C4B">
        <w:rPr>
          <w:rFonts w:ascii="Times New Roman" w:eastAsia="Calibri" w:hAnsi="Times New Roman" w:cs="Times New Roman"/>
        </w:rPr>
        <w:t>a</w:t>
      </w:r>
      <w:r w:rsidR="00D526F2">
        <w:rPr>
          <w:rFonts w:ascii="Times New Roman" w:eastAsia="Calibri" w:hAnsi="Times New Roman" w:cs="Times New Roman"/>
        </w:rPr>
        <w:t>nowiących załączniki nr 1.1-1.</w:t>
      </w:r>
      <w:r w:rsidR="00A04699">
        <w:rPr>
          <w:rFonts w:ascii="Times New Roman" w:eastAsia="Calibri" w:hAnsi="Times New Roman" w:cs="Times New Roman"/>
        </w:rPr>
        <w:t>2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B992193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ust.1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1" w:name="__RefHeading__86_381024118"/>
      <w:bookmarkEnd w:id="21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Glubiak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379ACDF2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>związanym z postępowaniem o ud</w:t>
      </w:r>
      <w:r w:rsidR="0083384D">
        <w:rPr>
          <w:rFonts w:ascii="Times New Roman" w:eastAsia="Calibri" w:hAnsi="Times New Roman" w:cs="Times New Roman"/>
          <w:color w:val="000000"/>
        </w:rPr>
        <w:t xml:space="preserve">zielenie zamówienia publicznego </w:t>
      </w:r>
      <w:r w:rsidR="0083384D" w:rsidRPr="0083384D">
        <w:rPr>
          <w:rFonts w:ascii="Times New Roman" w:eastAsia="Calibri" w:hAnsi="Times New Roman" w:cs="Times New Roman"/>
          <w:b/>
          <w:color w:val="000000"/>
        </w:rPr>
        <w:t>Szp</w:t>
      </w:r>
      <w:r w:rsidR="00575055">
        <w:rPr>
          <w:rFonts w:ascii="Times New Roman" w:eastAsia="Calibri" w:hAnsi="Times New Roman" w:cs="Times New Roman"/>
          <w:b/>
          <w:color w:val="000000"/>
        </w:rPr>
        <w:t>-241/</w:t>
      </w:r>
      <w:r w:rsidR="0083384D" w:rsidRPr="0083384D">
        <w:rPr>
          <w:rFonts w:ascii="Times New Roman" w:eastAsia="Calibri" w:hAnsi="Times New Roman" w:cs="Times New Roman"/>
          <w:b/>
          <w:color w:val="000000"/>
        </w:rPr>
        <w:t>ZP-0</w:t>
      </w:r>
      <w:r w:rsidR="00A04699">
        <w:rPr>
          <w:rFonts w:ascii="Times New Roman" w:eastAsia="Calibri" w:hAnsi="Times New Roman" w:cs="Times New Roman"/>
          <w:b/>
          <w:color w:val="000000"/>
        </w:rPr>
        <w:t>01</w:t>
      </w:r>
      <w:r w:rsidR="00575055">
        <w:rPr>
          <w:rFonts w:ascii="Times New Roman" w:eastAsia="Calibri" w:hAnsi="Times New Roman" w:cs="Times New Roman"/>
          <w:b/>
          <w:color w:val="000000"/>
        </w:rPr>
        <w:t>A</w:t>
      </w:r>
      <w:r w:rsidR="0083384D" w:rsidRPr="0083384D">
        <w:rPr>
          <w:rFonts w:ascii="Times New Roman" w:eastAsia="Calibri" w:hAnsi="Times New Roman" w:cs="Times New Roman"/>
          <w:b/>
          <w:color w:val="000000"/>
        </w:rPr>
        <w:t>/2023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6A4CBCD" w14:textId="3ED9D01A" w:rsidR="00F62363" w:rsidRPr="009729A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4E5FBDB6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</w:t>
      </w:r>
      <w:r w:rsidR="001C5C4B"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oświadczenie sankcje</w:t>
      </w:r>
    </w:p>
    <w:sectPr w:rsidR="00A114FA" w:rsidRPr="00A114FA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06162F" w:rsidRDefault="0006162F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06162F" w:rsidRDefault="0006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1893A661" w:rsidR="0006162F" w:rsidRPr="00851403" w:rsidRDefault="0006162F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r w:rsidR="00575055">
              <w:rPr>
                <w:rFonts w:ascii="Times New Roman" w:hAnsi="Times New Roman"/>
                <w:sz w:val="20"/>
                <w:szCs w:val="20"/>
                <w:lang w:val="pl-PL"/>
              </w:rPr>
              <w:t>-241/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ZP</w:t>
            </w:r>
            <w:r w:rsidR="00901582">
              <w:rPr>
                <w:rFonts w:ascii="Times New Roman" w:hAnsi="Times New Roman"/>
                <w:sz w:val="20"/>
                <w:szCs w:val="20"/>
                <w:lang w:val="pl-PL"/>
              </w:rPr>
              <w:t>-001</w:t>
            </w:r>
            <w:r w:rsidR="00575055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B6A2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B6A2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06162F" w:rsidRDefault="0006162F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06162F" w:rsidRDefault="0006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67675">
    <w:abstractNumId w:val="31"/>
  </w:num>
  <w:num w:numId="2" w16cid:durableId="1039545871">
    <w:abstractNumId w:val="44"/>
  </w:num>
  <w:num w:numId="3" w16cid:durableId="2119525153">
    <w:abstractNumId w:val="38"/>
  </w:num>
  <w:num w:numId="4" w16cid:durableId="1030255390">
    <w:abstractNumId w:val="39"/>
  </w:num>
  <w:num w:numId="5" w16cid:durableId="1137065801">
    <w:abstractNumId w:val="1"/>
  </w:num>
  <w:num w:numId="6" w16cid:durableId="1749838147">
    <w:abstractNumId w:val="54"/>
  </w:num>
  <w:num w:numId="7" w16cid:durableId="1562445415">
    <w:abstractNumId w:val="46"/>
  </w:num>
  <w:num w:numId="8" w16cid:durableId="1235892943">
    <w:abstractNumId w:val="45"/>
  </w:num>
  <w:num w:numId="9" w16cid:durableId="1179007795">
    <w:abstractNumId w:val="50"/>
  </w:num>
  <w:num w:numId="10" w16cid:durableId="1750495109">
    <w:abstractNumId w:val="29"/>
  </w:num>
  <w:num w:numId="11" w16cid:durableId="921765299">
    <w:abstractNumId w:val="28"/>
  </w:num>
  <w:num w:numId="12" w16cid:durableId="1601062217">
    <w:abstractNumId w:val="30"/>
  </w:num>
  <w:num w:numId="13" w16cid:durableId="2013024637">
    <w:abstractNumId w:val="8"/>
  </w:num>
  <w:num w:numId="14" w16cid:durableId="433089089">
    <w:abstractNumId w:val="7"/>
  </w:num>
  <w:num w:numId="15" w16cid:durableId="324672778">
    <w:abstractNumId w:val="10"/>
  </w:num>
  <w:num w:numId="16" w16cid:durableId="2127918642">
    <w:abstractNumId w:val="32"/>
  </w:num>
  <w:num w:numId="17" w16cid:durableId="1271548290">
    <w:abstractNumId w:val="43"/>
  </w:num>
  <w:num w:numId="18" w16cid:durableId="1437212548">
    <w:abstractNumId w:val="53"/>
  </w:num>
  <w:num w:numId="19" w16cid:durableId="1854148920">
    <w:abstractNumId w:val="27"/>
  </w:num>
  <w:num w:numId="20" w16cid:durableId="27343197">
    <w:abstractNumId w:val="33"/>
  </w:num>
  <w:num w:numId="21" w16cid:durableId="1022367321">
    <w:abstractNumId w:val="47"/>
  </w:num>
  <w:num w:numId="22" w16cid:durableId="154733604">
    <w:abstractNumId w:val="35"/>
  </w:num>
  <w:num w:numId="23" w16cid:durableId="14207593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2160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247097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989952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2411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62101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475433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05564934">
    <w:abstractNumId w:val="36"/>
  </w:num>
  <w:num w:numId="31" w16cid:durableId="1792626441">
    <w:abstractNumId w:val="42"/>
  </w:num>
  <w:num w:numId="32" w16cid:durableId="1214851973">
    <w:abstractNumId w:val="15"/>
  </w:num>
  <w:num w:numId="33" w16cid:durableId="391125340">
    <w:abstractNumId w:val="34"/>
  </w:num>
  <w:num w:numId="34" w16cid:durableId="1207644718">
    <w:abstractNumId w:val="14"/>
  </w:num>
  <w:num w:numId="35" w16cid:durableId="1316570718">
    <w:abstractNumId w:val="16"/>
  </w:num>
  <w:num w:numId="36" w16cid:durableId="9516718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7382297">
    <w:abstractNumId w:val="22"/>
  </w:num>
  <w:num w:numId="38" w16cid:durableId="1303193825">
    <w:abstractNumId w:val="0"/>
  </w:num>
  <w:num w:numId="39" w16cid:durableId="1396010115">
    <w:abstractNumId w:val="17"/>
  </w:num>
  <w:num w:numId="40" w16cid:durableId="620767631">
    <w:abstractNumId w:val="41"/>
  </w:num>
  <w:num w:numId="41" w16cid:durableId="60913785">
    <w:abstractNumId w:val="57"/>
  </w:num>
  <w:num w:numId="42" w16cid:durableId="1064839659">
    <w:abstractNumId w:val="20"/>
  </w:num>
  <w:num w:numId="43" w16cid:durableId="910046222">
    <w:abstractNumId w:val="18"/>
  </w:num>
  <w:num w:numId="44" w16cid:durableId="683635827">
    <w:abstractNumId w:val="58"/>
  </w:num>
  <w:num w:numId="45" w16cid:durableId="1667512480">
    <w:abstractNumId w:val="48"/>
  </w:num>
  <w:num w:numId="46" w16cid:durableId="1332223130">
    <w:abstractNumId w:val="59"/>
  </w:num>
  <w:num w:numId="47" w16cid:durableId="1370455398">
    <w:abstractNumId w:val="25"/>
  </w:num>
  <w:num w:numId="48" w16cid:durableId="1611743170">
    <w:abstractNumId w:val="5"/>
  </w:num>
  <w:num w:numId="49" w16cid:durableId="1400445442">
    <w:abstractNumId w:val="2"/>
  </w:num>
  <w:num w:numId="50" w16cid:durableId="305739846">
    <w:abstractNumId w:val="6"/>
  </w:num>
  <w:num w:numId="51" w16cid:durableId="133908798">
    <w:abstractNumId w:val="19"/>
  </w:num>
  <w:num w:numId="52" w16cid:durableId="1984893712">
    <w:abstractNumId w:val="40"/>
  </w:num>
  <w:num w:numId="53" w16cid:durableId="196046665">
    <w:abstractNumId w:val="13"/>
  </w:num>
  <w:num w:numId="54" w16cid:durableId="1021467607">
    <w:abstractNumId w:val="37"/>
  </w:num>
  <w:num w:numId="55" w16cid:durableId="956302154">
    <w:abstractNumId w:val="12"/>
  </w:num>
  <w:num w:numId="56" w16cid:durableId="799615210">
    <w:abstractNumId w:val="55"/>
  </w:num>
  <w:num w:numId="57" w16cid:durableId="1009480360">
    <w:abstractNumId w:val="56"/>
  </w:num>
  <w:num w:numId="58" w16cid:durableId="1652902630">
    <w:abstractNumId w:val="24"/>
  </w:num>
  <w:num w:numId="59" w16cid:durableId="1356538746">
    <w:abstractNumId w:val="51"/>
  </w:num>
  <w:num w:numId="60" w16cid:durableId="526601902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162F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D385C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DE"/>
    <w:rsid w:val="00183D5F"/>
    <w:rsid w:val="00185CE6"/>
    <w:rsid w:val="00186292"/>
    <w:rsid w:val="00190CC0"/>
    <w:rsid w:val="001A4954"/>
    <w:rsid w:val="001A611B"/>
    <w:rsid w:val="001A61F3"/>
    <w:rsid w:val="001B6357"/>
    <w:rsid w:val="001B7055"/>
    <w:rsid w:val="001B705E"/>
    <w:rsid w:val="001C131F"/>
    <w:rsid w:val="001C4385"/>
    <w:rsid w:val="001C5C4B"/>
    <w:rsid w:val="001D1278"/>
    <w:rsid w:val="001D5C19"/>
    <w:rsid w:val="001D7CD9"/>
    <w:rsid w:val="001E0167"/>
    <w:rsid w:val="001E18F8"/>
    <w:rsid w:val="001E321C"/>
    <w:rsid w:val="001E6ADE"/>
    <w:rsid w:val="001E7DF7"/>
    <w:rsid w:val="001F06DE"/>
    <w:rsid w:val="001F6A3A"/>
    <w:rsid w:val="00200032"/>
    <w:rsid w:val="00201FE7"/>
    <w:rsid w:val="002024B1"/>
    <w:rsid w:val="00204674"/>
    <w:rsid w:val="0020685C"/>
    <w:rsid w:val="0020751C"/>
    <w:rsid w:val="002101C4"/>
    <w:rsid w:val="00215ABC"/>
    <w:rsid w:val="0021729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2F5B6E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0B96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489C"/>
    <w:rsid w:val="00355D7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1362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2433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5055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6A20"/>
    <w:rsid w:val="006B7061"/>
    <w:rsid w:val="006B7E08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4378"/>
    <w:rsid w:val="00747308"/>
    <w:rsid w:val="00755B08"/>
    <w:rsid w:val="00767A3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2107C"/>
    <w:rsid w:val="008211AA"/>
    <w:rsid w:val="00827BCF"/>
    <w:rsid w:val="0083384D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A00F6"/>
    <w:rsid w:val="008A0F6A"/>
    <w:rsid w:val="008A28DE"/>
    <w:rsid w:val="008A4E79"/>
    <w:rsid w:val="008A6BC3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1582"/>
    <w:rsid w:val="00903D81"/>
    <w:rsid w:val="00907BD1"/>
    <w:rsid w:val="00907CDF"/>
    <w:rsid w:val="00910B14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33A"/>
    <w:rsid w:val="009547AC"/>
    <w:rsid w:val="00956152"/>
    <w:rsid w:val="00962BDD"/>
    <w:rsid w:val="0096689F"/>
    <w:rsid w:val="009729A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4699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4E4"/>
    <w:rsid w:val="00A75E6F"/>
    <w:rsid w:val="00A7648F"/>
    <w:rsid w:val="00A8317F"/>
    <w:rsid w:val="00A842F4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23960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03DEA"/>
    <w:rsid w:val="00C11DC1"/>
    <w:rsid w:val="00C14488"/>
    <w:rsid w:val="00C15AA1"/>
    <w:rsid w:val="00C15F8E"/>
    <w:rsid w:val="00C30597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399F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D4EF9"/>
    <w:rsid w:val="00CD70F7"/>
    <w:rsid w:val="00CF1278"/>
    <w:rsid w:val="00D00696"/>
    <w:rsid w:val="00D00A33"/>
    <w:rsid w:val="00D044BA"/>
    <w:rsid w:val="00D05987"/>
    <w:rsid w:val="00D065DE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26F2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1A6A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08E5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2717D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209E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A9E25809-409B-4FA5-96AD-B13DC6AE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57108D-8AF7-4FAC-95B9-AC2888ED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9313</Words>
  <Characters>55880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3</cp:revision>
  <cp:lastPrinted>2023-01-12T08:47:00Z</cp:lastPrinted>
  <dcterms:created xsi:type="dcterms:W3CDTF">2023-05-09T05:13:00Z</dcterms:created>
  <dcterms:modified xsi:type="dcterms:W3CDTF">2023-05-09T05:17:00Z</dcterms:modified>
</cp:coreProperties>
</file>