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5C9E" w14:textId="723138A4" w:rsidR="0096710E" w:rsidRPr="00DA678D" w:rsidRDefault="0096710E" w:rsidP="00086E7E">
      <w:pPr>
        <w:tabs>
          <w:tab w:val="right" w:pos="8789"/>
        </w:tabs>
        <w:spacing w:after="0" w:line="240" w:lineRule="auto"/>
        <w:rPr>
          <w:rFonts w:asciiTheme="majorHAnsi" w:hAnsiTheme="majorHAnsi" w:cstheme="majorHAnsi"/>
          <w:sz w:val="24"/>
          <w:szCs w:val="24"/>
        </w:rPr>
      </w:pPr>
      <w:r w:rsidRPr="00DA678D">
        <w:rPr>
          <w:rFonts w:asciiTheme="majorHAnsi" w:hAnsiTheme="majorHAnsi" w:cstheme="majorHAnsi"/>
          <w:sz w:val="24"/>
          <w:szCs w:val="24"/>
        </w:rPr>
        <w:t>BZP.271.</w:t>
      </w:r>
      <w:r w:rsidR="009F7B42" w:rsidRPr="00DA678D">
        <w:rPr>
          <w:rFonts w:asciiTheme="majorHAnsi" w:hAnsiTheme="majorHAnsi" w:cstheme="majorHAnsi"/>
          <w:sz w:val="24"/>
          <w:szCs w:val="24"/>
        </w:rPr>
        <w:t>13</w:t>
      </w:r>
      <w:r w:rsidRPr="00DA678D">
        <w:rPr>
          <w:rFonts w:asciiTheme="majorHAnsi" w:hAnsiTheme="majorHAnsi" w:cstheme="majorHAnsi"/>
          <w:sz w:val="24"/>
          <w:szCs w:val="24"/>
        </w:rPr>
        <w:t>.202</w:t>
      </w:r>
      <w:r w:rsidR="00321238" w:rsidRPr="00DA678D">
        <w:rPr>
          <w:rFonts w:asciiTheme="majorHAnsi" w:hAnsiTheme="majorHAnsi" w:cstheme="majorHAnsi"/>
          <w:sz w:val="24"/>
          <w:szCs w:val="24"/>
        </w:rPr>
        <w:t>4</w:t>
      </w:r>
      <w:r w:rsidRPr="00DA678D">
        <w:rPr>
          <w:rFonts w:asciiTheme="majorHAnsi" w:hAnsiTheme="majorHAnsi" w:cstheme="majorHAnsi"/>
          <w:sz w:val="24"/>
          <w:szCs w:val="24"/>
        </w:rPr>
        <w:t xml:space="preserve"> </w:t>
      </w:r>
      <w:r w:rsidRPr="00DA678D">
        <w:rPr>
          <w:rFonts w:asciiTheme="majorHAnsi" w:hAnsiTheme="majorHAnsi" w:cstheme="majorHAnsi"/>
          <w:sz w:val="24"/>
          <w:szCs w:val="24"/>
        </w:rPr>
        <w:tab/>
        <w:t xml:space="preserve">Skoczów, dnia </w:t>
      </w:r>
      <w:r w:rsidR="00EA5DB7" w:rsidRPr="00DA678D">
        <w:rPr>
          <w:rFonts w:asciiTheme="majorHAnsi" w:hAnsiTheme="majorHAnsi" w:cstheme="majorHAnsi"/>
          <w:sz w:val="24"/>
          <w:szCs w:val="24"/>
        </w:rPr>
        <w:t>1</w:t>
      </w:r>
      <w:r w:rsidR="00086E7E">
        <w:rPr>
          <w:rFonts w:asciiTheme="majorHAnsi" w:hAnsiTheme="majorHAnsi" w:cstheme="majorHAnsi"/>
          <w:sz w:val="24"/>
          <w:szCs w:val="24"/>
        </w:rPr>
        <w:t>3</w:t>
      </w:r>
      <w:r w:rsidR="00A1516C" w:rsidRPr="00DA678D">
        <w:rPr>
          <w:rFonts w:asciiTheme="majorHAnsi" w:hAnsiTheme="majorHAnsi" w:cstheme="majorHAnsi"/>
          <w:sz w:val="24"/>
          <w:szCs w:val="24"/>
        </w:rPr>
        <w:t>.0</w:t>
      </w:r>
      <w:r w:rsidR="009F7B42" w:rsidRPr="00DA678D">
        <w:rPr>
          <w:rFonts w:asciiTheme="majorHAnsi" w:hAnsiTheme="majorHAnsi" w:cstheme="majorHAnsi"/>
          <w:sz w:val="24"/>
          <w:szCs w:val="24"/>
        </w:rPr>
        <w:t>5</w:t>
      </w:r>
      <w:r w:rsidR="00D76875" w:rsidRPr="00DA678D">
        <w:rPr>
          <w:rFonts w:asciiTheme="majorHAnsi" w:hAnsiTheme="majorHAnsi" w:cstheme="majorHAnsi"/>
          <w:sz w:val="24"/>
          <w:szCs w:val="24"/>
        </w:rPr>
        <w:t>.202</w:t>
      </w:r>
      <w:r w:rsidR="00A65F7F" w:rsidRPr="00DA678D">
        <w:rPr>
          <w:rFonts w:asciiTheme="majorHAnsi" w:hAnsiTheme="majorHAnsi" w:cstheme="majorHAnsi"/>
          <w:sz w:val="24"/>
          <w:szCs w:val="24"/>
        </w:rPr>
        <w:t>4</w:t>
      </w:r>
      <w:r w:rsidRPr="00DA678D">
        <w:rPr>
          <w:rFonts w:asciiTheme="majorHAnsi" w:hAnsiTheme="majorHAnsi" w:cstheme="majorHAnsi"/>
          <w:sz w:val="24"/>
          <w:szCs w:val="24"/>
        </w:rPr>
        <w:t>r.</w:t>
      </w:r>
    </w:p>
    <w:p w14:paraId="7D53F7CE" w14:textId="77777777" w:rsidR="0096710E" w:rsidRPr="00DA678D" w:rsidRDefault="0096710E" w:rsidP="00086E7E">
      <w:pPr>
        <w:spacing w:after="0" w:line="240" w:lineRule="auto"/>
        <w:rPr>
          <w:rFonts w:asciiTheme="majorHAnsi" w:hAnsiTheme="majorHAnsi" w:cstheme="majorHAnsi"/>
          <w:sz w:val="24"/>
          <w:szCs w:val="24"/>
        </w:rPr>
      </w:pPr>
    </w:p>
    <w:p w14:paraId="195694F2" w14:textId="57B27C16" w:rsidR="005B559F" w:rsidRPr="00DA678D" w:rsidRDefault="0096710E" w:rsidP="00086E7E">
      <w:pPr>
        <w:tabs>
          <w:tab w:val="right" w:pos="8647"/>
        </w:tabs>
        <w:spacing w:after="0" w:line="240" w:lineRule="auto"/>
        <w:ind w:left="4536"/>
        <w:rPr>
          <w:rFonts w:asciiTheme="majorHAnsi" w:hAnsiTheme="majorHAnsi" w:cstheme="majorHAnsi"/>
          <w:b/>
          <w:bCs/>
          <w:sz w:val="24"/>
          <w:szCs w:val="24"/>
        </w:rPr>
      </w:pPr>
      <w:r w:rsidRPr="00DA678D">
        <w:rPr>
          <w:rFonts w:asciiTheme="majorHAnsi" w:hAnsiTheme="majorHAnsi" w:cstheme="majorHAnsi"/>
          <w:b/>
          <w:bCs/>
          <w:sz w:val="24"/>
          <w:szCs w:val="24"/>
        </w:rPr>
        <w:t>Wszyscy Wykonawcy</w:t>
      </w:r>
    </w:p>
    <w:p w14:paraId="299CCC2D" w14:textId="77777777" w:rsidR="0096710E" w:rsidRPr="00DA678D" w:rsidRDefault="0096710E" w:rsidP="00086E7E">
      <w:pPr>
        <w:tabs>
          <w:tab w:val="right" w:pos="8647"/>
        </w:tabs>
        <w:spacing w:after="0" w:line="240" w:lineRule="auto"/>
        <w:rPr>
          <w:rFonts w:asciiTheme="majorHAnsi" w:hAnsiTheme="majorHAnsi" w:cstheme="majorHAnsi"/>
          <w:sz w:val="24"/>
          <w:szCs w:val="24"/>
        </w:rPr>
      </w:pPr>
    </w:p>
    <w:p w14:paraId="5B42754D" w14:textId="77777777" w:rsidR="00F46047" w:rsidRPr="00DA678D" w:rsidRDefault="00F46047" w:rsidP="00086E7E">
      <w:pPr>
        <w:spacing w:after="0" w:line="240" w:lineRule="auto"/>
        <w:rPr>
          <w:rFonts w:asciiTheme="majorHAnsi" w:hAnsiTheme="majorHAnsi" w:cstheme="majorHAnsi"/>
          <w:b/>
          <w:sz w:val="24"/>
          <w:szCs w:val="24"/>
        </w:rPr>
      </w:pPr>
      <w:bookmarkStart w:id="0" w:name="_Hlk95227227"/>
    </w:p>
    <w:p w14:paraId="797529E5" w14:textId="0392AA9C" w:rsidR="0096710E" w:rsidRPr="00DA678D" w:rsidRDefault="007C45DB" w:rsidP="00086E7E">
      <w:pPr>
        <w:spacing w:after="0" w:line="240" w:lineRule="auto"/>
        <w:rPr>
          <w:rFonts w:asciiTheme="majorHAnsi" w:hAnsiTheme="majorHAnsi" w:cstheme="majorHAnsi"/>
          <w:b/>
          <w:bCs/>
          <w:sz w:val="24"/>
          <w:szCs w:val="24"/>
        </w:rPr>
      </w:pPr>
      <w:r w:rsidRPr="00DA678D">
        <w:rPr>
          <w:rFonts w:asciiTheme="majorHAnsi" w:hAnsiTheme="majorHAnsi" w:cstheme="majorHAnsi"/>
          <w:b/>
          <w:sz w:val="24"/>
          <w:szCs w:val="24"/>
        </w:rPr>
        <w:t>Dotyczy postępowania o udzielenie zamówienia publicznego na</w:t>
      </w:r>
      <w:r w:rsidR="004C19DE" w:rsidRPr="00DA678D">
        <w:rPr>
          <w:rFonts w:asciiTheme="majorHAnsi" w:hAnsiTheme="majorHAnsi" w:cstheme="majorHAnsi"/>
          <w:b/>
          <w:sz w:val="24"/>
          <w:szCs w:val="24"/>
        </w:rPr>
        <w:t>:</w:t>
      </w:r>
      <w:r w:rsidRPr="00DA678D">
        <w:rPr>
          <w:rFonts w:asciiTheme="majorHAnsi" w:hAnsiTheme="majorHAnsi" w:cstheme="majorHAnsi"/>
          <w:b/>
          <w:sz w:val="24"/>
          <w:szCs w:val="24"/>
        </w:rPr>
        <w:t xml:space="preserve"> </w:t>
      </w:r>
      <w:bookmarkEnd w:id="0"/>
      <w:r w:rsidR="009F7B42" w:rsidRPr="00DA678D">
        <w:rPr>
          <w:rFonts w:asciiTheme="majorHAnsi" w:hAnsiTheme="majorHAnsi" w:cstheme="majorHAnsi"/>
          <w:b/>
          <w:bCs/>
          <w:sz w:val="24"/>
          <w:szCs w:val="24"/>
        </w:rPr>
        <w:t>Przebudowa fragmentu dróg gminnych ul. Wiślańskiej w Skoczowie i ul. Stara Droga w Harbutowicach wraz z budową chodnika, kanalizacji deszczowej oraz oświetlenia ulicznego w ramach zadania inwestycyjnego pn. „Przebudowa ul. Wiślańskiej os stacji Crab oraz ul. Stara Droga do granicy działki nr 306/14”.</w:t>
      </w:r>
    </w:p>
    <w:p w14:paraId="34A2C95A" w14:textId="77777777" w:rsidR="00705AE3" w:rsidRPr="00DA678D" w:rsidRDefault="00705AE3" w:rsidP="00086E7E">
      <w:pPr>
        <w:tabs>
          <w:tab w:val="right" w:pos="8647"/>
        </w:tabs>
        <w:spacing w:after="0" w:line="240" w:lineRule="auto"/>
        <w:rPr>
          <w:rFonts w:asciiTheme="majorHAnsi" w:hAnsiTheme="majorHAnsi" w:cstheme="majorHAnsi"/>
          <w:sz w:val="24"/>
          <w:szCs w:val="24"/>
        </w:rPr>
      </w:pPr>
    </w:p>
    <w:p w14:paraId="1ED5320D" w14:textId="3E4A29A0" w:rsidR="007C45DB" w:rsidRPr="00DA678D" w:rsidRDefault="007C45DB" w:rsidP="00086E7E">
      <w:pPr>
        <w:tabs>
          <w:tab w:val="right" w:pos="8647"/>
        </w:tabs>
        <w:spacing w:after="0" w:line="240" w:lineRule="auto"/>
        <w:rPr>
          <w:rFonts w:asciiTheme="majorHAnsi" w:hAnsiTheme="majorHAnsi" w:cstheme="majorHAnsi"/>
          <w:sz w:val="24"/>
          <w:szCs w:val="24"/>
        </w:rPr>
      </w:pPr>
      <w:r w:rsidRPr="00DA678D">
        <w:rPr>
          <w:rFonts w:asciiTheme="majorHAnsi" w:hAnsiTheme="majorHAnsi" w:cstheme="majorHAnsi"/>
          <w:sz w:val="24"/>
          <w:szCs w:val="24"/>
        </w:rPr>
        <w:t xml:space="preserve">Na podstawie art. 284 ust. </w:t>
      </w:r>
      <w:r w:rsidR="00705AE3" w:rsidRPr="00DA678D">
        <w:rPr>
          <w:rFonts w:asciiTheme="majorHAnsi" w:hAnsiTheme="majorHAnsi" w:cstheme="majorHAnsi"/>
          <w:sz w:val="24"/>
          <w:szCs w:val="24"/>
        </w:rPr>
        <w:t>2</w:t>
      </w:r>
      <w:r w:rsidRPr="00DA678D">
        <w:rPr>
          <w:rFonts w:asciiTheme="majorHAnsi" w:hAnsiTheme="majorHAnsi" w:cstheme="majorHAnsi"/>
          <w:sz w:val="24"/>
          <w:szCs w:val="24"/>
        </w:rPr>
        <w:t xml:space="preserve"> ustawy z dnia 11 września 2019 r. Prawo zamówień publicznych (tekst jednolity: Dz.U. z 202</w:t>
      </w:r>
      <w:r w:rsidR="00705AE3" w:rsidRPr="00DA678D">
        <w:rPr>
          <w:rFonts w:asciiTheme="majorHAnsi" w:hAnsiTheme="majorHAnsi" w:cstheme="majorHAnsi"/>
          <w:sz w:val="24"/>
          <w:szCs w:val="24"/>
        </w:rPr>
        <w:t>3</w:t>
      </w:r>
      <w:r w:rsidRPr="00DA678D">
        <w:rPr>
          <w:rFonts w:asciiTheme="majorHAnsi" w:hAnsiTheme="majorHAnsi" w:cstheme="majorHAnsi"/>
          <w:sz w:val="24"/>
          <w:szCs w:val="24"/>
        </w:rPr>
        <w:t xml:space="preserve"> r. poz. 1</w:t>
      </w:r>
      <w:r w:rsidR="00705AE3" w:rsidRPr="00DA678D">
        <w:rPr>
          <w:rFonts w:asciiTheme="majorHAnsi" w:hAnsiTheme="majorHAnsi" w:cstheme="majorHAnsi"/>
          <w:sz w:val="24"/>
          <w:szCs w:val="24"/>
        </w:rPr>
        <w:t>605</w:t>
      </w:r>
      <w:r w:rsidRPr="00DA678D">
        <w:rPr>
          <w:rFonts w:asciiTheme="majorHAnsi" w:hAnsiTheme="majorHAnsi" w:cstheme="majorHAnsi"/>
          <w:sz w:val="24"/>
          <w:szCs w:val="24"/>
        </w:rPr>
        <w:t xml:space="preserve"> z późn. zm.), w związku z </w:t>
      </w:r>
      <w:r w:rsidR="00321238" w:rsidRPr="00DA678D">
        <w:rPr>
          <w:rFonts w:asciiTheme="majorHAnsi" w:hAnsiTheme="majorHAnsi" w:cstheme="majorHAnsi"/>
          <w:sz w:val="24"/>
          <w:szCs w:val="24"/>
        </w:rPr>
        <w:t>zapytani</w:t>
      </w:r>
      <w:r w:rsidR="004C19DE" w:rsidRPr="00DA678D">
        <w:rPr>
          <w:rFonts w:asciiTheme="majorHAnsi" w:hAnsiTheme="majorHAnsi" w:cstheme="majorHAnsi"/>
          <w:sz w:val="24"/>
          <w:szCs w:val="24"/>
        </w:rPr>
        <w:t>a</w:t>
      </w:r>
      <w:r w:rsidR="00321238" w:rsidRPr="00DA678D">
        <w:rPr>
          <w:rFonts w:asciiTheme="majorHAnsi" w:hAnsiTheme="majorHAnsi" w:cstheme="majorHAnsi"/>
          <w:sz w:val="24"/>
          <w:szCs w:val="24"/>
        </w:rPr>
        <w:t>m</w:t>
      </w:r>
      <w:r w:rsidR="004C19DE" w:rsidRPr="00DA678D">
        <w:rPr>
          <w:rFonts w:asciiTheme="majorHAnsi" w:hAnsiTheme="majorHAnsi" w:cstheme="majorHAnsi"/>
          <w:sz w:val="24"/>
          <w:szCs w:val="24"/>
        </w:rPr>
        <w:t>i</w:t>
      </w:r>
      <w:r w:rsidRPr="00DA678D">
        <w:rPr>
          <w:rFonts w:asciiTheme="majorHAnsi" w:hAnsiTheme="majorHAnsi" w:cstheme="majorHAnsi"/>
          <w:sz w:val="24"/>
          <w:szCs w:val="24"/>
        </w:rPr>
        <w:t xml:space="preserve"> do treści specyfikacji warunków zamówienia, przekazuję treść zapyta</w:t>
      </w:r>
      <w:r w:rsidR="004C19DE" w:rsidRPr="00DA678D">
        <w:rPr>
          <w:rFonts w:asciiTheme="majorHAnsi" w:hAnsiTheme="majorHAnsi" w:cstheme="majorHAnsi"/>
          <w:sz w:val="24"/>
          <w:szCs w:val="24"/>
        </w:rPr>
        <w:t>ń</w:t>
      </w:r>
      <w:r w:rsidRPr="00DA678D">
        <w:rPr>
          <w:rFonts w:asciiTheme="majorHAnsi" w:hAnsiTheme="majorHAnsi" w:cstheme="majorHAnsi"/>
          <w:sz w:val="24"/>
          <w:szCs w:val="24"/>
        </w:rPr>
        <w:t xml:space="preserve"> Wykonawcy oraz odpowied</w:t>
      </w:r>
      <w:r w:rsidR="004C19DE" w:rsidRPr="00DA678D">
        <w:rPr>
          <w:rFonts w:asciiTheme="majorHAnsi" w:hAnsiTheme="majorHAnsi" w:cstheme="majorHAnsi"/>
          <w:sz w:val="24"/>
          <w:szCs w:val="24"/>
        </w:rPr>
        <w:t>zi</w:t>
      </w:r>
      <w:r w:rsidRPr="00DA678D">
        <w:rPr>
          <w:rFonts w:asciiTheme="majorHAnsi" w:hAnsiTheme="majorHAnsi" w:cstheme="majorHAnsi"/>
          <w:sz w:val="24"/>
          <w:szCs w:val="24"/>
        </w:rPr>
        <w:t>:</w:t>
      </w:r>
    </w:p>
    <w:p w14:paraId="4B231253" w14:textId="77777777" w:rsidR="00705AE3" w:rsidRPr="00DA678D" w:rsidRDefault="00705AE3" w:rsidP="00086E7E">
      <w:pPr>
        <w:tabs>
          <w:tab w:val="right" w:pos="8647"/>
        </w:tabs>
        <w:spacing w:after="0" w:line="240" w:lineRule="auto"/>
        <w:rPr>
          <w:rFonts w:asciiTheme="majorHAnsi" w:hAnsiTheme="majorHAnsi" w:cstheme="majorHAnsi"/>
          <w:b/>
          <w:bCs/>
          <w:sz w:val="24"/>
          <w:szCs w:val="24"/>
          <w:u w:val="single"/>
        </w:rPr>
      </w:pPr>
    </w:p>
    <w:p w14:paraId="4B9B1270" w14:textId="05690BFD" w:rsidR="00321238" w:rsidRPr="00DA678D" w:rsidRDefault="007C45DB" w:rsidP="00086E7E">
      <w:pPr>
        <w:tabs>
          <w:tab w:val="right" w:pos="8647"/>
        </w:tabs>
        <w:spacing w:after="0" w:line="240" w:lineRule="auto"/>
        <w:rPr>
          <w:rFonts w:asciiTheme="majorHAnsi" w:hAnsiTheme="majorHAnsi" w:cstheme="majorHAnsi"/>
          <w:b/>
          <w:bCs/>
          <w:sz w:val="24"/>
          <w:szCs w:val="24"/>
          <w:u w:val="single"/>
        </w:rPr>
      </w:pPr>
      <w:bookmarkStart w:id="1" w:name="_Hlk166135712"/>
      <w:r w:rsidRPr="00DA678D">
        <w:rPr>
          <w:rFonts w:asciiTheme="majorHAnsi" w:hAnsiTheme="majorHAnsi" w:cstheme="majorHAnsi"/>
          <w:b/>
          <w:bCs/>
          <w:sz w:val="24"/>
          <w:szCs w:val="24"/>
          <w:u w:val="single"/>
        </w:rPr>
        <w:t>Pytanie 1</w:t>
      </w:r>
    </w:p>
    <w:bookmarkEnd w:id="1"/>
    <w:p w14:paraId="4DC2A45B" w14:textId="629CCEDB" w:rsidR="009F7B42" w:rsidRPr="000F6B25" w:rsidRDefault="00EA5DB7" w:rsidP="00086E7E">
      <w:pPr>
        <w:autoSpaceDE w:val="0"/>
        <w:autoSpaceDN w:val="0"/>
        <w:adjustRightInd w:val="0"/>
        <w:spacing w:after="0" w:line="240" w:lineRule="auto"/>
        <w:rPr>
          <w:rFonts w:asciiTheme="majorHAnsi" w:hAnsiTheme="majorHAnsi" w:cstheme="majorHAnsi"/>
          <w:sz w:val="24"/>
          <w:szCs w:val="24"/>
        </w:rPr>
      </w:pPr>
      <w:r w:rsidRPr="000F6B25">
        <w:rPr>
          <w:rFonts w:asciiTheme="majorHAnsi" w:hAnsiTheme="majorHAnsi" w:cstheme="majorHAnsi"/>
          <w:sz w:val="24"/>
          <w:szCs w:val="24"/>
        </w:rPr>
        <w:t>Wykonawca wnosi o wykreślenie zapisu projektu umowy par.5 pkt.2 zgodnie z wyrokiem KIO Sygn. akt:</w:t>
      </w:r>
      <w:r w:rsidR="003037AA" w:rsidRPr="000F6B25">
        <w:rPr>
          <w:rFonts w:asciiTheme="majorHAnsi" w:hAnsiTheme="majorHAnsi" w:cstheme="majorHAnsi"/>
          <w:sz w:val="24"/>
          <w:szCs w:val="24"/>
        </w:rPr>
        <w:t xml:space="preserve"> </w:t>
      </w:r>
      <w:r w:rsidRPr="000F6B25">
        <w:rPr>
          <w:rFonts w:asciiTheme="majorHAnsi" w:hAnsiTheme="majorHAnsi" w:cstheme="majorHAnsi"/>
          <w:sz w:val="24"/>
          <w:szCs w:val="24"/>
        </w:rPr>
        <w:t>KIO 1011/15 z dnia 1 czerwca 2015 r., wyrokiem Sądu Najwyższego z dnia 6 października 2004 roku</w:t>
      </w:r>
      <w:r w:rsidR="003037AA" w:rsidRPr="000F6B25">
        <w:rPr>
          <w:rFonts w:asciiTheme="majorHAnsi" w:hAnsiTheme="majorHAnsi" w:cstheme="majorHAnsi"/>
          <w:sz w:val="24"/>
          <w:szCs w:val="24"/>
        </w:rPr>
        <w:t xml:space="preserve"> </w:t>
      </w:r>
      <w:r w:rsidRPr="000F6B25">
        <w:rPr>
          <w:rFonts w:asciiTheme="majorHAnsi" w:hAnsiTheme="majorHAnsi" w:cstheme="majorHAnsi"/>
          <w:sz w:val="24"/>
          <w:szCs w:val="24"/>
        </w:rPr>
        <w:t>(sygn. akt: I CK 71/04) oraz art. 29 ust. 1 Pzp w zw. z art. 647 k.c. i w zw. z art. 651 k.c.</w:t>
      </w:r>
    </w:p>
    <w:p w14:paraId="4361FFBF" w14:textId="77777777" w:rsidR="00D1111D" w:rsidRPr="00DA678D" w:rsidRDefault="00D1111D" w:rsidP="00086E7E">
      <w:pPr>
        <w:autoSpaceDE w:val="0"/>
        <w:autoSpaceDN w:val="0"/>
        <w:adjustRightInd w:val="0"/>
        <w:spacing w:after="0" w:line="240" w:lineRule="auto"/>
        <w:rPr>
          <w:rFonts w:asciiTheme="majorHAnsi" w:hAnsiTheme="majorHAnsi" w:cstheme="majorHAnsi"/>
          <w:color w:val="666666"/>
          <w:sz w:val="24"/>
          <w:szCs w:val="24"/>
        </w:rPr>
      </w:pPr>
    </w:p>
    <w:p w14:paraId="07DB7C00" w14:textId="77777777" w:rsidR="00A9750C" w:rsidRPr="00DA678D" w:rsidRDefault="009F7B42" w:rsidP="00086E7E">
      <w:pPr>
        <w:tabs>
          <w:tab w:val="right" w:pos="8647"/>
        </w:tabs>
        <w:spacing w:after="0" w:line="240" w:lineRule="auto"/>
        <w:rPr>
          <w:rFonts w:asciiTheme="majorHAnsi" w:hAnsiTheme="majorHAnsi" w:cstheme="majorHAnsi"/>
          <w:b/>
          <w:bCs/>
          <w:sz w:val="24"/>
          <w:szCs w:val="24"/>
          <w:u w:val="single"/>
        </w:rPr>
      </w:pPr>
      <w:r w:rsidRPr="00DA678D">
        <w:rPr>
          <w:rFonts w:asciiTheme="majorHAnsi" w:hAnsiTheme="majorHAnsi" w:cstheme="majorHAnsi"/>
          <w:b/>
          <w:bCs/>
          <w:sz w:val="24"/>
          <w:szCs w:val="24"/>
          <w:u w:val="single"/>
        </w:rPr>
        <w:t>Odpowiedź</w:t>
      </w:r>
    </w:p>
    <w:p w14:paraId="0EA1A924" w14:textId="77777777" w:rsidR="000F6B25" w:rsidRPr="000F6B25" w:rsidRDefault="000F6B25" w:rsidP="00086E7E">
      <w:pPr>
        <w:spacing w:after="0" w:line="276" w:lineRule="auto"/>
        <w:rPr>
          <w:rFonts w:asciiTheme="majorHAnsi" w:hAnsiTheme="majorHAnsi" w:cstheme="majorHAnsi"/>
          <w:kern w:val="2"/>
          <w:shd w:val="clear" w:color="auto" w:fill="FFFFFF"/>
          <w14:ligatures w14:val="standardContextual"/>
        </w:rPr>
      </w:pPr>
      <w:r w:rsidRPr="000F6B25">
        <w:rPr>
          <w:rFonts w:asciiTheme="majorHAnsi" w:hAnsiTheme="majorHAnsi" w:cstheme="majorHAnsi"/>
          <w:kern w:val="2"/>
          <w:shd w:val="clear" w:color="auto" w:fill="FFFFFF"/>
          <w14:ligatures w14:val="standardContextual"/>
        </w:rPr>
        <w:t>W wyroku z dnia 3 października 2000 r. (I CKN 301/00), Sąd Najwyższy wyraził pogląd, że jeżeli Wykonawca wykonuje obiekt według projektu inwestora, wówczas projekt stanowi wskazówkę inwestora, co do sposobu wykonania robót. Wykonawca jest wolny od odpowiedzialności za wady robót wynikające z wad projektu, jeżeli o wadach tych uprzedził inwestora lub też pomimo dołożenia należytej staranności wad nie był w stanie zauważyć.</w:t>
      </w:r>
    </w:p>
    <w:p w14:paraId="6AE27276" w14:textId="77777777" w:rsidR="000F6B25" w:rsidRPr="000F6B25" w:rsidRDefault="000F6B25" w:rsidP="00086E7E">
      <w:pPr>
        <w:spacing w:line="276" w:lineRule="auto"/>
        <w:rPr>
          <w:rFonts w:asciiTheme="majorHAnsi" w:hAnsiTheme="majorHAnsi" w:cstheme="majorHAnsi"/>
          <w:kern w:val="2"/>
          <w:shd w:val="clear" w:color="auto" w:fill="FFFFFF"/>
          <w14:ligatures w14:val="standardContextual"/>
        </w:rPr>
      </w:pPr>
      <w:r w:rsidRPr="000F6B25">
        <w:rPr>
          <w:rFonts w:asciiTheme="majorHAnsi" w:hAnsiTheme="majorHAnsi" w:cstheme="majorHAnsi"/>
          <w:kern w:val="2"/>
          <w:shd w:val="clear" w:color="auto" w:fill="FFFFFF"/>
          <w14:ligatures w14:val="standardContextual"/>
        </w:rPr>
        <w:t xml:space="preserve">Za wady projektu odpowiada co do zasady projektant. Jednakże, gdy dojdzie do powstania obiektu na podstawie wadliwego projektu, za wady obiektu będzie także odpowiedzialny Wykonawca obiektu. Wynika to z tego, że w świetle art. 647 k.c. na Wykonawcy spoczywa obowiązek realizacji obiektu nie tylko zgodnie z otrzymanym projektem, ale i z zasadami wiedzy technicznej. </w:t>
      </w:r>
      <w:r w:rsidRPr="000F6B25">
        <w:rPr>
          <w:rFonts w:asciiTheme="majorHAnsi" w:hAnsiTheme="majorHAnsi" w:cstheme="majorHAnsi"/>
          <w:kern w:val="2"/>
          <w14:ligatures w14:val="standardContextual"/>
        </w:rPr>
        <w:t xml:space="preserve">Obowiązek oceny dostarczonego przez inwestora projektu pod kątem możliwości prawidłowego wykonania prac spoczywa na Wykonawcy zarówno na etapie zawierania umowy, przed przystąpieniem do realizacji robót budowlanych, jak i w późniejszych fazach realizacji inwestycji. </w:t>
      </w:r>
      <w:r w:rsidRPr="000F6B25">
        <w:rPr>
          <w:rFonts w:asciiTheme="majorHAnsi" w:hAnsiTheme="majorHAnsi" w:cstheme="majorHAnsi"/>
          <w:kern w:val="2"/>
          <w:shd w:val="clear" w:color="auto" w:fill="FFFFFF"/>
          <w14:ligatures w14:val="standardContextual"/>
        </w:rPr>
        <w:t xml:space="preserve">W związku z powyższym Zamawiający opisał przedmiot zamówienia w sposób jak najbardziej przejrzysty, wyczerpujący i jednoznaczny, za pomocą dostatecznie zrozumiałych i dokładnych określeń oraz uwzględnił wszystkie wymagania i okoliczności mogące mieć wpływ na sporządzenie oferty z zachowaniem zasad uczciwej konkurencji w postepowaniu o udzielenie zamówienia publicznego. Wobec tego, Wykonawcy na etapie konstruowania oferty znane są wszelkie wymagania w zakresie obciążających go obowiązków związanych z realizacją przedmiotu zamówienia, więc koszty ich dopełnienia winien uwzględnić w swojej kalkulacji ceny ofertowej. </w:t>
      </w:r>
    </w:p>
    <w:p w14:paraId="0C4E1567" w14:textId="0EE94461" w:rsidR="000F6B25" w:rsidRPr="000F6B25" w:rsidRDefault="000F6B25" w:rsidP="00086E7E">
      <w:pPr>
        <w:spacing w:line="276" w:lineRule="auto"/>
        <w:rPr>
          <w:rFonts w:asciiTheme="majorHAnsi" w:hAnsiTheme="majorHAnsi" w:cstheme="majorHAnsi"/>
          <w:kern w:val="2"/>
          <w14:ligatures w14:val="standardContextual"/>
        </w:rPr>
      </w:pPr>
      <w:r w:rsidRPr="000F6B25">
        <w:rPr>
          <w:rFonts w:asciiTheme="majorHAnsi" w:hAnsiTheme="majorHAnsi" w:cstheme="majorHAnsi"/>
          <w:kern w:val="2"/>
          <w:shd w:val="clear" w:color="auto" w:fill="FFFFFF"/>
          <w14:ligatures w14:val="standardContextual"/>
        </w:rPr>
        <w:lastRenderedPageBreak/>
        <w:t xml:space="preserve">W  </w:t>
      </w:r>
      <w:r w:rsidRPr="000F6B25">
        <w:rPr>
          <w:rFonts w:asciiTheme="majorHAnsi" w:hAnsiTheme="majorHAnsi" w:cstheme="majorHAnsi"/>
          <w:kern w:val="2"/>
          <w14:ligatures w14:val="standardContextual"/>
        </w:rPr>
        <w:t>§</w:t>
      </w:r>
      <w:r w:rsidRPr="000F6B25">
        <w:rPr>
          <w:rFonts w:asciiTheme="majorHAnsi" w:hAnsiTheme="majorHAnsi" w:cstheme="majorHAnsi"/>
          <w:b/>
          <w:bCs/>
          <w:kern w:val="2"/>
          <w14:ligatures w14:val="standardContextual"/>
        </w:rPr>
        <w:t xml:space="preserve"> </w:t>
      </w:r>
      <w:r w:rsidRPr="000F6B25">
        <w:rPr>
          <w:rFonts w:asciiTheme="majorHAnsi" w:hAnsiTheme="majorHAnsi" w:cstheme="majorHAnsi"/>
          <w:kern w:val="2"/>
          <w:shd w:val="clear" w:color="auto" w:fill="FFFFFF"/>
          <w14:ligatures w14:val="standardContextual"/>
        </w:rPr>
        <w:t xml:space="preserve">5 ust. 1 i 2 umowy, Zamawiający określił wynagrodzenie wykonawcy za zrealizowanie przedmiotu umowy jako wynagrodzenie ryczałtowe, którego zgodnie z </w:t>
      </w:r>
      <w:r w:rsidRPr="000F6B25">
        <w:rPr>
          <w:rFonts w:asciiTheme="majorHAnsi" w:hAnsiTheme="majorHAnsi" w:cstheme="majorHAnsi"/>
          <w:kern w:val="2"/>
          <w14:ligatures w14:val="standardContextual"/>
        </w:rPr>
        <w:t>art. 632 § 1 K.C. istotą jest to, że Wykonawca nie może żądać podwyższenia wynagrodzenia umownego, chociażby w czasie zawarcia umowy nie można było przewidzieć rozmiaru lub kosztów prac. Innymi słowy, wynagrodzenie ryczałtowe jest niezależne od rzeczywistego rozmiaru lub kosztów prac i polega na umówieniu z góry wysokości wynagrodzenia w kwocie absolutnej, przy wyraźnej lub dorozumianej zgodzie stron na to, że Wykonawca nie będzie domagać się wynagrodzenia wyższego. Podobny pogląd wyraził Sąd Apelacyjny w Lublinie w wyroku z dnia 12.03.2021</w:t>
      </w:r>
      <w:r w:rsidR="00086E7E">
        <w:rPr>
          <w:rFonts w:asciiTheme="majorHAnsi" w:hAnsiTheme="majorHAnsi" w:cstheme="majorHAnsi"/>
          <w:kern w:val="2"/>
          <w14:ligatures w14:val="standardContextual"/>
        </w:rPr>
        <w:t xml:space="preserve"> r.</w:t>
      </w:r>
      <w:r w:rsidRPr="000F6B25">
        <w:rPr>
          <w:rFonts w:asciiTheme="majorHAnsi" w:hAnsiTheme="majorHAnsi" w:cstheme="majorHAnsi"/>
          <w:kern w:val="2"/>
          <w14:ligatures w14:val="standardContextual"/>
        </w:rPr>
        <w:t xml:space="preserve"> (. I Aga 139/18)</w:t>
      </w:r>
    </w:p>
    <w:p w14:paraId="2A97BFB3" w14:textId="77777777" w:rsidR="000F6B25" w:rsidRPr="000F6B25" w:rsidRDefault="000F6B25" w:rsidP="00086E7E">
      <w:pPr>
        <w:spacing w:line="276" w:lineRule="auto"/>
        <w:rPr>
          <w:rFonts w:asciiTheme="majorHAnsi" w:hAnsiTheme="majorHAnsi" w:cstheme="majorHAnsi"/>
          <w:kern w:val="2"/>
          <w14:ligatures w14:val="standardContextual"/>
        </w:rPr>
      </w:pPr>
      <w:r w:rsidRPr="000F6B25">
        <w:rPr>
          <w:rFonts w:asciiTheme="majorHAnsi" w:hAnsiTheme="majorHAnsi" w:cstheme="majorHAnsi"/>
          <w:kern w:val="2"/>
          <w14:ligatures w14:val="standardContextual"/>
        </w:rPr>
        <w:t>„Strony decydując się na wynagrodzenie ryczałtowe co do zasady muszą liczyć się z jego bezwzględnym i sztywnym charakterem, gdyż charakter okoliczności z uwagi na które nie przewidziano rozmiaru i kosztów prac nie ma większego znaczenia. W warunkach wynagrodzenia ryczałtowego ryzyko nieuwzględnienia wszystkich prac wymaganych dla realizacji całości przedmiotu zamówienia zgodnie z opisem dokonanym przez Zamawiającego w formie dokumentacji projektowej spoczywa na wykonawcy” , jak również KIO w wyroku z dnia 13.05.2013r. KIO 973/13</w:t>
      </w:r>
    </w:p>
    <w:p w14:paraId="1AA2011C" w14:textId="77777777" w:rsidR="000F6B25" w:rsidRPr="000F6B25" w:rsidRDefault="000F6B25" w:rsidP="00086E7E">
      <w:pPr>
        <w:spacing w:line="276" w:lineRule="auto"/>
        <w:rPr>
          <w:rFonts w:asciiTheme="majorHAnsi" w:hAnsiTheme="majorHAnsi" w:cstheme="majorHAnsi"/>
          <w:kern w:val="2"/>
          <w14:ligatures w14:val="standardContextual"/>
        </w:rPr>
      </w:pPr>
      <w:r w:rsidRPr="000F6B25">
        <w:rPr>
          <w:rFonts w:asciiTheme="majorHAnsi" w:hAnsiTheme="majorHAnsi" w:cstheme="majorHAnsi"/>
          <w:kern w:val="2"/>
          <w14:ligatures w14:val="standardContextual"/>
        </w:rPr>
        <w:t xml:space="preserve">„ Zasadniczym elementem mającym wpływ na rodzaj wynagrodzenia ma rozkład ryzyka za identyfikację przedmiotu zamówienia oraz obliczenie wynagrodzenia, jak również konsekwencje tego ryzyka na etapie realizacji przedmiotu umowy. Tym samym Wykonawca w oparciu o powierzony zakres prac, stanowiący zazwyczaj jego ogólną charakterystykę, winien w przypadku wynagrodzenia ryczałtowego dokonać analizy tego zakresu, i przy przewidzeniu wszelkich możliwych ryzyk określić swoje całkowite wynagrodzenie ponosząc całkowitą odpowiedzialność za poprawność wyceny i prawidłowość identyfikacji przedmiotu zamówienia”. </w:t>
      </w:r>
    </w:p>
    <w:p w14:paraId="541142CC" w14:textId="77777777" w:rsidR="000F6B25" w:rsidRPr="000F6B25" w:rsidRDefault="000F6B25" w:rsidP="00086E7E">
      <w:pPr>
        <w:spacing w:line="276" w:lineRule="auto"/>
        <w:rPr>
          <w:rFonts w:asciiTheme="majorHAnsi" w:hAnsiTheme="majorHAnsi" w:cstheme="majorHAnsi"/>
          <w:kern w:val="2"/>
          <w14:ligatures w14:val="standardContextual"/>
        </w:rPr>
      </w:pPr>
      <w:r w:rsidRPr="000F6B25">
        <w:rPr>
          <w:rFonts w:asciiTheme="majorHAnsi" w:hAnsiTheme="majorHAnsi" w:cstheme="majorHAnsi"/>
          <w:kern w:val="2"/>
          <w14:ligatures w14:val="standardContextual"/>
        </w:rPr>
        <w:t>Należy mieć także na względzie, że w § 1 ust. 8 umowy Zamawiający przewidział możliwość wykonania robót zamiennych w stosunku do przewidzianych w dokumentacji projektowej w sytuacji, gdy wykonanie tych robót będzie niezbędne do prawidłowego tj. zgodnego z zasadami wiedzy technicznej i obowiązującymi na dzień odbioru robót przepisami, wykonania przedmiotu umowy.</w:t>
      </w:r>
    </w:p>
    <w:p w14:paraId="353C6BB8" w14:textId="77777777" w:rsidR="000F6B25" w:rsidRPr="000F6B25" w:rsidRDefault="000F6B25" w:rsidP="00086E7E">
      <w:pPr>
        <w:spacing w:after="0" w:line="276" w:lineRule="auto"/>
        <w:rPr>
          <w:rFonts w:asciiTheme="majorHAnsi" w:hAnsiTheme="majorHAnsi" w:cstheme="majorHAnsi"/>
          <w:kern w:val="2"/>
          <w:shd w:val="clear" w:color="auto" w:fill="FFFFFF"/>
          <w14:ligatures w14:val="standardContextual"/>
        </w:rPr>
      </w:pPr>
      <w:r w:rsidRPr="000F6B25">
        <w:rPr>
          <w:rFonts w:asciiTheme="majorHAnsi" w:hAnsiTheme="majorHAnsi" w:cstheme="majorHAnsi"/>
          <w:kern w:val="2"/>
          <w:shd w:val="clear" w:color="auto" w:fill="FFFFFF"/>
          <w14:ligatures w14:val="standardContextual"/>
        </w:rPr>
        <w:t xml:space="preserve"> Mając na uwadze powyższe, zapis w umowie pozostaje bez zmian.</w:t>
      </w:r>
    </w:p>
    <w:p w14:paraId="1F952F58" w14:textId="77777777" w:rsidR="00107D45" w:rsidRPr="00DA678D" w:rsidRDefault="00107D45" w:rsidP="00086E7E">
      <w:pPr>
        <w:tabs>
          <w:tab w:val="right" w:pos="8647"/>
        </w:tabs>
        <w:spacing w:after="0" w:line="240" w:lineRule="auto"/>
        <w:rPr>
          <w:rFonts w:asciiTheme="majorHAnsi" w:hAnsiTheme="majorHAnsi" w:cstheme="majorHAnsi"/>
          <w:sz w:val="24"/>
          <w:szCs w:val="24"/>
        </w:rPr>
      </w:pPr>
    </w:p>
    <w:p w14:paraId="5105BA2E" w14:textId="77777777" w:rsidR="00107D45" w:rsidRPr="00DA678D" w:rsidRDefault="00107D45" w:rsidP="00086E7E">
      <w:pPr>
        <w:tabs>
          <w:tab w:val="right" w:pos="8647"/>
        </w:tabs>
        <w:spacing w:after="0" w:line="240" w:lineRule="auto"/>
        <w:rPr>
          <w:rFonts w:asciiTheme="majorHAnsi" w:hAnsiTheme="majorHAnsi" w:cstheme="majorHAnsi"/>
          <w:b/>
          <w:bCs/>
          <w:sz w:val="24"/>
          <w:szCs w:val="24"/>
          <w:u w:val="single"/>
        </w:rPr>
      </w:pPr>
    </w:p>
    <w:p w14:paraId="79302317" w14:textId="77777777" w:rsidR="00107D45" w:rsidRPr="00DA678D" w:rsidRDefault="00107D45" w:rsidP="00086E7E">
      <w:pPr>
        <w:tabs>
          <w:tab w:val="right" w:pos="8647"/>
        </w:tabs>
        <w:spacing w:after="0" w:line="240" w:lineRule="auto"/>
        <w:rPr>
          <w:rFonts w:asciiTheme="majorHAnsi" w:hAnsiTheme="majorHAnsi" w:cstheme="majorHAnsi"/>
          <w:b/>
          <w:bCs/>
          <w:sz w:val="24"/>
          <w:szCs w:val="24"/>
          <w:u w:val="single"/>
        </w:rPr>
      </w:pPr>
    </w:p>
    <w:p w14:paraId="482F6744" w14:textId="77777777" w:rsidR="00EA5DB7" w:rsidRPr="00DA678D" w:rsidRDefault="00EA5DB7" w:rsidP="00086E7E">
      <w:pPr>
        <w:tabs>
          <w:tab w:val="right" w:pos="8647"/>
        </w:tabs>
        <w:spacing w:after="0" w:line="240" w:lineRule="auto"/>
        <w:rPr>
          <w:rFonts w:asciiTheme="majorHAnsi" w:hAnsiTheme="majorHAnsi" w:cstheme="majorHAnsi"/>
          <w:b/>
          <w:bCs/>
          <w:sz w:val="24"/>
          <w:szCs w:val="24"/>
          <w:u w:val="single"/>
        </w:rPr>
      </w:pPr>
    </w:p>
    <w:p w14:paraId="2EF7C148" w14:textId="439F2C45" w:rsidR="00107D45" w:rsidRPr="00DA678D" w:rsidRDefault="00E75DF2" w:rsidP="00086E7E">
      <w:pPr>
        <w:tabs>
          <w:tab w:val="right" w:pos="8647"/>
        </w:tabs>
        <w:spacing w:after="0" w:line="240" w:lineRule="auto"/>
        <w:rPr>
          <w:rFonts w:asciiTheme="majorHAnsi" w:hAnsiTheme="majorHAnsi" w:cstheme="majorHAnsi"/>
          <w:sz w:val="24"/>
          <w:szCs w:val="24"/>
        </w:rPr>
      </w:pPr>
      <w:r w:rsidRPr="00DA678D">
        <w:rPr>
          <w:rFonts w:asciiTheme="majorHAnsi" w:hAnsiTheme="majorHAnsi" w:cstheme="majorHAnsi"/>
          <w:sz w:val="24"/>
          <w:szCs w:val="24"/>
        </w:rPr>
        <w:t xml:space="preserve">                                                                                              Podpisane przez:</w:t>
      </w:r>
    </w:p>
    <w:p w14:paraId="6CC3BE79" w14:textId="7BD22226" w:rsidR="00ED5FAA" w:rsidRPr="00DA678D" w:rsidRDefault="00FB1727" w:rsidP="00086E7E">
      <w:pPr>
        <w:tabs>
          <w:tab w:val="right" w:pos="8647"/>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                                                                 Rajmund Dedio – Burmistrz Miasta Skoczowa </w:t>
      </w:r>
    </w:p>
    <w:sectPr w:rsidR="00ED5FAA" w:rsidRPr="00DA678D" w:rsidSect="008F05CC">
      <w:headerReference w:type="default" r:id="rId6"/>
      <w:footerReference w:type="default" r:id="rId7"/>
      <w:pgSz w:w="11906" w:h="16838"/>
      <w:pgMar w:top="1284"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BB57" w14:textId="77777777" w:rsidR="00705AE3" w:rsidRDefault="00705AE3" w:rsidP="00705AE3">
      <w:pPr>
        <w:spacing w:after="0" w:line="240" w:lineRule="auto"/>
      </w:pPr>
      <w:r>
        <w:separator/>
      </w:r>
    </w:p>
  </w:endnote>
  <w:endnote w:type="continuationSeparator" w:id="0">
    <w:p w14:paraId="23B0800D" w14:textId="77777777" w:rsidR="00705AE3" w:rsidRDefault="00705AE3" w:rsidP="0070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445310"/>
      <w:docPartObj>
        <w:docPartGallery w:val="Page Numbers (Bottom of Page)"/>
        <w:docPartUnique/>
      </w:docPartObj>
    </w:sdtPr>
    <w:sdtEndPr/>
    <w:sdtContent>
      <w:sdt>
        <w:sdtPr>
          <w:id w:val="1728636285"/>
          <w:docPartObj>
            <w:docPartGallery w:val="Page Numbers (Top of Page)"/>
            <w:docPartUnique/>
          </w:docPartObj>
        </w:sdtPr>
        <w:sdtEndPr/>
        <w:sdtContent>
          <w:p w14:paraId="49A27B07" w14:textId="0B6E0E1A" w:rsidR="00086E7E" w:rsidRDefault="00086E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56027C" w14:textId="77777777" w:rsidR="00086E7E" w:rsidRDefault="00086E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122D" w14:textId="77777777" w:rsidR="00705AE3" w:rsidRDefault="00705AE3" w:rsidP="00705AE3">
      <w:pPr>
        <w:spacing w:after="0" w:line="240" w:lineRule="auto"/>
      </w:pPr>
      <w:r>
        <w:separator/>
      </w:r>
    </w:p>
  </w:footnote>
  <w:footnote w:type="continuationSeparator" w:id="0">
    <w:p w14:paraId="31031717" w14:textId="77777777" w:rsidR="00705AE3" w:rsidRDefault="00705AE3" w:rsidP="00705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7" w:type="dxa"/>
      <w:tblInd w:w="212" w:type="dxa"/>
      <w:tblLayout w:type="fixed"/>
      <w:tblCellMar>
        <w:left w:w="70" w:type="dxa"/>
        <w:right w:w="70" w:type="dxa"/>
      </w:tblCellMar>
      <w:tblLook w:val="0000" w:firstRow="0" w:lastRow="0" w:firstColumn="0" w:lastColumn="0" w:noHBand="0" w:noVBand="0"/>
    </w:tblPr>
    <w:tblGrid>
      <w:gridCol w:w="1843"/>
      <w:gridCol w:w="7864"/>
    </w:tblGrid>
    <w:tr w:rsidR="00705AE3" w14:paraId="77FDC398" w14:textId="77777777" w:rsidTr="008F05CC">
      <w:trPr>
        <w:cantSplit/>
        <w:trHeight w:val="1418"/>
      </w:trPr>
      <w:tc>
        <w:tcPr>
          <w:tcW w:w="1843" w:type="dxa"/>
        </w:tcPr>
        <w:p w14:paraId="6125AF17" w14:textId="77777777" w:rsidR="00705AE3" w:rsidRDefault="00705AE3" w:rsidP="00705AE3">
          <w:pPr>
            <w:pStyle w:val="Nagwek"/>
            <w:tabs>
              <w:tab w:val="clear" w:pos="4536"/>
              <w:tab w:val="clear" w:pos="9072"/>
            </w:tabs>
            <w:snapToGrid w:val="0"/>
            <w:rPr>
              <w:rFonts w:ascii="Comic Sans MS" w:hAnsi="Comic Sans MS"/>
              <w:spacing w:val="-20"/>
              <w:sz w:val="10"/>
              <w:szCs w:val="10"/>
            </w:rPr>
          </w:pPr>
          <w:r w:rsidRPr="000F59BD">
            <w:rPr>
              <w:noProof/>
            </w:rPr>
            <w:drawing>
              <wp:inline distT="0" distB="0" distL="0" distR="0" wp14:anchorId="5D45998D" wp14:editId="52208F76">
                <wp:extent cx="847725" cy="866775"/>
                <wp:effectExtent l="0" t="0" r="9525" b="9525"/>
                <wp:docPr id="20880679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solidFill>
                          <a:srgbClr val="FFFFFF"/>
                        </a:solidFill>
                        <a:ln>
                          <a:noFill/>
                        </a:ln>
                      </pic:spPr>
                    </pic:pic>
                  </a:graphicData>
                </a:graphic>
              </wp:inline>
            </w:drawing>
          </w:r>
        </w:p>
        <w:p w14:paraId="7DBAF598" w14:textId="77777777" w:rsidR="00705AE3" w:rsidRDefault="00705AE3" w:rsidP="00705AE3">
          <w:pPr>
            <w:pStyle w:val="Nagwek"/>
            <w:tabs>
              <w:tab w:val="clear" w:pos="4536"/>
              <w:tab w:val="clear" w:pos="9072"/>
            </w:tabs>
            <w:snapToGrid w:val="0"/>
            <w:rPr>
              <w:rFonts w:ascii="Comic Sans MS" w:hAnsi="Comic Sans MS"/>
              <w:spacing w:val="-20"/>
              <w:sz w:val="10"/>
              <w:szCs w:val="10"/>
            </w:rPr>
          </w:pPr>
        </w:p>
        <w:p w14:paraId="086CCC2C" w14:textId="77777777" w:rsidR="00705AE3" w:rsidRPr="0052706D" w:rsidRDefault="00705AE3" w:rsidP="00705AE3">
          <w:pPr>
            <w:pStyle w:val="Nagwek"/>
            <w:tabs>
              <w:tab w:val="clear" w:pos="4536"/>
              <w:tab w:val="clear" w:pos="9072"/>
            </w:tabs>
            <w:snapToGrid w:val="0"/>
            <w:rPr>
              <w:rFonts w:ascii="Comic Sans MS" w:hAnsi="Comic Sans MS"/>
              <w:spacing w:val="-20"/>
              <w:sz w:val="10"/>
              <w:szCs w:val="10"/>
            </w:rPr>
          </w:pPr>
        </w:p>
      </w:tc>
      <w:tc>
        <w:tcPr>
          <w:tcW w:w="7864" w:type="dxa"/>
        </w:tcPr>
        <w:p w14:paraId="50E16284" w14:textId="77777777" w:rsidR="00705AE3" w:rsidRPr="005D7E21" w:rsidRDefault="00705AE3" w:rsidP="00705AE3">
          <w:pPr>
            <w:pStyle w:val="Nagwek"/>
            <w:tabs>
              <w:tab w:val="clear" w:pos="4536"/>
              <w:tab w:val="clear" w:pos="9072"/>
            </w:tabs>
            <w:snapToGrid w:val="0"/>
            <w:ind w:left="72"/>
            <w:jc w:val="center"/>
            <w:textAlignment w:val="center"/>
            <w:rPr>
              <w:rFonts w:ascii="Courier New" w:hAnsi="Courier New"/>
              <w:b/>
              <w:bCs/>
              <w:spacing w:val="-20"/>
              <w:sz w:val="32"/>
              <w:szCs w:val="32"/>
            </w:rPr>
          </w:pPr>
        </w:p>
        <w:p w14:paraId="718D3412" w14:textId="77777777" w:rsidR="00705AE3" w:rsidRPr="00C5691E" w:rsidRDefault="00705AE3" w:rsidP="00705AE3">
          <w:pPr>
            <w:pStyle w:val="Nagwek"/>
            <w:tabs>
              <w:tab w:val="clear" w:pos="4536"/>
              <w:tab w:val="clear" w:pos="9072"/>
            </w:tabs>
            <w:snapToGrid w:val="0"/>
            <w:ind w:left="72"/>
            <w:jc w:val="center"/>
            <w:textAlignment w:val="center"/>
            <w:rPr>
              <w:rFonts w:ascii="Courier New" w:hAnsi="Courier New"/>
              <w:b/>
              <w:bCs/>
              <w:spacing w:val="-20"/>
              <w:sz w:val="40"/>
              <w:szCs w:val="40"/>
            </w:rPr>
          </w:pPr>
          <w:r w:rsidRPr="00C5691E">
            <w:rPr>
              <w:rFonts w:ascii="Courier New" w:hAnsi="Courier New"/>
              <w:b/>
              <w:bCs/>
              <w:spacing w:val="-20"/>
              <w:sz w:val="40"/>
              <w:szCs w:val="40"/>
            </w:rPr>
            <w:t>Urząd Miejski w Skoczowie</w:t>
          </w:r>
        </w:p>
        <w:p w14:paraId="511399BD" w14:textId="77777777" w:rsidR="00705AE3" w:rsidRDefault="00705AE3" w:rsidP="00705AE3">
          <w:pPr>
            <w:pStyle w:val="Nagwek"/>
            <w:tabs>
              <w:tab w:val="clear" w:pos="4536"/>
              <w:tab w:val="clear" w:pos="9072"/>
              <w:tab w:val="left" w:pos="1185"/>
            </w:tabs>
            <w:snapToGrid w:val="0"/>
            <w:textAlignment w:val="center"/>
            <w:rPr>
              <w:rFonts w:ascii="Courier New" w:hAnsi="Courier New"/>
              <w:b/>
              <w:bCs/>
              <w:spacing w:val="-20"/>
              <w:sz w:val="48"/>
            </w:rPr>
          </w:pPr>
          <w:r>
            <w:rPr>
              <w:rFonts w:ascii="Courier New" w:hAnsi="Courier New"/>
              <w:b/>
              <w:bCs/>
              <w:spacing w:val="-20"/>
              <w:sz w:val="48"/>
            </w:rPr>
            <w:tab/>
          </w:r>
        </w:p>
      </w:tc>
    </w:tr>
  </w:tbl>
  <w:p w14:paraId="2F9C800E" w14:textId="77777777" w:rsidR="00705AE3" w:rsidRDefault="00705AE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E"/>
    <w:rsid w:val="00025AF9"/>
    <w:rsid w:val="00045411"/>
    <w:rsid w:val="00086E7E"/>
    <w:rsid w:val="000F6B25"/>
    <w:rsid w:val="00107D45"/>
    <w:rsid w:val="00141BAF"/>
    <w:rsid w:val="001653C3"/>
    <w:rsid w:val="00191D1E"/>
    <w:rsid w:val="001C5E37"/>
    <w:rsid w:val="0022217B"/>
    <w:rsid w:val="00244123"/>
    <w:rsid w:val="003037AA"/>
    <w:rsid w:val="00321238"/>
    <w:rsid w:val="00344C96"/>
    <w:rsid w:val="003F1842"/>
    <w:rsid w:val="00482678"/>
    <w:rsid w:val="004B0C5D"/>
    <w:rsid w:val="004B62E2"/>
    <w:rsid w:val="004C19DE"/>
    <w:rsid w:val="00520A06"/>
    <w:rsid w:val="00585A9C"/>
    <w:rsid w:val="005B2BAF"/>
    <w:rsid w:val="005B559F"/>
    <w:rsid w:val="005F0429"/>
    <w:rsid w:val="00601E98"/>
    <w:rsid w:val="00607E48"/>
    <w:rsid w:val="00684C88"/>
    <w:rsid w:val="00695421"/>
    <w:rsid w:val="00705AE3"/>
    <w:rsid w:val="007A5BC9"/>
    <w:rsid w:val="007C45DB"/>
    <w:rsid w:val="007D3632"/>
    <w:rsid w:val="007F0682"/>
    <w:rsid w:val="0082264B"/>
    <w:rsid w:val="0083658D"/>
    <w:rsid w:val="008C3D61"/>
    <w:rsid w:val="008D574F"/>
    <w:rsid w:val="008F05CC"/>
    <w:rsid w:val="008F4CC2"/>
    <w:rsid w:val="0096710E"/>
    <w:rsid w:val="0099619B"/>
    <w:rsid w:val="009F7B42"/>
    <w:rsid w:val="00A1516C"/>
    <w:rsid w:val="00A178E1"/>
    <w:rsid w:val="00A65F7F"/>
    <w:rsid w:val="00A678BD"/>
    <w:rsid w:val="00A9750C"/>
    <w:rsid w:val="00AB5577"/>
    <w:rsid w:val="00B32970"/>
    <w:rsid w:val="00BD75A8"/>
    <w:rsid w:val="00C3633F"/>
    <w:rsid w:val="00C521E6"/>
    <w:rsid w:val="00CD5D73"/>
    <w:rsid w:val="00CF438A"/>
    <w:rsid w:val="00D1111D"/>
    <w:rsid w:val="00D26EB4"/>
    <w:rsid w:val="00D76875"/>
    <w:rsid w:val="00DA678D"/>
    <w:rsid w:val="00E03335"/>
    <w:rsid w:val="00E61231"/>
    <w:rsid w:val="00E75DF2"/>
    <w:rsid w:val="00EA5DB7"/>
    <w:rsid w:val="00EA7374"/>
    <w:rsid w:val="00ED5FAA"/>
    <w:rsid w:val="00F31A3A"/>
    <w:rsid w:val="00F3502A"/>
    <w:rsid w:val="00F46047"/>
    <w:rsid w:val="00FB1727"/>
    <w:rsid w:val="00FE0AC0"/>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3A467C"/>
  <w15:chartTrackingRefBased/>
  <w15:docId w15:val="{28167885-F381-4DDE-A840-E3CDA79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96710E"/>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705AE3"/>
    <w:pPr>
      <w:tabs>
        <w:tab w:val="center" w:pos="4536"/>
        <w:tab w:val="right" w:pos="9072"/>
      </w:tabs>
      <w:spacing w:after="0" w:line="240" w:lineRule="auto"/>
    </w:pPr>
  </w:style>
  <w:style w:type="character" w:customStyle="1" w:styleId="NagwekZnak">
    <w:name w:val="Nagłówek Znak"/>
    <w:basedOn w:val="Domylnaczcionkaakapitu"/>
    <w:link w:val="Nagwek"/>
    <w:rsid w:val="00705AE3"/>
  </w:style>
  <w:style w:type="paragraph" w:styleId="Stopka">
    <w:name w:val="footer"/>
    <w:basedOn w:val="Normalny"/>
    <w:link w:val="StopkaZnak"/>
    <w:uiPriority w:val="99"/>
    <w:unhideWhenUsed/>
    <w:rsid w:val="00705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AE3"/>
  </w:style>
  <w:style w:type="paragraph" w:customStyle="1" w:styleId="Standard">
    <w:name w:val="Standard"/>
    <w:rsid w:val="00A9750C"/>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4801">
      <w:bodyDiv w:val="1"/>
      <w:marLeft w:val="0"/>
      <w:marRight w:val="0"/>
      <w:marTop w:val="0"/>
      <w:marBottom w:val="0"/>
      <w:divBdr>
        <w:top w:val="none" w:sz="0" w:space="0" w:color="auto"/>
        <w:left w:val="none" w:sz="0" w:space="0" w:color="auto"/>
        <w:bottom w:val="none" w:sz="0" w:space="0" w:color="auto"/>
        <w:right w:val="none" w:sz="0" w:space="0" w:color="auto"/>
      </w:divBdr>
    </w:div>
    <w:div w:id="17844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2</Pages>
  <Words>742</Words>
  <Characters>4455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Katarzyna Doleszczak-Jakubiec</cp:lastModifiedBy>
  <cp:revision>18</cp:revision>
  <cp:lastPrinted>2024-05-10T09:15:00Z</cp:lastPrinted>
  <dcterms:created xsi:type="dcterms:W3CDTF">2024-03-19T08:19:00Z</dcterms:created>
  <dcterms:modified xsi:type="dcterms:W3CDTF">2024-05-13T12:32:00Z</dcterms:modified>
</cp:coreProperties>
</file>