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DB613A" w14:paraId="1EEBA29E" w14:textId="77777777" w:rsidTr="008D7D15">
        <w:tc>
          <w:tcPr>
            <w:tcW w:w="1372" w:type="dxa"/>
            <w:shd w:val="clear" w:color="auto" w:fill="auto"/>
            <w:vAlign w:val="center"/>
          </w:tcPr>
          <w:p w14:paraId="3DC3E601" w14:textId="77777777" w:rsidR="00DB613A" w:rsidRPr="003D30DD" w:rsidRDefault="00DB613A" w:rsidP="008D7D15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bookmarkStart w:id="0" w:name="_Hlk94619748"/>
            <w:r w:rsidRPr="003D30DD">
              <w:rPr>
                <w:rFonts w:ascii="Arial" w:hAnsi="Arial" w:cs="Arial"/>
                <w:b/>
                <w:noProof/>
                <w:color w:val="000000"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D30DD" w:rsidRDefault="00DB613A" w:rsidP="008D7D15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D30DD" w:rsidRDefault="00DB613A" w:rsidP="008D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D30DD" w:rsidRDefault="00DB613A" w:rsidP="008D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30DD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DB613A" w14:paraId="7DCCC116" w14:textId="77777777" w:rsidTr="008D7D15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3D30DD" w:rsidRDefault="00DB613A" w:rsidP="008D7D15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B54E3C0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22B1F313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9EB442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 xml:space="preserve">Wysokość kapitału zakładowego: 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3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66 101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5</w:t>
            </w: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1B60BC13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691BE124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6D9923C7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26FE733E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CD36C33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25EAA17E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 xml:space="preserve">adres </w:t>
            </w:r>
            <w:proofErr w:type="spellStart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:    wodkan@mwik.bydgoszcz.pl</w:t>
            </w:r>
          </w:p>
          <w:p w14:paraId="381AF8EF" w14:textId="77777777" w:rsidR="00DB613A" w:rsidRPr="003D30DD" w:rsidRDefault="00DB613A" w:rsidP="008D7D15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adres WWW:  http://www.mwik.bydgoszcz.pl</w:t>
            </w:r>
          </w:p>
        </w:tc>
      </w:tr>
    </w:tbl>
    <w:bookmarkEnd w:id="0"/>
    <w:p w14:paraId="618B5115" w14:textId="674E38DB" w:rsidR="00FE0DE2" w:rsidRDefault="0085638C" w:rsidP="008B5BD2">
      <w:pPr>
        <w:tabs>
          <w:tab w:val="left" w:pos="60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85638C">
        <w:rPr>
          <w:rFonts w:ascii="Arial" w:hAnsi="Arial" w:cs="Arial"/>
          <w:sz w:val="22"/>
          <w:szCs w:val="22"/>
        </w:rPr>
        <w:t>ZP-0</w:t>
      </w:r>
      <w:r w:rsidR="00160CF1">
        <w:rPr>
          <w:rFonts w:ascii="Arial" w:hAnsi="Arial" w:cs="Arial"/>
          <w:sz w:val="22"/>
          <w:szCs w:val="22"/>
        </w:rPr>
        <w:t>1</w:t>
      </w:r>
      <w:r w:rsidR="00A12034">
        <w:rPr>
          <w:rFonts w:ascii="Arial" w:hAnsi="Arial" w:cs="Arial"/>
          <w:sz w:val="22"/>
          <w:szCs w:val="22"/>
        </w:rPr>
        <w:t>4</w:t>
      </w:r>
      <w:r w:rsidRPr="0085638C">
        <w:rPr>
          <w:rFonts w:ascii="Arial" w:hAnsi="Arial" w:cs="Arial"/>
          <w:sz w:val="22"/>
          <w:szCs w:val="22"/>
        </w:rPr>
        <w:t>/</w:t>
      </w:r>
      <w:r w:rsidR="000D6928">
        <w:rPr>
          <w:rFonts w:ascii="Arial" w:hAnsi="Arial" w:cs="Arial"/>
          <w:sz w:val="22"/>
          <w:szCs w:val="22"/>
        </w:rPr>
        <w:t>D</w:t>
      </w:r>
      <w:r w:rsidRPr="0085638C">
        <w:rPr>
          <w:rFonts w:ascii="Arial" w:hAnsi="Arial" w:cs="Arial"/>
          <w:sz w:val="22"/>
          <w:szCs w:val="22"/>
        </w:rPr>
        <w:t>/RZ/202</w:t>
      </w:r>
      <w:r w:rsidR="00E5503E">
        <w:rPr>
          <w:rFonts w:ascii="Arial" w:hAnsi="Arial" w:cs="Arial"/>
          <w:sz w:val="22"/>
          <w:szCs w:val="22"/>
        </w:rPr>
        <w:t>2</w:t>
      </w:r>
      <w:r w:rsidR="00FE0DE2">
        <w:rPr>
          <w:rFonts w:ascii="Arial" w:hAnsi="Arial" w:cs="Arial"/>
          <w:sz w:val="22"/>
          <w:szCs w:val="22"/>
        </w:rPr>
        <w:tab/>
        <w:t xml:space="preserve">Bydgoszcz, dn. </w:t>
      </w:r>
      <w:r w:rsidR="00A04DD4">
        <w:rPr>
          <w:rFonts w:ascii="Arial" w:hAnsi="Arial" w:cs="Arial"/>
          <w:sz w:val="22"/>
          <w:szCs w:val="22"/>
        </w:rPr>
        <w:t>13</w:t>
      </w:r>
      <w:r w:rsidR="00374378">
        <w:rPr>
          <w:rFonts w:ascii="Arial" w:hAnsi="Arial" w:cs="Arial"/>
          <w:sz w:val="22"/>
          <w:szCs w:val="22"/>
        </w:rPr>
        <w:t>.</w:t>
      </w:r>
      <w:r w:rsidR="00A12034">
        <w:rPr>
          <w:rFonts w:ascii="Arial" w:hAnsi="Arial" w:cs="Arial"/>
          <w:sz w:val="22"/>
          <w:szCs w:val="22"/>
        </w:rPr>
        <w:t>01</w:t>
      </w:r>
      <w:r w:rsidR="00FE0DE2">
        <w:rPr>
          <w:rFonts w:ascii="Arial" w:hAnsi="Arial" w:cs="Arial"/>
          <w:sz w:val="22"/>
          <w:szCs w:val="22"/>
        </w:rPr>
        <w:t>.202</w:t>
      </w:r>
      <w:r w:rsidR="00A12034">
        <w:rPr>
          <w:rFonts w:ascii="Arial" w:hAnsi="Arial" w:cs="Arial"/>
          <w:sz w:val="22"/>
          <w:szCs w:val="22"/>
        </w:rPr>
        <w:t>3</w:t>
      </w:r>
    </w:p>
    <w:p w14:paraId="7ABA17F7" w14:textId="0083A73B" w:rsidR="00FE0DE2" w:rsidRDefault="00FE0DE2" w:rsidP="00D54EB1">
      <w:pPr>
        <w:pStyle w:val="Tekstpodstawowy2"/>
        <w:jc w:val="left"/>
        <w:rPr>
          <w:rFonts w:ascii="Arial" w:hAnsi="Arial" w:cs="Arial"/>
          <w:sz w:val="22"/>
          <w:szCs w:val="22"/>
          <w:u w:val="single"/>
        </w:rPr>
      </w:pPr>
    </w:p>
    <w:p w14:paraId="0EABDE18" w14:textId="4B6F3DAC" w:rsidR="008B5BD2" w:rsidRPr="00325F8F" w:rsidRDefault="008B5BD2" w:rsidP="000D6928">
      <w:pPr>
        <w:ind w:right="13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25F8F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A12034" w:rsidRPr="00A12034">
        <w:rPr>
          <w:rFonts w:ascii="Arial" w:hAnsi="Arial" w:cs="Arial"/>
          <w:b/>
          <w:i/>
          <w:iCs/>
          <w:sz w:val="18"/>
          <w:szCs w:val="18"/>
        </w:rPr>
        <w:t>Wykonanie inteligentnego systemu zarządzania sieciami wod.-kan. Dostawa - etap II. Narzędzia do zarządzania systemem paszportyzacji. Część 2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” (nr referencyjny ZP-0</w:t>
      </w:r>
      <w:r w:rsidR="00160CF1">
        <w:rPr>
          <w:rFonts w:ascii="Arial" w:hAnsi="Arial" w:cs="Arial"/>
          <w:bCs/>
          <w:i/>
          <w:iCs/>
          <w:sz w:val="18"/>
          <w:szCs w:val="18"/>
        </w:rPr>
        <w:t>1</w:t>
      </w:r>
      <w:r w:rsidR="00A12034">
        <w:rPr>
          <w:rFonts w:ascii="Arial" w:hAnsi="Arial" w:cs="Arial"/>
          <w:bCs/>
          <w:i/>
          <w:iCs/>
          <w:sz w:val="18"/>
          <w:szCs w:val="18"/>
        </w:rPr>
        <w:t>4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/</w:t>
      </w:r>
      <w:r w:rsidR="00A12034">
        <w:rPr>
          <w:rFonts w:ascii="Arial" w:hAnsi="Arial" w:cs="Arial"/>
          <w:bCs/>
          <w:i/>
          <w:iCs/>
          <w:sz w:val="18"/>
          <w:szCs w:val="18"/>
        </w:rPr>
        <w:t>D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/RZ/202</w:t>
      </w:r>
      <w:r w:rsidR="00E5503E">
        <w:rPr>
          <w:rFonts w:ascii="Arial" w:hAnsi="Arial" w:cs="Arial"/>
          <w:bCs/>
          <w:i/>
          <w:iCs/>
          <w:sz w:val="18"/>
          <w:szCs w:val="18"/>
        </w:rPr>
        <w:t>2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)</w:t>
      </w:r>
      <w:r>
        <w:rPr>
          <w:rFonts w:ascii="Arial" w:hAnsi="Arial" w:cs="Arial"/>
          <w:bCs/>
          <w:i/>
          <w:iCs/>
          <w:sz w:val="18"/>
          <w:szCs w:val="18"/>
        </w:rPr>
        <w:t>.</w:t>
      </w:r>
    </w:p>
    <w:p w14:paraId="5BEE5E74" w14:textId="77777777" w:rsidR="00811A36" w:rsidRDefault="00811A36" w:rsidP="00D54EB1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A3BEED" w14:textId="2C79E90D" w:rsidR="00FE0DE2" w:rsidRPr="00811A36" w:rsidRDefault="00D54EB1" w:rsidP="00811A36">
      <w:pPr>
        <w:widowControl w:val="0"/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811A36">
        <w:rPr>
          <w:rFonts w:ascii="Arial" w:hAnsi="Arial" w:cs="Arial"/>
          <w:b/>
          <w:u w:val="single"/>
        </w:rPr>
        <w:t>Wyjaśnienia treści Specyfikacji Warunków Zamówienia (dalej jako „SWZ”)</w:t>
      </w:r>
    </w:p>
    <w:p w14:paraId="1B3BD3F5" w14:textId="1483C487" w:rsidR="0011490E" w:rsidRPr="005E3296" w:rsidRDefault="0011490E" w:rsidP="00811A36">
      <w:pPr>
        <w:widowControl w:val="0"/>
        <w:spacing w:before="80" w:after="80"/>
        <w:ind w:firstLine="708"/>
        <w:jc w:val="both"/>
        <w:outlineLvl w:val="2"/>
        <w:rPr>
          <w:rFonts w:ascii="Arial" w:eastAsiaTheme="majorEastAsia" w:hAnsi="Arial" w:cs="Arial"/>
          <w:bCs/>
          <w:sz w:val="22"/>
          <w:szCs w:val="22"/>
        </w:rPr>
      </w:pPr>
      <w:r w:rsidRPr="005E3296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 „</w:t>
      </w:r>
      <w:r w:rsidRPr="005E3296">
        <w:rPr>
          <w:rFonts w:ascii="Arial" w:eastAsiaTheme="majorEastAsia" w:hAnsi="Arial" w:cs="Arial"/>
          <w:bCs/>
          <w:i/>
          <w:iCs/>
          <w:sz w:val="22"/>
          <w:szCs w:val="22"/>
        </w:rPr>
        <w:t>Zamawiający</w:t>
      </w:r>
      <w:r w:rsidRPr="005E3296">
        <w:rPr>
          <w:rFonts w:ascii="Arial" w:eastAsiaTheme="majorEastAsia" w:hAnsi="Arial" w:cs="Arial"/>
          <w:bCs/>
          <w:sz w:val="22"/>
          <w:szCs w:val="22"/>
        </w:rPr>
        <w:t>”), w odpowiedzi na wnioski wykonawców o wyjaśnienie treści SWZ, złożone na podstawie art. 135 ust. 1 ustawy z dnia 11 września 2019 r. Prawo zamówień publicznych</w:t>
      </w:r>
      <w:r w:rsidRPr="005E3296">
        <w:rPr>
          <w:rFonts w:ascii="Arial" w:eastAsiaTheme="majorEastAsia" w:hAnsi="Arial" w:cs="Arial"/>
          <w:bCs/>
          <w:sz w:val="22"/>
          <w:szCs w:val="22"/>
        </w:rPr>
        <w:br/>
        <w:t>(</w:t>
      </w:r>
      <w:proofErr w:type="spellStart"/>
      <w:r w:rsidRPr="005E3296">
        <w:rPr>
          <w:rFonts w:ascii="Arial" w:eastAsiaTheme="majorEastAsia" w:hAnsi="Arial" w:cs="Arial"/>
          <w:bCs/>
          <w:sz w:val="22"/>
          <w:szCs w:val="22"/>
        </w:rPr>
        <w:t>t.j</w:t>
      </w:r>
      <w:proofErr w:type="spellEnd"/>
      <w:r w:rsidRPr="005E3296">
        <w:rPr>
          <w:rFonts w:ascii="Arial" w:eastAsiaTheme="majorEastAsia" w:hAnsi="Arial" w:cs="Arial"/>
          <w:bCs/>
          <w:sz w:val="22"/>
          <w:szCs w:val="22"/>
        </w:rPr>
        <w:t xml:space="preserve">. Dz.U. z 2022 </w:t>
      </w:r>
      <w:r w:rsidRPr="005E3296">
        <w:rPr>
          <w:rFonts w:ascii="Arial" w:hAnsi="Arial" w:cs="Arial"/>
          <w:sz w:val="22"/>
          <w:szCs w:val="22"/>
        </w:rPr>
        <w:t xml:space="preserve">r., poz. 1710 ze zm.; dalej jako „UPZP”), </w:t>
      </w:r>
      <w:r w:rsidRPr="005E3296">
        <w:rPr>
          <w:rFonts w:ascii="Arial" w:eastAsiaTheme="majorEastAsia" w:hAnsi="Arial" w:cs="Arial"/>
          <w:bCs/>
          <w:sz w:val="22"/>
          <w:szCs w:val="22"/>
        </w:rPr>
        <w:t>udostępnia treść zapytań wraz</w:t>
      </w:r>
      <w:r w:rsidR="00467405">
        <w:rPr>
          <w:rFonts w:ascii="Arial" w:eastAsiaTheme="majorEastAsia" w:hAnsi="Arial" w:cs="Arial"/>
          <w:bCs/>
          <w:sz w:val="22"/>
          <w:szCs w:val="22"/>
        </w:rPr>
        <w:br/>
      </w:r>
      <w:r w:rsidRPr="005E3296">
        <w:rPr>
          <w:rFonts w:ascii="Arial" w:eastAsiaTheme="majorEastAsia" w:hAnsi="Arial" w:cs="Arial"/>
          <w:bCs/>
          <w:sz w:val="22"/>
          <w:szCs w:val="22"/>
        </w:rPr>
        <w:t>z wyjaśnieniami:</w:t>
      </w:r>
    </w:p>
    <w:p w14:paraId="45624B26" w14:textId="0D3E7079" w:rsidR="00D85835" w:rsidRDefault="00D85835" w:rsidP="00811A36">
      <w:pPr>
        <w:pStyle w:val="Default"/>
        <w:widowControl w:val="0"/>
        <w:spacing w:before="80" w:after="80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_Hlk95916157"/>
      <w:r w:rsidRPr="00D85835">
        <w:rPr>
          <w:rFonts w:ascii="Arial" w:hAnsi="Arial" w:cs="Arial"/>
          <w:b/>
          <w:bCs/>
          <w:sz w:val="22"/>
          <w:szCs w:val="22"/>
          <w:u w:val="single"/>
        </w:rPr>
        <w:t>Pytania do załącznika nr 7 (wzór umowy)</w:t>
      </w:r>
    </w:p>
    <w:p w14:paraId="613F2B07" w14:textId="2E170D34" w:rsidR="0011490E" w:rsidRPr="005E3296" w:rsidRDefault="0011490E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E3296">
        <w:rPr>
          <w:rFonts w:ascii="Arial" w:hAnsi="Arial" w:cs="Arial"/>
          <w:b/>
          <w:bCs/>
          <w:sz w:val="22"/>
          <w:szCs w:val="22"/>
          <w:u w:val="single"/>
        </w:rPr>
        <w:t>Pytani</w:t>
      </w:r>
      <w:r w:rsidR="000D6928">
        <w:rPr>
          <w:rFonts w:ascii="Arial" w:hAnsi="Arial" w:cs="Arial"/>
          <w:b/>
          <w:bCs/>
          <w:sz w:val="22"/>
          <w:szCs w:val="22"/>
          <w:u w:val="single"/>
        </w:rPr>
        <w:t>e 1</w:t>
      </w:r>
      <w:r w:rsidRPr="005E329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A013B73" w14:textId="2ADA60DB" w:rsidR="00B1519A" w:rsidRPr="00B1519A" w:rsidRDefault="00A12034" w:rsidP="00811A36">
      <w:pPr>
        <w:widowControl w:val="0"/>
        <w:shd w:val="clear" w:color="auto" w:fill="FFFFFF"/>
        <w:ind w:left="364"/>
        <w:contextualSpacing/>
        <w:jc w:val="both"/>
        <w:rPr>
          <w:rFonts w:ascii="Arial" w:eastAsia="Calibri" w:hAnsi="Arial" w:cs="Arial"/>
          <w:sz w:val="22"/>
          <w:szCs w:val="22"/>
        </w:rPr>
      </w:pPr>
      <w:bookmarkStart w:id="2" w:name="OLE_LINK1"/>
      <w:bookmarkStart w:id="3" w:name="_Hlk95916183"/>
      <w:bookmarkStart w:id="4" w:name="_Hlk111007999"/>
      <w:bookmarkEnd w:id="1"/>
      <w:r w:rsidRPr="00A12034">
        <w:rPr>
          <w:rFonts w:ascii="Arial" w:hAnsi="Arial" w:cs="Arial"/>
          <w:color w:val="000000"/>
          <w:sz w:val="22"/>
          <w:szCs w:val="22"/>
        </w:rPr>
        <w:t>Wnosimy o zmianę punktu 6.1. i nadanie mu następującego brzmienia: „Wykonawca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12034">
        <w:rPr>
          <w:rFonts w:ascii="Arial" w:hAnsi="Arial" w:cs="Arial"/>
          <w:color w:val="000000"/>
          <w:sz w:val="22"/>
          <w:szCs w:val="22"/>
        </w:rPr>
        <w:t>zobowiązuje się do przygotowania i przeprowadzenia szkoleń w zakresie wskazanym w pkt. 14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12034">
        <w:rPr>
          <w:rFonts w:ascii="Arial" w:hAnsi="Arial" w:cs="Arial"/>
          <w:color w:val="000000"/>
          <w:sz w:val="22"/>
          <w:szCs w:val="22"/>
        </w:rPr>
        <w:t>OPZ, nie później niż w terminie wynikającym z Harmonogramu Realizacji Przedmiotu Umowy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12034">
        <w:rPr>
          <w:rFonts w:ascii="Arial" w:hAnsi="Arial" w:cs="Arial"/>
          <w:color w:val="000000"/>
          <w:sz w:val="22"/>
          <w:szCs w:val="22"/>
        </w:rPr>
        <w:t>(stanowiącego Załącznik nr 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12034">
        <w:rPr>
          <w:rFonts w:ascii="Arial" w:hAnsi="Arial" w:cs="Arial"/>
          <w:color w:val="000000"/>
          <w:sz w:val="22"/>
          <w:szCs w:val="22"/>
        </w:rPr>
        <w:t>do Umowy). Szkolenia zostaną przeprowadzone w formie zdalnej.</w:t>
      </w:r>
    </w:p>
    <w:bookmarkEnd w:id="2"/>
    <w:p w14:paraId="35738BE7" w14:textId="744962EC" w:rsidR="004E0E81" w:rsidRPr="00E25B91" w:rsidRDefault="0011490E" w:rsidP="00811A36">
      <w:pPr>
        <w:widowControl w:val="0"/>
        <w:spacing w:before="80" w:after="80"/>
        <w:ind w:left="284" w:firstLine="80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E25B91">
        <w:rPr>
          <w:rFonts w:ascii="Arial" w:hAnsi="Arial" w:cs="Arial"/>
          <w:b/>
          <w:bCs/>
          <w:sz w:val="22"/>
          <w:szCs w:val="22"/>
        </w:rPr>
        <w:t>Wyjaśnienia Zamawiającego:</w:t>
      </w:r>
      <w:bookmarkEnd w:id="3"/>
    </w:p>
    <w:p w14:paraId="7D6B34C0" w14:textId="2057CEE1" w:rsidR="00D746AF" w:rsidRPr="00E25B91" w:rsidRDefault="004E0E81" w:rsidP="00811A36">
      <w:pPr>
        <w:widowControl w:val="0"/>
        <w:spacing w:before="80" w:after="80"/>
        <w:ind w:left="284" w:firstLine="80"/>
        <w:jc w:val="both"/>
        <w:outlineLvl w:val="2"/>
        <w:rPr>
          <w:rFonts w:ascii="Arial" w:hAnsi="Arial" w:cs="Arial"/>
          <w:sz w:val="22"/>
          <w:szCs w:val="22"/>
        </w:rPr>
      </w:pPr>
      <w:r w:rsidRPr="00E25B91">
        <w:rPr>
          <w:rFonts w:ascii="Arial" w:hAnsi="Arial" w:cs="Arial"/>
          <w:sz w:val="22"/>
          <w:szCs w:val="22"/>
        </w:rPr>
        <w:t>Zamawiający</w:t>
      </w:r>
      <w:r w:rsidR="00E25B91" w:rsidRPr="00E25B91">
        <w:rPr>
          <w:rFonts w:ascii="Arial" w:hAnsi="Arial" w:cs="Arial"/>
          <w:sz w:val="22"/>
          <w:szCs w:val="22"/>
        </w:rPr>
        <w:t xml:space="preserve"> nie zmienia</w:t>
      </w:r>
      <w:r w:rsidRPr="00E25B91">
        <w:rPr>
          <w:rFonts w:ascii="Arial" w:hAnsi="Arial" w:cs="Arial"/>
          <w:sz w:val="22"/>
          <w:szCs w:val="22"/>
        </w:rPr>
        <w:t xml:space="preserve"> treś</w:t>
      </w:r>
      <w:r w:rsidR="00E25B91" w:rsidRPr="00E25B91">
        <w:rPr>
          <w:rFonts w:ascii="Arial" w:hAnsi="Arial" w:cs="Arial"/>
          <w:sz w:val="22"/>
          <w:szCs w:val="22"/>
        </w:rPr>
        <w:t>ci</w:t>
      </w:r>
      <w:r w:rsidRPr="00E25B91">
        <w:rPr>
          <w:rFonts w:ascii="Arial" w:hAnsi="Arial" w:cs="Arial"/>
          <w:sz w:val="22"/>
          <w:szCs w:val="22"/>
        </w:rPr>
        <w:t xml:space="preserve"> SWZ.</w:t>
      </w:r>
    </w:p>
    <w:p w14:paraId="446289B1" w14:textId="3A4A63A2" w:rsidR="00144591" w:rsidRPr="005E3296" w:rsidRDefault="00144591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5" w:name="_Hlk121394772"/>
      <w:bookmarkEnd w:id="4"/>
      <w:r w:rsidRPr="005E3296">
        <w:rPr>
          <w:rFonts w:ascii="Arial" w:hAnsi="Arial" w:cs="Arial"/>
          <w:b/>
          <w:bCs/>
          <w:sz w:val="22"/>
          <w:szCs w:val="22"/>
          <w:u w:val="single"/>
        </w:rPr>
        <w:t>Pytanie</w:t>
      </w:r>
      <w:r w:rsidR="00B1519A">
        <w:rPr>
          <w:rFonts w:ascii="Arial" w:hAnsi="Arial" w:cs="Arial"/>
          <w:b/>
          <w:bCs/>
          <w:sz w:val="22"/>
          <w:szCs w:val="22"/>
          <w:u w:val="single"/>
        </w:rPr>
        <w:t xml:space="preserve"> 2</w:t>
      </w:r>
      <w:r w:rsidRPr="005E329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bookmarkEnd w:id="5"/>
    <w:p w14:paraId="12840ED7" w14:textId="694D6271" w:rsidR="00A52F55" w:rsidRPr="00A52F55" w:rsidRDefault="00A12034" w:rsidP="00811A36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A12034">
        <w:rPr>
          <w:rFonts w:ascii="Arial" w:hAnsi="Arial" w:cs="Arial"/>
          <w:sz w:val="22"/>
          <w:szCs w:val="22"/>
        </w:rPr>
        <w:t>Wnosimy o zmianę punktu 6.4. i nadanie mu następującego brzmienia: „Wykonawca ma</w:t>
      </w:r>
      <w:r>
        <w:rPr>
          <w:rFonts w:ascii="Arial" w:hAnsi="Arial" w:cs="Arial"/>
          <w:sz w:val="22"/>
          <w:szCs w:val="22"/>
        </w:rPr>
        <w:t xml:space="preserve"> </w:t>
      </w:r>
      <w:r w:rsidRPr="00A12034">
        <w:rPr>
          <w:rFonts w:ascii="Arial" w:hAnsi="Arial" w:cs="Arial"/>
          <w:sz w:val="22"/>
          <w:szCs w:val="22"/>
        </w:rPr>
        <w:t>obowiązek zapewnić odpowiednio do wymagań OPZ wszelkie materiały i urządzenia (z</w:t>
      </w:r>
      <w:r>
        <w:rPr>
          <w:rFonts w:ascii="Arial" w:hAnsi="Arial" w:cs="Arial"/>
          <w:sz w:val="22"/>
          <w:szCs w:val="22"/>
        </w:rPr>
        <w:t xml:space="preserve"> </w:t>
      </w:r>
      <w:r w:rsidRPr="00A12034">
        <w:rPr>
          <w:rFonts w:ascii="Arial" w:hAnsi="Arial" w:cs="Arial"/>
          <w:sz w:val="22"/>
          <w:szCs w:val="22"/>
        </w:rPr>
        <w:t>wyłączeniem niezbędnego sprzętu komputerowego, na którym uczestnicy szkoleń będą</w:t>
      </w:r>
      <w:r>
        <w:rPr>
          <w:rFonts w:ascii="Arial" w:hAnsi="Arial" w:cs="Arial"/>
          <w:sz w:val="22"/>
          <w:szCs w:val="22"/>
        </w:rPr>
        <w:t xml:space="preserve"> </w:t>
      </w:r>
      <w:r w:rsidRPr="00A12034">
        <w:rPr>
          <w:rFonts w:ascii="Arial" w:hAnsi="Arial" w:cs="Arial"/>
          <w:sz w:val="22"/>
          <w:szCs w:val="22"/>
        </w:rPr>
        <w:t>pracować z SZD i SDD, zapewnianego przez Zamawiającego) do przeprowadzenia szkoleń.</w:t>
      </w:r>
      <w:r>
        <w:rPr>
          <w:rFonts w:ascii="Arial" w:hAnsi="Arial" w:cs="Arial"/>
          <w:sz w:val="22"/>
          <w:szCs w:val="22"/>
        </w:rPr>
        <w:t xml:space="preserve"> </w:t>
      </w:r>
      <w:bookmarkStart w:id="6" w:name="_Hlk123648495"/>
      <w:r w:rsidRPr="00A12034">
        <w:rPr>
          <w:rFonts w:ascii="Arial" w:hAnsi="Arial" w:cs="Arial"/>
          <w:sz w:val="22"/>
          <w:szCs w:val="22"/>
        </w:rPr>
        <w:t>Podręczniki użytkownika w formie elektronicznej i dokumentacja administratora w formie</w:t>
      </w:r>
      <w:r>
        <w:rPr>
          <w:rFonts w:ascii="Arial" w:hAnsi="Arial" w:cs="Arial"/>
          <w:sz w:val="22"/>
          <w:szCs w:val="22"/>
        </w:rPr>
        <w:t xml:space="preserve"> </w:t>
      </w:r>
      <w:r w:rsidRPr="00A12034">
        <w:rPr>
          <w:rFonts w:ascii="Arial" w:hAnsi="Arial" w:cs="Arial"/>
          <w:sz w:val="22"/>
          <w:szCs w:val="22"/>
        </w:rPr>
        <w:t xml:space="preserve">elektronicznej, </w:t>
      </w:r>
      <w:bookmarkEnd w:id="6"/>
      <w:r w:rsidRPr="00A12034">
        <w:rPr>
          <w:rFonts w:ascii="Arial" w:hAnsi="Arial" w:cs="Arial"/>
          <w:sz w:val="22"/>
          <w:szCs w:val="22"/>
        </w:rPr>
        <w:t>winny być przedstawione Zamawiającemu wraz z przedstawieniem do odbioru,</w:t>
      </w:r>
      <w:r>
        <w:rPr>
          <w:rFonts w:ascii="Arial" w:hAnsi="Arial" w:cs="Arial"/>
          <w:sz w:val="22"/>
          <w:szCs w:val="22"/>
        </w:rPr>
        <w:t xml:space="preserve"> </w:t>
      </w:r>
      <w:r w:rsidRPr="00A12034">
        <w:rPr>
          <w:rFonts w:ascii="Arial" w:hAnsi="Arial" w:cs="Arial"/>
          <w:sz w:val="22"/>
          <w:szCs w:val="22"/>
        </w:rPr>
        <w:t>odpowiednio, SZD i SDD.</w:t>
      </w:r>
    </w:p>
    <w:p w14:paraId="1DB59ADD" w14:textId="77777777" w:rsidR="00144591" w:rsidRPr="00F0181C" w:rsidRDefault="00144591" w:rsidP="00811A36">
      <w:pPr>
        <w:widowControl w:val="0"/>
        <w:spacing w:before="80" w:after="80"/>
        <w:ind w:left="363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bookmarkStart w:id="7" w:name="_Hlk121395147"/>
      <w:r w:rsidRPr="00F0181C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6FF09260" w14:textId="4F1A7AD0" w:rsidR="00173208" w:rsidRPr="00F0181C" w:rsidRDefault="004E0E81" w:rsidP="00811A36">
      <w:pPr>
        <w:pStyle w:val="Akapitzlist"/>
        <w:widowControl w:val="0"/>
        <w:spacing w:before="80" w:after="80"/>
        <w:ind w:left="360"/>
        <w:jc w:val="both"/>
        <w:outlineLvl w:val="2"/>
        <w:rPr>
          <w:rFonts w:ascii="Arial" w:hAnsi="Arial" w:cs="Arial"/>
          <w:sz w:val="22"/>
          <w:szCs w:val="22"/>
        </w:rPr>
      </w:pPr>
      <w:bookmarkStart w:id="8" w:name="_Hlk121395295"/>
      <w:bookmarkEnd w:id="7"/>
      <w:r w:rsidRPr="00F0181C">
        <w:rPr>
          <w:rFonts w:ascii="Arial" w:hAnsi="Arial" w:cs="Arial"/>
          <w:sz w:val="22"/>
          <w:szCs w:val="22"/>
        </w:rPr>
        <w:t xml:space="preserve">Patrz Zmiana </w:t>
      </w:r>
      <w:r w:rsidR="008054B8" w:rsidRPr="008054B8">
        <w:rPr>
          <w:rFonts w:ascii="Arial" w:hAnsi="Arial" w:cs="Arial"/>
          <w:sz w:val="22"/>
          <w:szCs w:val="22"/>
        </w:rPr>
        <w:t>treści SWZ</w:t>
      </w:r>
      <w:r w:rsidR="008054B8">
        <w:rPr>
          <w:rFonts w:ascii="Arial" w:hAnsi="Arial" w:cs="Arial"/>
          <w:sz w:val="22"/>
          <w:szCs w:val="22"/>
        </w:rPr>
        <w:t xml:space="preserve"> pkt</w:t>
      </w:r>
      <w:r w:rsidRPr="00F0181C">
        <w:rPr>
          <w:rFonts w:ascii="Arial" w:hAnsi="Arial" w:cs="Arial"/>
          <w:sz w:val="22"/>
          <w:szCs w:val="22"/>
        </w:rPr>
        <w:t xml:space="preserve"> 1</w:t>
      </w:r>
      <w:r w:rsidR="00D0753E" w:rsidRPr="00F0181C">
        <w:rPr>
          <w:rFonts w:ascii="Arial" w:hAnsi="Arial" w:cs="Arial"/>
          <w:sz w:val="22"/>
          <w:szCs w:val="22"/>
        </w:rPr>
        <w:t xml:space="preserve"> lit. a), b) i c)</w:t>
      </w:r>
      <w:r w:rsidR="00AD238C" w:rsidRPr="00AD238C">
        <w:rPr>
          <w:rFonts w:ascii="Arial" w:hAnsi="Arial" w:cs="Arial"/>
          <w:sz w:val="22"/>
          <w:szCs w:val="22"/>
        </w:rPr>
        <w:t xml:space="preserve"> </w:t>
      </w:r>
      <w:r w:rsidR="00AD238C">
        <w:rPr>
          <w:rFonts w:ascii="Arial" w:hAnsi="Arial" w:cs="Arial"/>
          <w:sz w:val="22"/>
          <w:szCs w:val="22"/>
        </w:rPr>
        <w:t>poniżej</w:t>
      </w:r>
      <w:r w:rsidR="00AD238C" w:rsidRPr="009C6DD5">
        <w:rPr>
          <w:rFonts w:ascii="Arial" w:hAnsi="Arial" w:cs="Arial"/>
          <w:sz w:val="22"/>
          <w:szCs w:val="22"/>
        </w:rPr>
        <w:t>.</w:t>
      </w:r>
      <w:r w:rsidRPr="00F0181C">
        <w:rPr>
          <w:rFonts w:ascii="Arial" w:hAnsi="Arial" w:cs="Arial"/>
          <w:sz w:val="22"/>
          <w:szCs w:val="22"/>
        </w:rPr>
        <w:t xml:space="preserve"> </w:t>
      </w:r>
    </w:p>
    <w:p w14:paraId="6E8B48C4" w14:textId="78385FA0" w:rsidR="00144591" w:rsidRPr="005E3296" w:rsidRDefault="00144591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sz w:val="22"/>
          <w:szCs w:val="22"/>
          <w:u w:val="single"/>
        </w:rPr>
      </w:pPr>
      <w:r w:rsidRPr="005E3296">
        <w:rPr>
          <w:rFonts w:ascii="Arial" w:hAnsi="Arial" w:cs="Arial"/>
          <w:b/>
          <w:bCs/>
          <w:sz w:val="22"/>
          <w:szCs w:val="22"/>
          <w:u w:val="single"/>
        </w:rPr>
        <w:t>Pytani</w:t>
      </w:r>
      <w:r w:rsidR="00F34694">
        <w:rPr>
          <w:rFonts w:ascii="Arial" w:hAnsi="Arial" w:cs="Arial"/>
          <w:b/>
          <w:bCs/>
          <w:sz w:val="22"/>
          <w:szCs w:val="22"/>
          <w:u w:val="single"/>
        </w:rPr>
        <w:t>e 3</w:t>
      </w:r>
      <w:r w:rsidRPr="005E329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0FAC6C0F" w14:textId="55E2CF93" w:rsidR="00A52F55" w:rsidRPr="00A52F55" w:rsidRDefault="00A12034" w:rsidP="00811A36">
      <w:pPr>
        <w:widowControl w:val="0"/>
        <w:ind w:left="360"/>
        <w:jc w:val="both"/>
        <w:outlineLvl w:val="2"/>
        <w:rPr>
          <w:rFonts w:ascii="Arial" w:hAnsi="Arial" w:cs="Arial"/>
          <w:color w:val="000000"/>
          <w:sz w:val="22"/>
          <w:szCs w:val="22"/>
        </w:rPr>
      </w:pPr>
      <w:bookmarkStart w:id="9" w:name="_Hlk121395171"/>
      <w:bookmarkEnd w:id="8"/>
      <w:r w:rsidRPr="00A12034">
        <w:rPr>
          <w:rFonts w:ascii="Arial" w:hAnsi="Arial" w:cs="Arial"/>
          <w:color w:val="000000"/>
          <w:sz w:val="22"/>
          <w:szCs w:val="22"/>
        </w:rPr>
        <w:t xml:space="preserve">Wnosimy o zmianę punktu 9.4.2. i nadanie mu następującego brzmienia: „Okres Gwarancji (okres, w którym Wykonawca zobowiązany jest do realizacji zobowiązań wynikających z Gwarancji) trwa dla poszczególnych elementów Przedmiotu Umowy od momentu udzielenia Gwarancji zgodnie z ust. 9.3. powyżej i kończy się, dla wszystkich elementów Przedmiotu Umowy, z upływem 5 lat od dnia podpisania Protokołu Odbioru Końcowego, z wyjątkiem Oprogramowania Producenckiego, o którym mowa w pkt 10.1.1. Umowy, co do którego Okres Gwarancji kończy się wraz z upływem okresu licencji udzielonej zgodnie z </w:t>
      </w:r>
      <w:r w:rsidRPr="00A12034">
        <w:rPr>
          <w:rFonts w:ascii="Arial" w:hAnsi="Arial" w:cs="Arial"/>
          <w:color w:val="000000"/>
          <w:sz w:val="22"/>
          <w:szCs w:val="22"/>
        </w:rPr>
        <w:lastRenderedPageBreak/>
        <w:t>pkt 10.5. lit a. Umowy Okres Gwarancji w odniesieniu do poszczególnych elementów Przedmiotu Umowy ulegać będzie ponadto przedłużeniu zgodnie z treścią art. 581 Kodeksu Cywilnego.”</w:t>
      </w:r>
    </w:p>
    <w:p w14:paraId="6F242E84" w14:textId="39618908" w:rsidR="00B5700D" w:rsidRDefault="00B5700D" w:rsidP="00811A36">
      <w:pPr>
        <w:widowControl w:val="0"/>
        <w:tabs>
          <w:tab w:val="left" w:pos="709"/>
        </w:tabs>
        <w:spacing w:before="80" w:after="80"/>
        <w:ind w:left="357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5E3296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5E6DBFB6" w14:textId="77777777" w:rsidR="00B11523" w:rsidRDefault="00B11523" w:rsidP="00811A36">
      <w:pPr>
        <w:widowControl w:val="0"/>
        <w:tabs>
          <w:tab w:val="left" w:pos="709"/>
        </w:tabs>
        <w:spacing w:before="80" w:after="80"/>
        <w:ind w:left="357"/>
        <w:jc w:val="both"/>
        <w:outlineLvl w:val="2"/>
        <w:rPr>
          <w:rFonts w:ascii="Arial" w:hAnsi="Arial" w:cs="Arial"/>
          <w:sz w:val="22"/>
          <w:szCs w:val="22"/>
        </w:rPr>
      </w:pPr>
      <w:r w:rsidRPr="00B11523">
        <w:rPr>
          <w:rFonts w:ascii="Arial" w:hAnsi="Arial" w:cs="Arial"/>
          <w:sz w:val="22"/>
          <w:szCs w:val="22"/>
        </w:rPr>
        <w:t xml:space="preserve">Zamawiający nie zmienia treści SWZ </w:t>
      </w:r>
      <w:r>
        <w:rPr>
          <w:rFonts w:ascii="Arial" w:hAnsi="Arial" w:cs="Arial"/>
          <w:sz w:val="22"/>
          <w:szCs w:val="22"/>
        </w:rPr>
        <w:t>w proponowanym zakresie.</w:t>
      </w:r>
    </w:p>
    <w:p w14:paraId="483638D3" w14:textId="01EF8FD6" w:rsidR="00D0753E" w:rsidRPr="00F0181C" w:rsidRDefault="00D0753E" w:rsidP="00811A36">
      <w:pPr>
        <w:widowControl w:val="0"/>
        <w:tabs>
          <w:tab w:val="left" w:pos="709"/>
        </w:tabs>
        <w:spacing w:before="80" w:after="80"/>
        <w:ind w:left="357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F0181C">
        <w:rPr>
          <w:rFonts w:ascii="Arial" w:hAnsi="Arial" w:cs="Arial"/>
          <w:sz w:val="22"/>
          <w:szCs w:val="22"/>
        </w:rPr>
        <w:t xml:space="preserve">Patrz Zmiana </w:t>
      </w:r>
      <w:r w:rsidR="008054B8">
        <w:rPr>
          <w:rFonts w:ascii="Arial" w:hAnsi="Arial" w:cs="Arial"/>
          <w:sz w:val="22"/>
          <w:szCs w:val="22"/>
        </w:rPr>
        <w:t>treści SWZ pkt</w:t>
      </w:r>
      <w:r w:rsidRPr="00F0181C">
        <w:rPr>
          <w:rFonts w:ascii="Arial" w:hAnsi="Arial" w:cs="Arial"/>
          <w:sz w:val="22"/>
          <w:szCs w:val="22"/>
        </w:rPr>
        <w:t xml:space="preserve"> 1 lit. </w:t>
      </w:r>
      <w:r w:rsidR="00167D66">
        <w:rPr>
          <w:rFonts w:ascii="Arial" w:hAnsi="Arial" w:cs="Arial"/>
          <w:sz w:val="22"/>
          <w:szCs w:val="22"/>
        </w:rPr>
        <w:t>g</w:t>
      </w:r>
      <w:r w:rsidRPr="00F0181C">
        <w:rPr>
          <w:rFonts w:ascii="Arial" w:hAnsi="Arial" w:cs="Arial"/>
          <w:sz w:val="22"/>
          <w:szCs w:val="22"/>
        </w:rPr>
        <w:t>)</w:t>
      </w:r>
      <w:r w:rsidR="00AD238C" w:rsidRPr="00AD238C">
        <w:rPr>
          <w:rFonts w:ascii="Arial" w:hAnsi="Arial" w:cs="Arial"/>
          <w:sz w:val="22"/>
          <w:szCs w:val="22"/>
        </w:rPr>
        <w:t xml:space="preserve"> </w:t>
      </w:r>
      <w:r w:rsidR="00AD238C">
        <w:rPr>
          <w:rFonts w:ascii="Arial" w:hAnsi="Arial" w:cs="Arial"/>
          <w:sz w:val="22"/>
          <w:szCs w:val="22"/>
        </w:rPr>
        <w:t>poniżej</w:t>
      </w:r>
      <w:r w:rsidR="00AD238C" w:rsidRPr="009C6DD5">
        <w:rPr>
          <w:rFonts w:ascii="Arial" w:hAnsi="Arial" w:cs="Arial"/>
          <w:sz w:val="22"/>
          <w:szCs w:val="22"/>
        </w:rPr>
        <w:t>.</w:t>
      </w:r>
    </w:p>
    <w:p w14:paraId="03020072" w14:textId="24DA3C91" w:rsidR="00B5700D" w:rsidRPr="00F0181C" w:rsidRDefault="00B5700D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bookmarkStart w:id="10" w:name="_Hlk121396339"/>
      <w:bookmarkStart w:id="11" w:name="_Hlk122347439"/>
      <w:bookmarkEnd w:id="9"/>
      <w:r w:rsidRPr="00F0181C">
        <w:rPr>
          <w:rFonts w:ascii="Arial" w:hAnsi="Arial" w:cs="Arial"/>
          <w:b/>
          <w:bCs/>
          <w:color w:val="auto"/>
          <w:sz w:val="22"/>
          <w:szCs w:val="22"/>
          <w:u w:val="single"/>
        </w:rPr>
        <w:t>Pytanie</w:t>
      </w:r>
      <w:r w:rsidR="00D22E9E" w:rsidRPr="00F0181C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4</w:t>
      </w:r>
      <w:r w:rsidRPr="00F0181C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bookmarkEnd w:id="10"/>
    <w:p w14:paraId="1E49227D" w14:textId="0998B05B" w:rsidR="0084706F" w:rsidRPr="00F0181C" w:rsidRDefault="00A12034" w:rsidP="00811A36">
      <w:pPr>
        <w:pStyle w:val="Default"/>
        <w:widowControl w:val="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F0181C">
        <w:rPr>
          <w:rFonts w:ascii="Arial" w:hAnsi="Arial" w:cs="Arial"/>
          <w:color w:val="auto"/>
          <w:sz w:val="22"/>
          <w:szCs w:val="22"/>
        </w:rPr>
        <w:t>Wnosimy o zmianę punktu 14.2. lit. a i nadanie mu następującego brzmienia: „za każdy rozpoczęty dzień zwłoki Wykonawcy w stosunku do terminu realizacji Etapu 1 Realizacji Umowy (Koncepcja Realizacji Wdrożenia) określonego w Harmonogramie Realizacji Przedmiotu Umowy (przy czym za realizację Etapu Realizacji Umowy uznaje się datę podpisania Protokołu Odbioru dla tego Etapu)) – w wysokości 0,03 % Wynagrodzenia netto.”</w:t>
      </w:r>
    </w:p>
    <w:p w14:paraId="7E93E3D9" w14:textId="02824000" w:rsidR="00B5700D" w:rsidRPr="00F0181C" w:rsidRDefault="00B5700D" w:rsidP="00811A36">
      <w:pPr>
        <w:widowControl w:val="0"/>
        <w:spacing w:before="80" w:after="80"/>
        <w:ind w:left="360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bookmarkStart w:id="12" w:name="_Hlk121396388"/>
      <w:r w:rsidRPr="00F0181C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760F91ED" w14:textId="583AE15E" w:rsidR="005E3296" w:rsidRPr="00F0181C" w:rsidRDefault="00D0753E" w:rsidP="00811A36">
      <w:pPr>
        <w:widowControl w:val="0"/>
        <w:ind w:left="360"/>
        <w:jc w:val="both"/>
        <w:outlineLvl w:val="2"/>
        <w:rPr>
          <w:rFonts w:ascii="Arial" w:hAnsi="Arial" w:cs="Arial"/>
          <w:sz w:val="22"/>
          <w:szCs w:val="22"/>
        </w:rPr>
      </w:pPr>
      <w:r w:rsidRPr="00F0181C">
        <w:rPr>
          <w:rFonts w:ascii="Arial" w:hAnsi="Arial" w:cs="Arial"/>
          <w:sz w:val="22"/>
          <w:szCs w:val="22"/>
        </w:rPr>
        <w:t xml:space="preserve">Patrz Zmiana </w:t>
      </w:r>
      <w:r w:rsidR="00167D66" w:rsidRPr="00167D66">
        <w:rPr>
          <w:rFonts w:ascii="Arial" w:hAnsi="Arial" w:cs="Arial"/>
          <w:sz w:val="22"/>
          <w:szCs w:val="22"/>
        </w:rPr>
        <w:t xml:space="preserve">treści SWZ pkt </w:t>
      </w:r>
      <w:r w:rsidRPr="00F0181C">
        <w:rPr>
          <w:rFonts w:ascii="Arial" w:hAnsi="Arial" w:cs="Arial"/>
          <w:sz w:val="22"/>
          <w:szCs w:val="22"/>
        </w:rPr>
        <w:t xml:space="preserve">1 lit. </w:t>
      </w:r>
      <w:r w:rsidR="000D3214" w:rsidRPr="00F0181C">
        <w:rPr>
          <w:rFonts w:ascii="Arial" w:hAnsi="Arial" w:cs="Arial"/>
          <w:sz w:val="22"/>
          <w:szCs w:val="22"/>
        </w:rPr>
        <w:t xml:space="preserve">d), </w:t>
      </w:r>
      <w:r w:rsidRPr="00F0181C">
        <w:rPr>
          <w:rFonts w:ascii="Arial" w:hAnsi="Arial" w:cs="Arial"/>
          <w:sz w:val="22"/>
          <w:szCs w:val="22"/>
        </w:rPr>
        <w:t>e) i f)</w:t>
      </w:r>
      <w:r w:rsidR="00AD238C" w:rsidRPr="00AD238C">
        <w:rPr>
          <w:rFonts w:ascii="Arial" w:hAnsi="Arial" w:cs="Arial"/>
          <w:sz w:val="22"/>
          <w:szCs w:val="22"/>
        </w:rPr>
        <w:t xml:space="preserve"> </w:t>
      </w:r>
      <w:r w:rsidR="00AD238C">
        <w:rPr>
          <w:rFonts w:ascii="Arial" w:hAnsi="Arial" w:cs="Arial"/>
          <w:sz w:val="22"/>
          <w:szCs w:val="22"/>
        </w:rPr>
        <w:t>poniżej</w:t>
      </w:r>
      <w:r w:rsidR="00AD238C" w:rsidRPr="009C6DD5">
        <w:rPr>
          <w:rFonts w:ascii="Arial" w:hAnsi="Arial" w:cs="Arial"/>
          <w:sz w:val="22"/>
          <w:szCs w:val="22"/>
        </w:rPr>
        <w:t>.</w:t>
      </w:r>
    </w:p>
    <w:bookmarkEnd w:id="11"/>
    <w:bookmarkEnd w:id="12"/>
    <w:p w14:paraId="7A7E5B99" w14:textId="3B9AB072" w:rsidR="00DD7455" w:rsidRPr="00374378" w:rsidRDefault="00DD7455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74378">
        <w:rPr>
          <w:rFonts w:ascii="Arial" w:hAnsi="Arial" w:cs="Arial"/>
          <w:b/>
          <w:bCs/>
          <w:sz w:val="22"/>
          <w:szCs w:val="22"/>
          <w:u w:val="single"/>
        </w:rPr>
        <w:t>Pytani</w:t>
      </w:r>
      <w:r w:rsidR="00930B03">
        <w:rPr>
          <w:rFonts w:ascii="Arial" w:hAnsi="Arial" w:cs="Arial"/>
          <w:b/>
          <w:bCs/>
          <w:sz w:val="22"/>
          <w:szCs w:val="22"/>
          <w:u w:val="single"/>
        </w:rPr>
        <w:t>e 5</w:t>
      </w:r>
      <w:r w:rsidRPr="0037437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50046FD1" w14:textId="5A7FC7A2" w:rsidR="00DD7455" w:rsidRPr="00374378" w:rsidRDefault="00A12034" w:rsidP="00811A36">
      <w:pPr>
        <w:pStyle w:val="Default"/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A12034">
        <w:rPr>
          <w:rFonts w:ascii="Arial" w:hAnsi="Arial" w:cs="Arial"/>
          <w:sz w:val="22"/>
          <w:szCs w:val="22"/>
        </w:rPr>
        <w:t>Wnosimy o zmianę punktu 14.2. lit. b i nadanie mu następującego brzmienia: „za każdy</w:t>
      </w:r>
      <w:r>
        <w:rPr>
          <w:rFonts w:ascii="Arial" w:hAnsi="Arial" w:cs="Arial"/>
          <w:sz w:val="22"/>
          <w:szCs w:val="22"/>
        </w:rPr>
        <w:t xml:space="preserve"> </w:t>
      </w:r>
      <w:r w:rsidRPr="00A12034">
        <w:rPr>
          <w:rFonts w:ascii="Arial" w:hAnsi="Arial" w:cs="Arial"/>
          <w:sz w:val="22"/>
          <w:szCs w:val="22"/>
        </w:rPr>
        <w:t>rozpoczęty dzień zwłoki Wykonawcy w zakończeniu realizacji całości Przedmiotu Umowy</w:t>
      </w:r>
      <w:r>
        <w:rPr>
          <w:rFonts w:ascii="Arial" w:hAnsi="Arial" w:cs="Arial"/>
          <w:sz w:val="22"/>
          <w:szCs w:val="22"/>
        </w:rPr>
        <w:t xml:space="preserve"> </w:t>
      </w:r>
      <w:r w:rsidRPr="00A12034">
        <w:rPr>
          <w:rFonts w:ascii="Arial" w:hAnsi="Arial" w:cs="Arial"/>
          <w:sz w:val="22"/>
          <w:szCs w:val="22"/>
        </w:rPr>
        <w:t>rozumianego jako pozyskanie Protokołu Odbioru Końcowego, w stosunku do terminu</w:t>
      </w:r>
      <w:r>
        <w:rPr>
          <w:rFonts w:ascii="Arial" w:hAnsi="Arial" w:cs="Arial"/>
          <w:sz w:val="22"/>
          <w:szCs w:val="22"/>
        </w:rPr>
        <w:t xml:space="preserve"> </w:t>
      </w:r>
      <w:r w:rsidRPr="00A12034">
        <w:rPr>
          <w:rFonts w:ascii="Arial" w:hAnsi="Arial" w:cs="Arial"/>
          <w:sz w:val="22"/>
          <w:szCs w:val="22"/>
        </w:rPr>
        <w:t>przewidzianego w Harmonogramie Realizacji Przedmiotu Umowy dla Etapu 5 – w wysokości 0,05</w:t>
      </w:r>
      <w:r>
        <w:rPr>
          <w:rFonts w:ascii="Arial" w:hAnsi="Arial" w:cs="Arial"/>
          <w:sz w:val="22"/>
          <w:szCs w:val="22"/>
        </w:rPr>
        <w:t xml:space="preserve"> </w:t>
      </w:r>
      <w:r w:rsidRPr="00A12034">
        <w:rPr>
          <w:rFonts w:ascii="Arial" w:hAnsi="Arial" w:cs="Arial"/>
          <w:sz w:val="22"/>
          <w:szCs w:val="22"/>
        </w:rPr>
        <w:t>% Wynagrodzenia netto.”</w:t>
      </w:r>
    </w:p>
    <w:p w14:paraId="7B4D51CD" w14:textId="77777777" w:rsidR="00DD7455" w:rsidRPr="00374378" w:rsidRDefault="00DD7455" w:rsidP="00811A36">
      <w:pPr>
        <w:widowControl w:val="0"/>
        <w:spacing w:before="80" w:after="80"/>
        <w:ind w:left="364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374378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3E410D0F" w14:textId="329A445A" w:rsidR="00DD7455" w:rsidRPr="00F0181C" w:rsidRDefault="008054B8" w:rsidP="00811A36">
      <w:pPr>
        <w:pStyle w:val="Default"/>
        <w:widowControl w:val="0"/>
        <w:spacing w:before="80" w:after="80"/>
        <w:ind w:left="364"/>
        <w:jc w:val="both"/>
        <w:rPr>
          <w:rFonts w:ascii="Arial" w:hAnsi="Arial" w:cs="Arial"/>
          <w:color w:val="auto"/>
          <w:sz w:val="22"/>
          <w:szCs w:val="22"/>
        </w:rPr>
      </w:pPr>
      <w:bookmarkStart w:id="13" w:name="_Hlk124167048"/>
      <w:r>
        <w:rPr>
          <w:rFonts w:ascii="Arial" w:hAnsi="Arial" w:cs="Arial"/>
          <w:color w:val="auto"/>
          <w:sz w:val="22"/>
          <w:szCs w:val="22"/>
        </w:rPr>
        <w:t xml:space="preserve">Patrz odpowiedź na Pytanie </w:t>
      </w:r>
      <w:bookmarkEnd w:id="13"/>
      <w:r w:rsidR="00B11523">
        <w:rPr>
          <w:rFonts w:ascii="Arial" w:hAnsi="Arial" w:cs="Arial"/>
          <w:color w:val="auto"/>
          <w:sz w:val="22"/>
          <w:szCs w:val="22"/>
        </w:rPr>
        <w:t>4</w:t>
      </w:r>
      <w:r w:rsidR="000D3214" w:rsidRPr="00F0181C">
        <w:rPr>
          <w:rFonts w:ascii="Arial" w:hAnsi="Arial" w:cs="Arial"/>
          <w:color w:val="auto"/>
          <w:sz w:val="22"/>
          <w:szCs w:val="22"/>
        </w:rPr>
        <w:t>.</w:t>
      </w:r>
    </w:p>
    <w:p w14:paraId="058198EE" w14:textId="7FEE2079" w:rsidR="00B6401B" w:rsidRPr="00F0181C" w:rsidRDefault="00B6401B" w:rsidP="00811A36">
      <w:pPr>
        <w:pStyle w:val="Default"/>
        <w:widowControl w:val="0"/>
        <w:numPr>
          <w:ilvl w:val="0"/>
          <w:numId w:val="6"/>
        </w:numPr>
        <w:spacing w:after="80"/>
        <w:ind w:left="357" w:hanging="357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F0181C">
        <w:rPr>
          <w:rFonts w:ascii="Arial" w:hAnsi="Arial" w:cs="Arial"/>
          <w:b/>
          <w:bCs/>
          <w:color w:val="auto"/>
          <w:sz w:val="22"/>
          <w:szCs w:val="22"/>
          <w:u w:val="single"/>
        </w:rPr>
        <w:t>Pytanie</w:t>
      </w:r>
      <w:r w:rsidR="00930B03" w:rsidRPr="00F0181C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6</w:t>
      </w:r>
      <w:r w:rsidRPr="00F0181C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6DDD0CAB" w14:textId="65062D2C" w:rsidR="00AB665D" w:rsidRPr="00F0181C" w:rsidRDefault="00A12034" w:rsidP="00811A36">
      <w:pPr>
        <w:widowControl w:val="0"/>
        <w:ind w:left="357"/>
        <w:jc w:val="both"/>
        <w:outlineLvl w:val="2"/>
        <w:rPr>
          <w:rFonts w:ascii="Arial" w:hAnsi="Arial" w:cs="Arial"/>
          <w:sz w:val="22"/>
          <w:szCs w:val="22"/>
        </w:rPr>
      </w:pPr>
      <w:r w:rsidRPr="00F0181C">
        <w:rPr>
          <w:rFonts w:ascii="Arial" w:hAnsi="Arial" w:cs="Arial"/>
          <w:sz w:val="22"/>
          <w:szCs w:val="22"/>
        </w:rPr>
        <w:t>Wnosimy o zmianę punktu 14.2. lit. c i nadanie mu następującego brzmienia: za każdą rozpoczętą godzinę zwłoki w realizacji Usługi Usuwania Wad (w realizacji „naprawy”) w zakresie „awarii krytycznych” w stosunku do terminów określonych zgodnie z pkt 9.5. powyżej – w wysokości 0,05 % Wynagrodzenia netto.</w:t>
      </w:r>
    </w:p>
    <w:p w14:paraId="15F1E8DA" w14:textId="269644E0" w:rsidR="00B6401B" w:rsidRPr="00F0181C" w:rsidRDefault="00B6401B" w:rsidP="00811A36">
      <w:pPr>
        <w:widowControl w:val="0"/>
        <w:spacing w:before="80" w:after="80"/>
        <w:ind w:left="357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F0181C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4C22EE6F" w14:textId="365CEBDE" w:rsidR="006012B3" w:rsidRPr="00F0181C" w:rsidRDefault="008054B8" w:rsidP="00811A36">
      <w:pPr>
        <w:pStyle w:val="Akapitzlist"/>
        <w:widowControl w:val="0"/>
        <w:ind w:left="360"/>
        <w:jc w:val="both"/>
        <w:outlineLvl w:val="2"/>
        <w:rPr>
          <w:rFonts w:ascii="Arial" w:hAnsi="Arial" w:cs="Arial"/>
          <w:sz w:val="22"/>
          <w:szCs w:val="22"/>
        </w:rPr>
      </w:pPr>
      <w:r w:rsidRPr="008054B8">
        <w:rPr>
          <w:rFonts w:ascii="Arial" w:hAnsi="Arial" w:cs="Arial"/>
          <w:sz w:val="22"/>
          <w:szCs w:val="22"/>
        </w:rPr>
        <w:t xml:space="preserve">Patrz odpowiedź na Pytanie </w:t>
      </w:r>
      <w:r w:rsidR="00B11523">
        <w:rPr>
          <w:rFonts w:ascii="Arial" w:hAnsi="Arial" w:cs="Arial"/>
          <w:sz w:val="22"/>
          <w:szCs w:val="22"/>
        </w:rPr>
        <w:t>4</w:t>
      </w:r>
      <w:r w:rsidR="000D3214" w:rsidRPr="00F0181C">
        <w:rPr>
          <w:rFonts w:ascii="Arial" w:hAnsi="Arial" w:cs="Arial"/>
          <w:sz w:val="22"/>
          <w:szCs w:val="22"/>
        </w:rPr>
        <w:t>.</w:t>
      </w:r>
    </w:p>
    <w:p w14:paraId="2C4C9E74" w14:textId="3081994A" w:rsidR="00930B03" w:rsidRPr="00F0181C" w:rsidRDefault="00930B03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F0181C">
        <w:rPr>
          <w:rFonts w:ascii="Arial" w:hAnsi="Arial" w:cs="Arial"/>
          <w:b/>
          <w:bCs/>
          <w:color w:val="auto"/>
          <w:sz w:val="22"/>
          <w:szCs w:val="22"/>
          <w:u w:val="single"/>
        </w:rPr>
        <w:t>Pytanie 7:</w:t>
      </w:r>
    </w:p>
    <w:p w14:paraId="5838C2D5" w14:textId="157CB95D" w:rsidR="00930B03" w:rsidRPr="00F0181C" w:rsidRDefault="00A12034" w:rsidP="00811A36">
      <w:pPr>
        <w:pStyle w:val="Default"/>
        <w:widowControl w:val="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F0181C">
        <w:rPr>
          <w:rFonts w:ascii="Arial" w:hAnsi="Arial" w:cs="Arial"/>
          <w:color w:val="auto"/>
          <w:sz w:val="22"/>
          <w:szCs w:val="22"/>
        </w:rPr>
        <w:t>Wnosimy o zmianę punktu 14.2. lit. d i nadanie mu następującego brzmienia: „za każdy rozpoczęty dzień zwłoki w realizacji Usługi Usuwania Wad (w realizacji „naprawy”) w zakresie awarii innych niż krytyczne, usterek oraz Wad Usługi Digitalizacji w stosunku do terminów określonych zgodnie z pkt. 9.5. powyżej – w wysokości 0,05 % Wynagrodzenia netto”</w:t>
      </w:r>
    </w:p>
    <w:p w14:paraId="28B31A6A" w14:textId="77777777" w:rsidR="00930B03" w:rsidRPr="00F0181C" w:rsidRDefault="00930B03" w:rsidP="00811A36">
      <w:pPr>
        <w:widowControl w:val="0"/>
        <w:spacing w:before="80" w:after="80"/>
        <w:ind w:left="360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F0181C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571296B5" w14:textId="6EA8AE86" w:rsidR="00F06F52" w:rsidRPr="006012B3" w:rsidRDefault="008054B8" w:rsidP="00811A36">
      <w:pPr>
        <w:pStyle w:val="Akapitzlist"/>
        <w:widowControl w:val="0"/>
        <w:ind w:left="360"/>
        <w:jc w:val="both"/>
        <w:outlineLvl w:val="2"/>
        <w:rPr>
          <w:rFonts w:ascii="Arial" w:hAnsi="Arial" w:cs="Arial"/>
          <w:color w:val="0000FF"/>
          <w:sz w:val="22"/>
          <w:szCs w:val="22"/>
        </w:rPr>
      </w:pPr>
      <w:r w:rsidRPr="008054B8">
        <w:rPr>
          <w:rFonts w:ascii="Arial" w:hAnsi="Arial" w:cs="Arial"/>
          <w:sz w:val="22"/>
          <w:szCs w:val="22"/>
        </w:rPr>
        <w:t xml:space="preserve">Patrz odpowiedź na Pytanie </w:t>
      </w:r>
      <w:r w:rsidR="00B11523">
        <w:rPr>
          <w:rFonts w:ascii="Arial" w:hAnsi="Arial" w:cs="Arial"/>
          <w:sz w:val="22"/>
          <w:szCs w:val="22"/>
        </w:rPr>
        <w:t>4</w:t>
      </w:r>
      <w:r w:rsidR="000D3214">
        <w:rPr>
          <w:rFonts w:ascii="Arial" w:hAnsi="Arial" w:cs="Arial"/>
          <w:color w:val="0000FF"/>
          <w:sz w:val="22"/>
          <w:szCs w:val="22"/>
        </w:rPr>
        <w:t>.</w:t>
      </w:r>
    </w:p>
    <w:p w14:paraId="058F8F2B" w14:textId="3962B4A7" w:rsidR="00930B03" w:rsidRPr="00374378" w:rsidRDefault="00930B03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74378">
        <w:rPr>
          <w:rFonts w:ascii="Arial" w:hAnsi="Arial" w:cs="Arial"/>
          <w:b/>
          <w:bCs/>
          <w:sz w:val="22"/>
          <w:szCs w:val="22"/>
          <w:u w:val="single"/>
        </w:rPr>
        <w:t>Pytanie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8</w:t>
      </w:r>
      <w:r w:rsidRPr="0037437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62CF557" w14:textId="6CCDF5BF" w:rsidR="00DD3C7B" w:rsidRDefault="00D85835" w:rsidP="00811A36">
      <w:pPr>
        <w:widowControl w:val="0"/>
        <w:spacing w:before="80" w:after="80"/>
        <w:ind w:left="360"/>
        <w:jc w:val="both"/>
        <w:outlineLvl w:val="2"/>
        <w:rPr>
          <w:rFonts w:ascii="Arial" w:hAnsi="Arial" w:cs="Arial"/>
          <w:sz w:val="22"/>
          <w:szCs w:val="22"/>
        </w:rPr>
      </w:pPr>
      <w:r w:rsidRPr="00D85835">
        <w:rPr>
          <w:rFonts w:ascii="Arial" w:hAnsi="Arial" w:cs="Arial"/>
          <w:sz w:val="22"/>
          <w:szCs w:val="22"/>
        </w:rPr>
        <w:t>Wnosimy o zmianę punktu 14.2. lit. e i nadanie mu następującego brzmienia: w przypadku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naruszenia przez Wykonawcę obowiązku ochrony danych osobowych określonych w § 11 Umowy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– w wysokości 0,05 % Wynagrodzenia netto za każdy przypadek naruszenia.</w:t>
      </w:r>
    </w:p>
    <w:p w14:paraId="55B8E9A2" w14:textId="3554EDA4" w:rsidR="00930B03" w:rsidRPr="00374378" w:rsidRDefault="00930B03" w:rsidP="00811A36">
      <w:pPr>
        <w:widowControl w:val="0"/>
        <w:spacing w:before="80" w:after="80"/>
        <w:ind w:left="360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bookmarkStart w:id="14" w:name="_Hlk123111581"/>
      <w:r w:rsidRPr="00374378">
        <w:rPr>
          <w:rFonts w:ascii="Arial" w:hAnsi="Arial" w:cs="Arial"/>
          <w:b/>
          <w:bCs/>
          <w:sz w:val="22"/>
          <w:szCs w:val="22"/>
        </w:rPr>
        <w:t>Wyjaśnienia Zamawiającego:</w:t>
      </w:r>
    </w:p>
    <w:bookmarkEnd w:id="14"/>
    <w:p w14:paraId="768063B2" w14:textId="17FE20B9" w:rsidR="00CD7F5F" w:rsidRPr="008054B8" w:rsidRDefault="008054B8" w:rsidP="00811A36">
      <w:pPr>
        <w:pStyle w:val="Akapitzlist"/>
        <w:widowControl w:val="0"/>
        <w:ind w:left="360"/>
        <w:jc w:val="both"/>
        <w:outlineLvl w:val="2"/>
        <w:rPr>
          <w:rFonts w:ascii="Arial" w:hAnsi="Arial" w:cs="Arial"/>
          <w:sz w:val="22"/>
          <w:szCs w:val="22"/>
        </w:rPr>
      </w:pPr>
      <w:r w:rsidRPr="008054B8">
        <w:rPr>
          <w:rFonts w:ascii="Arial" w:hAnsi="Arial" w:cs="Arial"/>
          <w:sz w:val="22"/>
          <w:szCs w:val="22"/>
        </w:rPr>
        <w:t xml:space="preserve">Patrz odpowiedź na Pytanie </w:t>
      </w:r>
      <w:r w:rsidR="00B11523">
        <w:rPr>
          <w:rFonts w:ascii="Arial" w:hAnsi="Arial" w:cs="Arial"/>
          <w:sz w:val="22"/>
          <w:szCs w:val="22"/>
        </w:rPr>
        <w:t>4</w:t>
      </w:r>
      <w:r w:rsidR="000D3214" w:rsidRPr="008054B8">
        <w:rPr>
          <w:rFonts w:ascii="Arial" w:hAnsi="Arial" w:cs="Arial"/>
          <w:sz w:val="22"/>
          <w:szCs w:val="22"/>
        </w:rPr>
        <w:t>.</w:t>
      </w:r>
    </w:p>
    <w:p w14:paraId="559985B6" w14:textId="3218702B" w:rsidR="00930B03" w:rsidRPr="00374378" w:rsidRDefault="00930B03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74378">
        <w:rPr>
          <w:rFonts w:ascii="Arial" w:hAnsi="Arial" w:cs="Arial"/>
          <w:b/>
          <w:bCs/>
          <w:sz w:val="22"/>
          <w:szCs w:val="22"/>
          <w:u w:val="single"/>
        </w:rPr>
        <w:t>Pytanie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60ED2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37437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66C4C99" w14:textId="1D7B33B0" w:rsidR="00F665AF" w:rsidRPr="00F665AF" w:rsidRDefault="00D85835" w:rsidP="00811A36">
      <w:pPr>
        <w:pStyle w:val="Default"/>
        <w:widowControl w:val="0"/>
        <w:spacing w:before="80" w:after="8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D85835">
        <w:rPr>
          <w:rFonts w:ascii="Arial" w:hAnsi="Arial" w:cs="Arial"/>
          <w:sz w:val="22"/>
          <w:szCs w:val="22"/>
        </w:rPr>
        <w:t xml:space="preserve">Wnosimy o zmianę punktu 16.7 i nadanie mu następującego brzmienia: „W przypadku, gdy </w:t>
      </w:r>
      <w:r w:rsidRPr="00D85835">
        <w:rPr>
          <w:rFonts w:ascii="Arial" w:hAnsi="Arial" w:cs="Arial"/>
          <w:sz w:val="22"/>
          <w:szCs w:val="22"/>
        </w:rPr>
        <w:lastRenderedPageBreak/>
        <w:t>siła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wyższa, o której mowa w niniejszym paragrafie, łącznie trwa dłużej niż 30 Dni, Zamawiający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będzie uprawniony do odstąpienia od Umowy w drodze oświadczenia złożonego Wykonawcy ze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skutkiem na Dzień doręczenia tego oświadczenia Wykonawcy, bez możliwości naliczenia kary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umownej określonej w pkt. 14.2. lit. g, z uwzględnieniem postanowień zawartych w § 17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Umowy.”</w:t>
      </w:r>
      <w:r w:rsidR="00D07714" w:rsidRPr="00D07714">
        <w:rPr>
          <w:rFonts w:ascii="Arial" w:hAnsi="Arial" w:cs="Arial"/>
          <w:sz w:val="22"/>
          <w:szCs w:val="22"/>
        </w:rPr>
        <w:cr/>
      </w:r>
      <w:r w:rsidR="00F665AF" w:rsidRPr="00F665AF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0825D9AC" w14:textId="53A440E4" w:rsidR="00930B03" w:rsidRPr="00F0181C" w:rsidRDefault="00F82901" w:rsidP="00811A36">
      <w:pPr>
        <w:widowControl w:val="0"/>
        <w:ind w:left="360"/>
        <w:jc w:val="both"/>
        <w:outlineLvl w:val="2"/>
        <w:rPr>
          <w:rFonts w:ascii="Arial" w:hAnsi="Arial" w:cs="Arial"/>
          <w:sz w:val="22"/>
          <w:szCs w:val="22"/>
        </w:rPr>
      </w:pPr>
      <w:r w:rsidRPr="00F0181C">
        <w:rPr>
          <w:rFonts w:ascii="Arial" w:hAnsi="Arial" w:cs="Arial"/>
          <w:sz w:val="22"/>
          <w:szCs w:val="22"/>
        </w:rPr>
        <w:t>Odstąpienie, o którym mowa w pkt. 16.7. Umowy jest odstąpieniem spowodowanym okolicznościami siły wyższej</w:t>
      </w:r>
      <w:r w:rsidR="000F36D7" w:rsidRPr="00F0181C">
        <w:rPr>
          <w:rFonts w:ascii="Arial" w:hAnsi="Arial" w:cs="Arial"/>
          <w:sz w:val="22"/>
          <w:szCs w:val="22"/>
        </w:rPr>
        <w:t>, nie spowodowanym przyczynami leżącymi po stronie Wykonawcy. Odstąpienie w trybie pkt. 16.7. zgodnie z treścią Umowy nie uprawnia Zamawiającego do żądania od Wykonawcy kary umownej określonej w pkt. 14.2. lit. g) Umowy.</w:t>
      </w:r>
    </w:p>
    <w:p w14:paraId="6D20BF10" w14:textId="74BDBD60" w:rsidR="00D85835" w:rsidRDefault="00D85835" w:rsidP="00811A36">
      <w:pPr>
        <w:pStyle w:val="Default"/>
        <w:widowControl w:val="0"/>
        <w:spacing w:before="80" w:after="80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85835">
        <w:rPr>
          <w:rFonts w:ascii="Arial" w:hAnsi="Arial" w:cs="Arial"/>
          <w:b/>
          <w:bCs/>
          <w:sz w:val="22"/>
          <w:szCs w:val="22"/>
          <w:u w:val="single"/>
        </w:rPr>
        <w:t>Pytania do załącznika nr 8 (OPZ)</w:t>
      </w:r>
    </w:p>
    <w:p w14:paraId="1B1121F6" w14:textId="1A7A9E89" w:rsidR="00930B03" w:rsidRPr="00374378" w:rsidRDefault="00930B03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74378">
        <w:rPr>
          <w:rFonts w:ascii="Arial" w:hAnsi="Arial" w:cs="Arial"/>
          <w:b/>
          <w:bCs/>
          <w:sz w:val="22"/>
          <w:szCs w:val="22"/>
          <w:u w:val="single"/>
        </w:rPr>
        <w:t>Pytanie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60ED2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37437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B509256" w14:textId="13CB3A1E" w:rsidR="00930B03" w:rsidRPr="00374378" w:rsidRDefault="00D85835" w:rsidP="00811A36">
      <w:pPr>
        <w:pStyle w:val="Default"/>
        <w:widowControl w:val="0"/>
        <w:ind w:left="357"/>
        <w:jc w:val="both"/>
        <w:rPr>
          <w:rFonts w:ascii="Arial" w:hAnsi="Arial" w:cs="Arial"/>
          <w:sz w:val="22"/>
          <w:szCs w:val="22"/>
        </w:rPr>
      </w:pPr>
      <w:r w:rsidRPr="00D85835">
        <w:rPr>
          <w:rFonts w:ascii="Arial" w:hAnsi="Arial" w:cs="Arial"/>
          <w:sz w:val="22"/>
          <w:szCs w:val="22"/>
        </w:rPr>
        <w:t>Wnosimy o zmianę zapisów w pkt 5 harmonogram tabela pkt 3.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Rozpoczęcie wytwarzania powinno rozpocząć się po zaakceptowaniu koncepcji wytwarzania i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projektu oprogramowania. Koncepcja ma być dokumentem na wysokim poziomie organizującym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cały proces jak i architekturę wytwarzanego oprogramowania. Cały proces wytwórczy ma być</w:t>
      </w:r>
      <w:r>
        <w:rPr>
          <w:rFonts w:ascii="Arial" w:hAnsi="Arial" w:cs="Arial"/>
          <w:sz w:val="22"/>
          <w:szCs w:val="22"/>
        </w:rPr>
        <w:t xml:space="preserve"> r</w:t>
      </w:r>
      <w:r w:rsidRPr="00D85835">
        <w:rPr>
          <w:rFonts w:ascii="Arial" w:hAnsi="Arial" w:cs="Arial"/>
          <w:sz w:val="22"/>
          <w:szCs w:val="22"/>
        </w:rPr>
        <w:t>ealizowany zgodnie z tym dokumentem. Terminy rozpoczęcia prac wytwórczych i koncepcji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obecnie są równoległe w występuje istotna zależność podległości pomiędzy tymi produktami.</w:t>
      </w:r>
    </w:p>
    <w:p w14:paraId="5D0AE161" w14:textId="77777777" w:rsidR="00930B03" w:rsidRPr="00F0181C" w:rsidRDefault="00930B03" w:rsidP="00811A36">
      <w:pPr>
        <w:widowControl w:val="0"/>
        <w:spacing w:before="80" w:after="80"/>
        <w:ind w:left="360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F0181C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05753510" w14:textId="653A0220" w:rsidR="00930B03" w:rsidRPr="00F0181C" w:rsidRDefault="0073739C" w:rsidP="00811A36">
      <w:pPr>
        <w:widowControl w:val="0"/>
        <w:ind w:left="360"/>
        <w:jc w:val="both"/>
        <w:outlineLvl w:val="2"/>
        <w:rPr>
          <w:rFonts w:ascii="Arial" w:hAnsi="Arial" w:cs="Arial"/>
          <w:sz w:val="22"/>
          <w:szCs w:val="22"/>
        </w:rPr>
      </w:pPr>
      <w:r w:rsidRPr="00F0181C">
        <w:rPr>
          <w:rFonts w:ascii="Arial" w:hAnsi="Arial" w:cs="Arial"/>
          <w:sz w:val="22"/>
          <w:szCs w:val="22"/>
        </w:rPr>
        <w:t xml:space="preserve">Zamawiający oczekuje, aby </w:t>
      </w:r>
      <w:r w:rsidR="00662191" w:rsidRPr="00F0181C">
        <w:rPr>
          <w:rFonts w:ascii="Arial" w:hAnsi="Arial" w:cs="Arial"/>
          <w:sz w:val="22"/>
          <w:szCs w:val="22"/>
        </w:rPr>
        <w:t xml:space="preserve">Wykonawca </w:t>
      </w:r>
      <w:r w:rsidRPr="00F0181C">
        <w:rPr>
          <w:rFonts w:ascii="Arial" w:hAnsi="Arial" w:cs="Arial"/>
          <w:sz w:val="22"/>
          <w:szCs w:val="22"/>
        </w:rPr>
        <w:t>dostarczył i wdrożył</w:t>
      </w:r>
      <w:r w:rsidR="00A05A1A" w:rsidRPr="00F0181C">
        <w:rPr>
          <w:rFonts w:ascii="Arial" w:hAnsi="Arial" w:cs="Arial"/>
          <w:sz w:val="22"/>
          <w:szCs w:val="22"/>
        </w:rPr>
        <w:t xml:space="preserve"> System </w:t>
      </w:r>
      <w:r w:rsidR="00406146" w:rsidRPr="00F0181C">
        <w:rPr>
          <w:rFonts w:ascii="Arial" w:hAnsi="Arial" w:cs="Arial"/>
          <w:sz w:val="22"/>
          <w:szCs w:val="22"/>
        </w:rPr>
        <w:t>Digitalizacji Dokumentacji (SDD) w terminie określonym w OPZ.</w:t>
      </w:r>
      <w:r w:rsidRPr="00F0181C">
        <w:rPr>
          <w:rFonts w:ascii="Arial" w:hAnsi="Arial" w:cs="Arial"/>
          <w:sz w:val="22"/>
          <w:szCs w:val="22"/>
        </w:rPr>
        <w:t xml:space="preserve"> </w:t>
      </w:r>
      <w:r w:rsidR="00D67409" w:rsidRPr="00F0181C">
        <w:rPr>
          <w:rFonts w:ascii="Arial" w:hAnsi="Arial" w:cs="Arial"/>
          <w:sz w:val="22"/>
          <w:szCs w:val="22"/>
        </w:rPr>
        <w:t xml:space="preserve">Termin wskazany w pkt. 3 </w:t>
      </w:r>
      <w:r w:rsidR="00AA12F5" w:rsidRPr="00F0181C">
        <w:rPr>
          <w:rFonts w:ascii="Arial" w:hAnsi="Arial" w:cs="Arial"/>
          <w:sz w:val="22"/>
          <w:szCs w:val="22"/>
        </w:rPr>
        <w:t>pkt. 5 OPZ (Harmonogram realizacji – Etapy realizacji Projektu)</w:t>
      </w:r>
      <w:r w:rsidR="00E9706E" w:rsidRPr="00F0181C">
        <w:rPr>
          <w:rFonts w:ascii="Arial" w:hAnsi="Arial" w:cs="Arial"/>
          <w:sz w:val="22"/>
          <w:szCs w:val="22"/>
        </w:rPr>
        <w:t xml:space="preserve"> określa jedynie wiążący Wykonawcę termin ukończenia określonego Etapu Realizacji Projektu.</w:t>
      </w:r>
    </w:p>
    <w:p w14:paraId="67D4792B" w14:textId="2CAFEBC0" w:rsidR="00930B03" w:rsidRPr="00374378" w:rsidRDefault="00930B03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74378">
        <w:rPr>
          <w:rFonts w:ascii="Arial" w:hAnsi="Arial" w:cs="Arial"/>
          <w:b/>
          <w:bCs/>
          <w:sz w:val="22"/>
          <w:szCs w:val="22"/>
          <w:u w:val="single"/>
        </w:rPr>
        <w:t>Pytanie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60ED2">
        <w:rPr>
          <w:rFonts w:ascii="Arial" w:hAnsi="Arial" w:cs="Arial"/>
          <w:b/>
          <w:bCs/>
          <w:sz w:val="22"/>
          <w:szCs w:val="22"/>
          <w:u w:val="single"/>
        </w:rPr>
        <w:t>11</w:t>
      </w:r>
      <w:r w:rsidRPr="0037437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5D394734" w14:textId="6B2F59BE" w:rsidR="00930B03" w:rsidRPr="00374378" w:rsidRDefault="00D85835" w:rsidP="00811A36">
      <w:pPr>
        <w:pStyle w:val="Default"/>
        <w:widowControl w:val="0"/>
        <w:ind w:left="357"/>
        <w:jc w:val="both"/>
        <w:rPr>
          <w:rFonts w:ascii="Arial" w:hAnsi="Arial" w:cs="Arial"/>
          <w:sz w:val="22"/>
          <w:szCs w:val="22"/>
        </w:rPr>
      </w:pPr>
      <w:r w:rsidRPr="00D85835">
        <w:rPr>
          <w:rFonts w:ascii="Arial" w:hAnsi="Arial" w:cs="Arial"/>
          <w:sz w:val="22"/>
          <w:szCs w:val="22"/>
        </w:rPr>
        <w:t>Wnosimy o wyjaśnienie pkt. 9.8.4 pkt a.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Co zamawiający rozumie przez obsługę standardu? W dalszej części dokumentu Zamawiający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wymaga dla komunikacji między modułami protokołu MQTT. Prosimy o jasną deklarację, którego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protokołu aplikacja ma używać dla komunikacji sieciowej miedzy sobą?</w:t>
      </w:r>
    </w:p>
    <w:p w14:paraId="796D74E6" w14:textId="77777777" w:rsidR="00930B03" w:rsidRPr="00374378" w:rsidRDefault="00930B03" w:rsidP="00811A36">
      <w:pPr>
        <w:widowControl w:val="0"/>
        <w:spacing w:before="80" w:after="80"/>
        <w:ind w:left="360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bookmarkStart w:id="15" w:name="_Hlk123111796"/>
      <w:r w:rsidRPr="00374378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26271B79" w14:textId="6EEA6A49" w:rsidR="003D0425" w:rsidRPr="00811A36" w:rsidRDefault="003D0425" w:rsidP="00811A36">
      <w:pPr>
        <w:widowControl w:val="0"/>
        <w:ind w:left="360"/>
        <w:outlineLvl w:val="2"/>
        <w:rPr>
          <w:rFonts w:ascii="Arial" w:hAnsi="Arial" w:cs="Arial"/>
          <w:sz w:val="22"/>
          <w:szCs w:val="22"/>
        </w:rPr>
      </w:pPr>
      <w:bookmarkStart w:id="16" w:name="_Hlk124433622"/>
      <w:bookmarkEnd w:id="15"/>
      <w:r w:rsidRPr="00811A36">
        <w:rPr>
          <w:rFonts w:ascii="Arial" w:hAnsi="Arial" w:cs="Arial"/>
          <w:sz w:val="22"/>
          <w:szCs w:val="22"/>
        </w:rPr>
        <w:t>Zamawiający nie narzuca protokołu komunikacji pomiędzy modułami.</w:t>
      </w:r>
      <w:bookmarkEnd w:id="16"/>
    </w:p>
    <w:p w14:paraId="772A81AE" w14:textId="713B510F" w:rsidR="00930B03" w:rsidRPr="00811A36" w:rsidRDefault="00DE5857" w:rsidP="00811A36">
      <w:pPr>
        <w:widowControl w:val="0"/>
        <w:ind w:left="360"/>
        <w:outlineLvl w:val="2"/>
        <w:rPr>
          <w:rFonts w:ascii="Arial" w:hAnsi="Arial" w:cs="Arial"/>
          <w:sz w:val="22"/>
          <w:szCs w:val="22"/>
        </w:rPr>
      </w:pPr>
      <w:r w:rsidRPr="00811A36">
        <w:rPr>
          <w:rFonts w:ascii="Arial" w:hAnsi="Arial" w:cs="Arial"/>
          <w:sz w:val="22"/>
          <w:szCs w:val="22"/>
        </w:rPr>
        <w:t>Patrz Zmiana treści SWZ pkt 2 lit. f), g)</w:t>
      </w:r>
      <w:r w:rsidR="008A067A" w:rsidRPr="00811A36">
        <w:rPr>
          <w:rFonts w:ascii="Arial" w:hAnsi="Arial" w:cs="Arial"/>
          <w:sz w:val="22"/>
          <w:szCs w:val="22"/>
        </w:rPr>
        <w:t xml:space="preserve">, </w:t>
      </w:r>
      <w:r w:rsidRPr="00811A36">
        <w:rPr>
          <w:rFonts w:ascii="Arial" w:hAnsi="Arial" w:cs="Arial"/>
          <w:sz w:val="22"/>
          <w:szCs w:val="22"/>
        </w:rPr>
        <w:t>h)</w:t>
      </w:r>
      <w:r w:rsidR="00C87246" w:rsidRPr="00811A36">
        <w:rPr>
          <w:rFonts w:ascii="Arial" w:hAnsi="Arial" w:cs="Arial"/>
          <w:sz w:val="22"/>
          <w:szCs w:val="22"/>
        </w:rPr>
        <w:t>,</w:t>
      </w:r>
      <w:r w:rsidR="008A067A" w:rsidRPr="00811A36">
        <w:rPr>
          <w:rFonts w:ascii="Arial" w:hAnsi="Arial" w:cs="Arial"/>
          <w:sz w:val="22"/>
          <w:szCs w:val="22"/>
        </w:rPr>
        <w:t xml:space="preserve"> i)</w:t>
      </w:r>
      <w:r w:rsidR="00C87246" w:rsidRPr="00811A36">
        <w:rPr>
          <w:rFonts w:ascii="Arial" w:hAnsi="Arial" w:cs="Arial"/>
          <w:sz w:val="22"/>
          <w:szCs w:val="22"/>
        </w:rPr>
        <w:t xml:space="preserve">, j) i k) </w:t>
      </w:r>
      <w:r w:rsidR="00AD238C" w:rsidRPr="00811A36">
        <w:rPr>
          <w:rFonts w:ascii="Arial" w:hAnsi="Arial" w:cs="Arial"/>
          <w:sz w:val="22"/>
          <w:szCs w:val="22"/>
        </w:rPr>
        <w:t>poniżej.</w:t>
      </w:r>
    </w:p>
    <w:p w14:paraId="0505B5B6" w14:textId="589F0777" w:rsidR="00930B03" w:rsidRPr="00374378" w:rsidRDefault="00930B03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74378">
        <w:rPr>
          <w:rFonts w:ascii="Arial" w:hAnsi="Arial" w:cs="Arial"/>
          <w:b/>
          <w:bCs/>
          <w:sz w:val="22"/>
          <w:szCs w:val="22"/>
          <w:u w:val="single"/>
        </w:rPr>
        <w:t>Pytanie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60ED2">
        <w:rPr>
          <w:rFonts w:ascii="Arial" w:hAnsi="Arial" w:cs="Arial"/>
          <w:b/>
          <w:bCs/>
          <w:sz w:val="22"/>
          <w:szCs w:val="22"/>
          <w:u w:val="single"/>
        </w:rPr>
        <w:t>12</w:t>
      </w:r>
      <w:r w:rsidRPr="0037437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4EC641A7" w14:textId="324EB8A3" w:rsidR="00D85835" w:rsidRPr="00D85835" w:rsidRDefault="00D85835" w:rsidP="00811A36">
      <w:pPr>
        <w:pStyle w:val="Default"/>
        <w:widowControl w:val="0"/>
        <w:spacing w:before="80" w:after="80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D85835">
        <w:rPr>
          <w:rFonts w:ascii="Arial" w:hAnsi="Arial" w:cs="Arial"/>
          <w:sz w:val="22"/>
          <w:szCs w:val="22"/>
        </w:rPr>
        <w:t>Wnosimy o jasną interpretacje pojęcia „zintegrowane” w kontekście stosowania zewnętrznych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narzędzi - czy może być to forma wywołania raportu z tworzonej aplikacji poprzez link do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zewnętrznego systemu narzędziowego i składowanych w nim raportów i statystyk?</w:t>
      </w:r>
    </w:p>
    <w:p w14:paraId="1BACA008" w14:textId="61EA7A60" w:rsidR="00930B03" w:rsidRPr="00A80855" w:rsidRDefault="00D85835" w:rsidP="00811A36">
      <w:pPr>
        <w:pStyle w:val="Default"/>
        <w:widowControl w:val="0"/>
        <w:spacing w:before="80" w:after="80"/>
        <w:ind w:left="357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85835">
        <w:rPr>
          <w:rFonts w:ascii="Arial" w:hAnsi="Arial" w:cs="Arial"/>
          <w:sz w:val="22"/>
          <w:szCs w:val="22"/>
        </w:rPr>
        <w:t>Zamawiający definiuje moduł raportów i statystyk, jak zewnętrzny zestaw narzędzi pkt 9.8.9, a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jednocześnie w puncie 9.9.9 wymaga by wszystkie moduły systemy były zintegrowane.</w:t>
      </w:r>
      <w:r w:rsidR="00D07714" w:rsidRPr="00D07714">
        <w:rPr>
          <w:rFonts w:ascii="Arial" w:hAnsi="Arial" w:cs="Arial"/>
          <w:sz w:val="22"/>
          <w:szCs w:val="22"/>
        </w:rPr>
        <w:cr/>
      </w:r>
      <w:r w:rsidR="00930B03" w:rsidRPr="00374378">
        <w:rPr>
          <w:rFonts w:ascii="Arial" w:hAnsi="Arial" w:cs="Arial"/>
          <w:b/>
          <w:bCs/>
          <w:sz w:val="22"/>
          <w:szCs w:val="22"/>
        </w:rPr>
        <w:t xml:space="preserve">Wyjaśnienia </w:t>
      </w:r>
      <w:r w:rsidR="00930B03" w:rsidRPr="00A80855">
        <w:rPr>
          <w:rFonts w:ascii="Arial" w:hAnsi="Arial" w:cs="Arial"/>
          <w:b/>
          <w:bCs/>
          <w:color w:val="auto"/>
          <w:sz w:val="22"/>
          <w:szCs w:val="22"/>
        </w:rPr>
        <w:t>Zamawiającego:</w:t>
      </w:r>
    </w:p>
    <w:p w14:paraId="48840508" w14:textId="7A7110DB" w:rsidR="00930B03" w:rsidRPr="00A80855" w:rsidRDefault="00022047" w:rsidP="00811A36">
      <w:pPr>
        <w:widowControl w:val="0"/>
        <w:ind w:left="360"/>
        <w:jc w:val="both"/>
        <w:outlineLvl w:val="2"/>
        <w:rPr>
          <w:rFonts w:ascii="Arial" w:hAnsi="Arial" w:cs="Arial"/>
          <w:sz w:val="22"/>
          <w:szCs w:val="22"/>
        </w:rPr>
      </w:pPr>
      <w:r w:rsidRPr="00A80855">
        <w:rPr>
          <w:rFonts w:ascii="Arial" w:hAnsi="Arial" w:cs="Arial"/>
          <w:sz w:val="22"/>
          <w:szCs w:val="22"/>
        </w:rPr>
        <w:t xml:space="preserve">Integracja może odbywać się </w:t>
      </w:r>
      <w:r w:rsidR="00815D57" w:rsidRPr="00A80855">
        <w:rPr>
          <w:rFonts w:ascii="Arial" w:hAnsi="Arial" w:cs="Arial"/>
          <w:sz w:val="22"/>
          <w:szCs w:val="22"/>
        </w:rPr>
        <w:t>w formie wywołania raportu z tworzonej aplikacji poprzez link do zewnętrznego systemu narzędziowego i składowanych w nim raportów i statystyk.</w:t>
      </w:r>
    </w:p>
    <w:p w14:paraId="0955F0AD" w14:textId="3969C680" w:rsidR="00930B03" w:rsidRPr="00374378" w:rsidRDefault="00930B03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74378">
        <w:rPr>
          <w:rFonts w:ascii="Arial" w:hAnsi="Arial" w:cs="Arial"/>
          <w:b/>
          <w:bCs/>
          <w:sz w:val="22"/>
          <w:szCs w:val="22"/>
          <w:u w:val="single"/>
        </w:rPr>
        <w:t>Pytanie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60ED2">
        <w:rPr>
          <w:rFonts w:ascii="Arial" w:hAnsi="Arial" w:cs="Arial"/>
          <w:b/>
          <w:bCs/>
          <w:sz w:val="22"/>
          <w:szCs w:val="22"/>
          <w:u w:val="single"/>
        </w:rPr>
        <w:t>13</w:t>
      </w:r>
      <w:r w:rsidRPr="0037437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04920B62" w14:textId="6FCE5536" w:rsidR="00D85835" w:rsidRDefault="00D85835" w:rsidP="00811A36">
      <w:pPr>
        <w:pStyle w:val="Default"/>
        <w:widowControl w:val="0"/>
        <w:ind w:left="357"/>
        <w:jc w:val="both"/>
        <w:rPr>
          <w:rFonts w:ascii="Arial" w:hAnsi="Arial" w:cs="Arial"/>
          <w:sz w:val="22"/>
          <w:szCs w:val="22"/>
        </w:rPr>
      </w:pPr>
      <w:bookmarkStart w:id="17" w:name="_Hlk123566823"/>
      <w:r w:rsidRPr="00D85835">
        <w:rPr>
          <w:rFonts w:ascii="Arial" w:hAnsi="Arial" w:cs="Arial"/>
          <w:sz w:val="22"/>
          <w:szCs w:val="22"/>
        </w:rPr>
        <w:t>Wnosimy o wyjaśnienie: w punkcie 9.8.27 zamawiający definiuje 2 metody dla podpisu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elektronicznego. Zapis rozumiemy jako realizację jednego z 2 sposobów podpisywania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dokumentów?</w:t>
      </w:r>
    </w:p>
    <w:bookmarkEnd w:id="17"/>
    <w:p w14:paraId="0F2E551D" w14:textId="77777777" w:rsidR="00811A36" w:rsidRDefault="00811A36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BB8A440" w14:textId="2E4E5C0E" w:rsidR="00930B03" w:rsidRPr="00374378" w:rsidRDefault="00930B03" w:rsidP="00811A36">
      <w:pPr>
        <w:pStyle w:val="Default"/>
        <w:widowControl w:val="0"/>
        <w:spacing w:before="80" w:after="8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374378">
        <w:rPr>
          <w:rFonts w:ascii="Arial" w:hAnsi="Arial" w:cs="Arial"/>
          <w:b/>
          <w:bCs/>
          <w:sz w:val="22"/>
          <w:szCs w:val="22"/>
        </w:rPr>
        <w:lastRenderedPageBreak/>
        <w:t>Wyjaśnienia Zamawiającego:</w:t>
      </w:r>
    </w:p>
    <w:p w14:paraId="4581D390" w14:textId="5EA0AAFA" w:rsidR="00930B03" w:rsidRPr="00A80855" w:rsidRDefault="00334738" w:rsidP="00811A36">
      <w:pPr>
        <w:widowControl w:val="0"/>
        <w:ind w:left="360"/>
        <w:jc w:val="both"/>
        <w:outlineLvl w:val="2"/>
        <w:rPr>
          <w:rFonts w:ascii="Arial" w:hAnsi="Arial" w:cs="Arial"/>
          <w:sz w:val="22"/>
          <w:szCs w:val="22"/>
        </w:rPr>
      </w:pPr>
      <w:r w:rsidRPr="00A80855">
        <w:rPr>
          <w:rFonts w:ascii="Arial" w:hAnsi="Arial" w:cs="Arial"/>
          <w:sz w:val="22"/>
          <w:szCs w:val="22"/>
        </w:rPr>
        <w:t xml:space="preserve">System posiadający mechanizmy </w:t>
      </w:r>
      <w:r w:rsidR="00E63470" w:rsidRPr="00A80855">
        <w:rPr>
          <w:rFonts w:ascii="Arial" w:hAnsi="Arial" w:cs="Arial"/>
          <w:sz w:val="22"/>
          <w:szCs w:val="22"/>
        </w:rPr>
        <w:t>umożliwiające uż</w:t>
      </w:r>
      <w:r w:rsidRPr="00A80855">
        <w:rPr>
          <w:rFonts w:ascii="Arial" w:hAnsi="Arial" w:cs="Arial"/>
          <w:sz w:val="22"/>
          <w:szCs w:val="22"/>
        </w:rPr>
        <w:t>ycie jednego z dwóch rodzajów podpisów określonych w pkt. 9.8.27 Załącznika nr 8 do SWZ – OPZ spełnia wymagania Zamawiającego, zgodnie z treścią przywołanego postanowienia.</w:t>
      </w:r>
    </w:p>
    <w:p w14:paraId="71BC39AA" w14:textId="54BCB2F9" w:rsidR="00930B03" w:rsidRPr="00374378" w:rsidRDefault="00930B03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74378">
        <w:rPr>
          <w:rFonts w:ascii="Arial" w:hAnsi="Arial" w:cs="Arial"/>
          <w:b/>
          <w:bCs/>
          <w:sz w:val="22"/>
          <w:szCs w:val="22"/>
          <w:u w:val="single"/>
        </w:rPr>
        <w:t>Pytanie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60ED2">
        <w:rPr>
          <w:rFonts w:ascii="Arial" w:hAnsi="Arial" w:cs="Arial"/>
          <w:b/>
          <w:bCs/>
          <w:sz w:val="22"/>
          <w:szCs w:val="22"/>
          <w:u w:val="single"/>
        </w:rPr>
        <w:t>1</w:t>
      </w:r>
      <w:r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37437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F3D1EA8" w14:textId="77777777" w:rsidR="00D85835" w:rsidRDefault="00D85835" w:rsidP="00811A36">
      <w:pPr>
        <w:pStyle w:val="Default"/>
        <w:widowControl w:val="0"/>
        <w:ind w:left="357"/>
        <w:jc w:val="both"/>
        <w:rPr>
          <w:rFonts w:ascii="Arial" w:hAnsi="Arial" w:cs="Arial"/>
          <w:sz w:val="22"/>
          <w:szCs w:val="22"/>
        </w:rPr>
      </w:pPr>
      <w:r w:rsidRPr="00D85835">
        <w:rPr>
          <w:rFonts w:ascii="Arial" w:hAnsi="Arial" w:cs="Arial"/>
          <w:sz w:val="22"/>
          <w:szCs w:val="22"/>
        </w:rPr>
        <w:t xml:space="preserve">Wnosimy o wyjaśnienia dotyczące pomieszczenia przeznaczonego do wykonania usługi digitalizacji: </w:t>
      </w:r>
    </w:p>
    <w:p w14:paraId="78581DDA" w14:textId="7AAB7890" w:rsidR="00D85835" w:rsidRPr="00D85835" w:rsidRDefault="00D85835" w:rsidP="00811A36">
      <w:pPr>
        <w:pStyle w:val="Default"/>
        <w:widowControl w:val="0"/>
        <w:ind w:left="357"/>
        <w:jc w:val="both"/>
        <w:rPr>
          <w:rFonts w:ascii="Arial" w:hAnsi="Arial" w:cs="Arial"/>
          <w:sz w:val="22"/>
          <w:szCs w:val="22"/>
        </w:rPr>
      </w:pPr>
      <w:r w:rsidRPr="00D85835">
        <w:rPr>
          <w:rFonts w:ascii="Arial" w:hAnsi="Arial" w:cs="Arial"/>
          <w:sz w:val="22"/>
          <w:szCs w:val="22"/>
        </w:rPr>
        <w:t>1)</w:t>
      </w:r>
      <w:r w:rsidRPr="00D85835">
        <w:rPr>
          <w:rFonts w:ascii="Arial" w:hAnsi="Arial" w:cs="Arial"/>
          <w:sz w:val="22"/>
          <w:szCs w:val="22"/>
        </w:rPr>
        <w:tab/>
        <w:t>Jakiej wielkości (m2) będzie pomieszczenie lub pomieszczenia?</w:t>
      </w:r>
    </w:p>
    <w:p w14:paraId="677E3585" w14:textId="77777777" w:rsidR="00D85835" w:rsidRPr="00D85835" w:rsidRDefault="00D85835" w:rsidP="00811A36">
      <w:pPr>
        <w:pStyle w:val="Default"/>
        <w:widowControl w:val="0"/>
        <w:ind w:left="357"/>
        <w:jc w:val="both"/>
        <w:rPr>
          <w:rFonts w:ascii="Arial" w:hAnsi="Arial" w:cs="Arial"/>
          <w:sz w:val="22"/>
          <w:szCs w:val="22"/>
        </w:rPr>
      </w:pPr>
      <w:r w:rsidRPr="00D85835">
        <w:rPr>
          <w:rFonts w:ascii="Arial" w:hAnsi="Arial" w:cs="Arial"/>
          <w:sz w:val="22"/>
          <w:szCs w:val="22"/>
        </w:rPr>
        <w:t>2)</w:t>
      </w:r>
      <w:r w:rsidRPr="00D85835">
        <w:rPr>
          <w:rFonts w:ascii="Arial" w:hAnsi="Arial" w:cs="Arial"/>
          <w:sz w:val="22"/>
          <w:szCs w:val="22"/>
        </w:rPr>
        <w:tab/>
        <w:t>Czy Zamawiający udostępni Wykonawcy własne meble tj. stoły, krzesła, szafki do zagospodarowania w tymczasowej pracowni?</w:t>
      </w:r>
    </w:p>
    <w:p w14:paraId="6FD81CEF" w14:textId="77777777" w:rsidR="00D85835" w:rsidRPr="00D85835" w:rsidRDefault="00D85835" w:rsidP="00811A36">
      <w:pPr>
        <w:pStyle w:val="Default"/>
        <w:widowControl w:val="0"/>
        <w:ind w:left="357"/>
        <w:jc w:val="both"/>
        <w:rPr>
          <w:rFonts w:ascii="Arial" w:hAnsi="Arial" w:cs="Arial"/>
          <w:sz w:val="22"/>
          <w:szCs w:val="22"/>
        </w:rPr>
      </w:pPr>
      <w:r w:rsidRPr="00D85835">
        <w:rPr>
          <w:rFonts w:ascii="Arial" w:hAnsi="Arial" w:cs="Arial"/>
          <w:sz w:val="22"/>
          <w:szCs w:val="22"/>
        </w:rPr>
        <w:t>3)</w:t>
      </w:r>
      <w:r w:rsidRPr="00D85835">
        <w:rPr>
          <w:rFonts w:ascii="Arial" w:hAnsi="Arial" w:cs="Arial"/>
          <w:sz w:val="22"/>
          <w:szCs w:val="22"/>
        </w:rPr>
        <w:tab/>
        <w:t>W jakich godzinach będzie można przeprowadzać usługę digitalizacji?</w:t>
      </w:r>
    </w:p>
    <w:p w14:paraId="772AAEAE" w14:textId="50DAF30F" w:rsidR="00930B03" w:rsidRPr="00374378" w:rsidRDefault="00D85835" w:rsidP="00811A36">
      <w:pPr>
        <w:pStyle w:val="Default"/>
        <w:widowControl w:val="0"/>
        <w:spacing w:before="80" w:after="8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D85835">
        <w:rPr>
          <w:rFonts w:ascii="Arial" w:hAnsi="Arial" w:cs="Arial"/>
          <w:sz w:val="22"/>
          <w:szCs w:val="22"/>
        </w:rPr>
        <w:t>4)</w:t>
      </w:r>
      <w:r w:rsidRPr="00D85835">
        <w:rPr>
          <w:rFonts w:ascii="Arial" w:hAnsi="Arial" w:cs="Arial"/>
          <w:sz w:val="22"/>
          <w:szCs w:val="22"/>
        </w:rPr>
        <w:tab/>
        <w:t>Czy będzie możliwa praca w dni ustawowo wolne od pracy?</w:t>
      </w:r>
      <w:r w:rsidR="00D07714" w:rsidRPr="00D07714">
        <w:rPr>
          <w:rFonts w:ascii="Arial" w:hAnsi="Arial" w:cs="Arial"/>
          <w:sz w:val="22"/>
          <w:szCs w:val="22"/>
        </w:rPr>
        <w:cr/>
      </w:r>
      <w:r w:rsidR="00930B03" w:rsidRPr="00374378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3B7C4DFC" w14:textId="17A11922" w:rsidR="00930B03" w:rsidRPr="00A80855" w:rsidRDefault="00670DF0" w:rsidP="00811A36">
      <w:pPr>
        <w:widowControl w:val="0"/>
        <w:ind w:left="360"/>
        <w:jc w:val="both"/>
        <w:outlineLvl w:val="2"/>
        <w:rPr>
          <w:rFonts w:ascii="Arial" w:hAnsi="Arial" w:cs="Arial"/>
          <w:sz w:val="22"/>
          <w:szCs w:val="22"/>
        </w:rPr>
      </w:pPr>
      <w:r w:rsidRPr="00A80855">
        <w:rPr>
          <w:rFonts w:ascii="Arial" w:hAnsi="Arial" w:cs="Arial"/>
          <w:sz w:val="22"/>
          <w:szCs w:val="22"/>
        </w:rPr>
        <w:t>Zamawiający przewiduje udostępnienie Wykonawcy pomieszczenia o wielkości ok. 42 m</w:t>
      </w:r>
      <w:r w:rsidRPr="00A80855">
        <w:rPr>
          <w:rFonts w:ascii="Arial" w:hAnsi="Arial" w:cs="Arial"/>
          <w:sz w:val="22"/>
          <w:szCs w:val="22"/>
          <w:vertAlign w:val="superscript"/>
        </w:rPr>
        <w:t>2</w:t>
      </w:r>
      <w:r w:rsidRPr="00A80855">
        <w:rPr>
          <w:rFonts w:ascii="Arial" w:hAnsi="Arial" w:cs="Arial"/>
          <w:sz w:val="22"/>
          <w:szCs w:val="22"/>
        </w:rPr>
        <w:t xml:space="preserve">. Pomieszczenie będzie wyposażone w stoły i w krzesła. Usługi digitalizacji będą mogły być w siedzibie Zamawiającego wykonywane wyłącznie w dni robocze, w godzinach 6:50-14:50. </w:t>
      </w:r>
    </w:p>
    <w:p w14:paraId="72C775A4" w14:textId="1DB46500" w:rsidR="00930B03" w:rsidRPr="00374378" w:rsidRDefault="00930B03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74378">
        <w:rPr>
          <w:rFonts w:ascii="Arial" w:hAnsi="Arial" w:cs="Arial"/>
          <w:b/>
          <w:bCs/>
          <w:sz w:val="22"/>
          <w:szCs w:val="22"/>
          <w:u w:val="single"/>
        </w:rPr>
        <w:t>Pytanie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60ED2">
        <w:rPr>
          <w:rFonts w:ascii="Arial" w:hAnsi="Arial" w:cs="Arial"/>
          <w:b/>
          <w:bCs/>
          <w:sz w:val="22"/>
          <w:szCs w:val="22"/>
          <w:u w:val="single"/>
        </w:rPr>
        <w:t>15</w:t>
      </w:r>
      <w:r w:rsidRPr="0037437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358DFA9D" w14:textId="745B44FD" w:rsidR="00930B03" w:rsidRPr="00374378" w:rsidRDefault="00D85835" w:rsidP="00811A36">
      <w:pPr>
        <w:widowControl w:val="0"/>
        <w:spacing w:before="80" w:after="80"/>
        <w:ind w:left="357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D85835">
        <w:rPr>
          <w:rFonts w:ascii="Arial" w:hAnsi="Arial" w:cs="Arial"/>
          <w:sz w:val="22"/>
          <w:szCs w:val="22"/>
        </w:rPr>
        <w:t>Wnosimy o wyjaśnienie czy dokumenty przeznaczone do skanowania na skanerach przelotowych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przed ich ze skanowaniem będzie można rozszyć, pozbawić zszywek spinaczy itp. a po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zeskanowaniu ponownie zszyć?</w:t>
      </w:r>
      <w:r w:rsidR="00D07714" w:rsidRPr="00D07714">
        <w:rPr>
          <w:rFonts w:ascii="Arial" w:hAnsi="Arial" w:cs="Arial"/>
          <w:sz w:val="22"/>
          <w:szCs w:val="22"/>
        </w:rPr>
        <w:cr/>
      </w:r>
      <w:r w:rsidR="00930B03" w:rsidRPr="00374378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65914793" w14:textId="523A3540" w:rsidR="00670DF0" w:rsidRPr="00E25B91" w:rsidRDefault="00670DF0" w:rsidP="00811A36">
      <w:pPr>
        <w:widowControl w:val="0"/>
        <w:ind w:left="360"/>
        <w:jc w:val="both"/>
        <w:outlineLvl w:val="2"/>
        <w:rPr>
          <w:rFonts w:ascii="Arial" w:hAnsi="Arial" w:cs="Arial"/>
          <w:color w:val="0000FF"/>
          <w:sz w:val="22"/>
          <w:szCs w:val="22"/>
        </w:rPr>
      </w:pPr>
      <w:r w:rsidRPr="00A80855">
        <w:rPr>
          <w:rFonts w:ascii="Arial" w:hAnsi="Arial" w:cs="Arial"/>
          <w:sz w:val="22"/>
          <w:szCs w:val="22"/>
        </w:rPr>
        <w:t>Rozszycie i ponowne zszycie dokumentacji przeznaczonej do skanowania na skanerach przelotowych jest możliwe</w:t>
      </w:r>
      <w:r w:rsidRPr="00E25B91">
        <w:rPr>
          <w:rFonts w:ascii="Arial" w:hAnsi="Arial" w:cs="Arial"/>
          <w:color w:val="0000FF"/>
          <w:sz w:val="22"/>
          <w:szCs w:val="22"/>
        </w:rPr>
        <w:t>.</w:t>
      </w:r>
      <w:r w:rsidR="00132185" w:rsidRPr="00E25B91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1DF7EE33" w14:textId="6B8676F4" w:rsidR="00930B03" w:rsidRPr="00374378" w:rsidRDefault="00930B03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74378">
        <w:rPr>
          <w:rFonts w:ascii="Arial" w:hAnsi="Arial" w:cs="Arial"/>
          <w:b/>
          <w:bCs/>
          <w:sz w:val="22"/>
          <w:szCs w:val="22"/>
          <w:u w:val="single"/>
        </w:rPr>
        <w:t>Pytanie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60ED2">
        <w:rPr>
          <w:rFonts w:ascii="Arial" w:hAnsi="Arial" w:cs="Arial"/>
          <w:b/>
          <w:bCs/>
          <w:sz w:val="22"/>
          <w:szCs w:val="22"/>
          <w:u w:val="single"/>
        </w:rPr>
        <w:t>16</w:t>
      </w:r>
      <w:r w:rsidRPr="0037437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08FB0AEB" w14:textId="1E19CB0B" w:rsidR="00B617FE" w:rsidRPr="00A80855" w:rsidRDefault="00D85835" w:rsidP="00811A36">
      <w:pPr>
        <w:pStyle w:val="Default"/>
        <w:widowControl w:val="0"/>
        <w:spacing w:before="80" w:after="80"/>
        <w:ind w:left="35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85835">
        <w:rPr>
          <w:rFonts w:ascii="Arial" w:hAnsi="Arial" w:cs="Arial"/>
          <w:sz w:val="22"/>
          <w:szCs w:val="22"/>
        </w:rPr>
        <w:t>Wnosimy o modyfikacje zapisów OPZ w punkcie dotyczącym marginesów. Stosowanie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marginesów naokoło dokumentu, ma wykazać, iż dokument nie został przypadkowo ucięty przez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835">
        <w:rPr>
          <w:rFonts w:ascii="Arial" w:hAnsi="Arial" w:cs="Arial"/>
          <w:sz w:val="22"/>
          <w:szCs w:val="22"/>
        </w:rPr>
        <w:t>skanerzystów</w:t>
      </w:r>
      <w:proofErr w:type="spellEnd"/>
      <w:r w:rsidRPr="00D85835">
        <w:rPr>
          <w:rFonts w:ascii="Arial" w:hAnsi="Arial" w:cs="Arial"/>
          <w:sz w:val="22"/>
          <w:szCs w:val="22"/>
        </w:rPr>
        <w:t>. W przypadku digitalizacji na skanerach przelotowych - takie zagrożenie nie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występuje. W związku z powyższym prosimy o zmianę zapisów tak by stosowanie marginesów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dotyczyło skanowania dokumentów na skanerach dziełowych.</w:t>
      </w:r>
      <w:r w:rsidR="00D07714" w:rsidRPr="00D07714">
        <w:rPr>
          <w:rFonts w:ascii="Arial" w:hAnsi="Arial" w:cs="Arial"/>
          <w:sz w:val="22"/>
          <w:szCs w:val="22"/>
        </w:rPr>
        <w:cr/>
      </w:r>
      <w:r w:rsidR="00930B03" w:rsidRPr="00A80855">
        <w:rPr>
          <w:rFonts w:ascii="Arial" w:hAnsi="Arial" w:cs="Arial"/>
          <w:b/>
          <w:bCs/>
          <w:color w:val="auto"/>
          <w:sz w:val="22"/>
          <w:szCs w:val="22"/>
        </w:rPr>
        <w:t>Wyjaśnienia Zamawiającego:</w:t>
      </w:r>
    </w:p>
    <w:p w14:paraId="2504FA9D" w14:textId="4D1DCD69" w:rsidR="00930B03" w:rsidRPr="00A80855" w:rsidRDefault="00B617FE" w:rsidP="00811A36">
      <w:pPr>
        <w:pStyle w:val="Default"/>
        <w:widowControl w:val="0"/>
        <w:ind w:left="357"/>
        <w:jc w:val="both"/>
        <w:rPr>
          <w:color w:val="auto"/>
        </w:rPr>
      </w:pPr>
      <w:bookmarkStart w:id="18" w:name="_Hlk124236722"/>
      <w:r w:rsidRPr="00A80855">
        <w:rPr>
          <w:rFonts w:ascii="Arial" w:hAnsi="Arial" w:cs="Arial"/>
          <w:color w:val="auto"/>
          <w:sz w:val="22"/>
          <w:szCs w:val="22"/>
        </w:rPr>
        <w:t xml:space="preserve">Patrz Zmiana </w:t>
      </w:r>
      <w:r w:rsidR="006708FC">
        <w:rPr>
          <w:rFonts w:ascii="Arial" w:hAnsi="Arial" w:cs="Arial"/>
          <w:color w:val="auto"/>
          <w:sz w:val="22"/>
          <w:szCs w:val="22"/>
        </w:rPr>
        <w:t>treści SWZ pkt</w:t>
      </w:r>
      <w:r w:rsidRPr="00A80855">
        <w:rPr>
          <w:rFonts w:ascii="Arial" w:hAnsi="Arial" w:cs="Arial"/>
          <w:color w:val="auto"/>
          <w:sz w:val="22"/>
          <w:szCs w:val="22"/>
        </w:rPr>
        <w:t xml:space="preserve"> 2 lit. a)</w:t>
      </w:r>
      <w:r w:rsidR="00AD238C" w:rsidRPr="00AD238C">
        <w:rPr>
          <w:rFonts w:ascii="Arial" w:hAnsi="Arial" w:cs="Arial"/>
          <w:sz w:val="22"/>
          <w:szCs w:val="22"/>
        </w:rPr>
        <w:t xml:space="preserve"> </w:t>
      </w:r>
      <w:r w:rsidR="00AD238C">
        <w:rPr>
          <w:rFonts w:ascii="Arial" w:hAnsi="Arial" w:cs="Arial"/>
          <w:sz w:val="22"/>
          <w:szCs w:val="22"/>
        </w:rPr>
        <w:t>poniżej</w:t>
      </w:r>
      <w:r w:rsidR="00AD238C" w:rsidRPr="009C6DD5">
        <w:rPr>
          <w:rFonts w:ascii="Arial" w:hAnsi="Arial" w:cs="Arial"/>
          <w:sz w:val="22"/>
          <w:szCs w:val="22"/>
        </w:rPr>
        <w:t>.</w:t>
      </w:r>
    </w:p>
    <w:bookmarkEnd w:id="18"/>
    <w:p w14:paraId="3940CD63" w14:textId="0FE869BA" w:rsidR="00930B03" w:rsidRPr="00374378" w:rsidRDefault="00930B03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74378">
        <w:rPr>
          <w:rFonts w:ascii="Arial" w:hAnsi="Arial" w:cs="Arial"/>
          <w:b/>
          <w:bCs/>
          <w:sz w:val="22"/>
          <w:szCs w:val="22"/>
          <w:u w:val="single"/>
        </w:rPr>
        <w:t>Pytanie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60ED2">
        <w:rPr>
          <w:rFonts w:ascii="Arial" w:hAnsi="Arial" w:cs="Arial"/>
          <w:b/>
          <w:bCs/>
          <w:sz w:val="22"/>
          <w:szCs w:val="22"/>
          <w:u w:val="single"/>
        </w:rPr>
        <w:t>17</w:t>
      </w:r>
      <w:r w:rsidRPr="0037437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0614103B" w14:textId="64ED6353" w:rsidR="00930B03" w:rsidRPr="00374378" w:rsidRDefault="00D85835" w:rsidP="00811A36">
      <w:pPr>
        <w:pStyle w:val="Default"/>
        <w:widowControl w:val="0"/>
        <w:ind w:left="357"/>
        <w:jc w:val="both"/>
        <w:rPr>
          <w:rFonts w:ascii="Arial" w:hAnsi="Arial" w:cs="Arial"/>
          <w:sz w:val="22"/>
          <w:szCs w:val="22"/>
        </w:rPr>
      </w:pPr>
      <w:r w:rsidRPr="00D85835">
        <w:rPr>
          <w:rFonts w:ascii="Arial" w:hAnsi="Arial" w:cs="Arial"/>
          <w:sz w:val="22"/>
          <w:szCs w:val="22"/>
        </w:rPr>
        <w:t>Wnosimy o wyjaśnienie, w jakiej jakości (DPI) mają być wykonywane skany?</w:t>
      </w:r>
    </w:p>
    <w:p w14:paraId="4ABF62ED" w14:textId="77777777" w:rsidR="00930B03" w:rsidRPr="00A80855" w:rsidRDefault="00930B03" w:rsidP="00811A36">
      <w:pPr>
        <w:widowControl w:val="0"/>
        <w:spacing w:before="80" w:after="80"/>
        <w:ind w:left="360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A80855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2B43007B" w14:textId="2995C025" w:rsidR="00930B03" w:rsidRPr="00A80855" w:rsidRDefault="00670DF0" w:rsidP="00811A36">
      <w:pPr>
        <w:widowControl w:val="0"/>
        <w:ind w:left="360"/>
        <w:outlineLvl w:val="2"/>
        <w:rPr>
          <w:rFonts w:ascii="Arial" w:hAnsi="Arial" w:cs="Arial"/>
          <w:sz w:val="22"/>
          <w:szCs w:val="22"/>
        </w:rPr>
      </w:pPr>
      <w:r w:rsidRPr="00A80855">
        <w:rPr>
          <w:rFonts w:ascii="Arial" w:hAnsi="Arial" w:cs="Arial"/>
          <w:sz w:val="22"/>
          <w:szCs w:val="22"/>
        </w:rPr>
        <w:t>Dla dokumentacji aktowej 400dpi, dla dokumentacji kartograficznej i technicznej 600dpi.</w:t>
      </w:r>
    </w:p>
    <w:p w14:paraId="604E09B0" w14:textId="31847399" w:rsidR="00930B03" w:rsidRPr="00374378" w:rsidRDefault="00930B03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74378">
        <w:rPr>
          <w:rFonts w:ascii="Arial" w:hAnsi="Arial" w:cs="Arial"/>
          <w:b/>
          <w:bCs/>
          <w:sz w:val="22"/>
          <w:szCs w:val="22"/>
          <w:u w:val="single"/>
        </w:rPr>
        <w:t>Pytanie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60ED2">
        <w:rPr>
          <w:rFonts w:ascii="Arial" w:hAnsi="Arial" w:cs="Arial"/>
          <w:b/>
          <w:bCs/>
          <w:sz w:val="22"/>
          <w:szCs w:val="22"/>
          <w:u w:val="single"/>
        </w:rPr>
        <w:t>18</w:t>
      </w:r>
      <w:r w:rsidRPr="0037437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4931EA29" w14:textId="70F90FEC" w:rsidR="0048619C" w:rsidRPr="00A80855" w:rsidRDefault="00D85835" w:rsidP="00811A36">
      <w:pPr>
        <w:pStyle w:val="Default"/>
        <w:widowControl w:val="0"/>
        <w:spacing w:before="80" w:after="80"/>
        <w:ind w:left="360"/>
        <w:jc w:val="both"/>
        <w:outlineLvl w:val="2"/>
        <w:rPr>
          <w:rFonts w:ascii="Arial" w:hAnsi="Arial" w:cs="Arial"/>
          <w:b/>
          <w:bCs/>
          <w:color w:val="auto"/>
          <w:sz w:val="22"/>
          <w:szCs w:val="22"/>
        </w:rPr>
      </w:pPr>
      <w:r w:rsidRPr="00D85835">
        <w:rPr>
          <w:rFonts w:ascii="Arial" w:hAnsi="Arial" w:cs="Arial"/>
          <w:sz w:val="22"/>
          <w:szCs w:val="22"/>
        </w:rPr>
        <w:t>Wnosimy o wyjaśnienie zapisów, pkt. 12, podpunkt P.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Zamawiający opisał min. parametry techniczno-funkcjonalne dla odwzorowania kolorów,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tonalnego, rozdzielczości przestrzennej, równomierności oświetlenia oraz zniekształceń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geometrycznych. W jaki sposób Zamawiający zamierza zweryfikować (prosimy o przedstawienie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konkretnej metodologii) czy skanery dziełowe dostarczone przez Wykonawcę spełniają</w:t>
      </w:r>
      <w:r>
        <w:rPr>
          <w:rFonts w:ascii="Arial" w:hAnsi="Arial" w:cs="Arial"/>
          <w:sz w:val="22"/>
          <w:szCs w:val="22"/>
        </w:rPr>
        <w:t xml:space="preserve"> </w:t>
      </w:r>
      <w:r w:rsidRPr="00D85835">
        <w:rPr>
          <w:rFonts w:ascii="Arial" w:hAnsi="Arial" w:cs="Arial"/>
          <w:sz w:val="22"/>
          <w:szCs w:val="22"/>
        </w:rPr>
        <w:t>wymagania Zamawiającego?</w:t>
      </w:r>
      <w:r w:rsidR="00D07714" w:rsidRPr="00D07714">
        <w:rPr>
          <w:rFonts w:ascii="Arial" w:hAnsi="Arial" w:cs="Arial"/>
          <w:sz w:val="22"/>
          <w:szCs w:val="22"/>
        </w:rPr>
        <w:cr/>
      </w:r>
      <w:r w:rsidR="00930B03" w:rsidRPr="00A80855">
        <w:rPr>
          <w:rFonts w:ascii="Arial" w:hAnsi="Arial" w:cs="Arial"/>
          <w:b/>
          <w:bCs/>
          <w:color w:val="auto"/>
          <w:sz w:val="22"/>
          <w:szCs w:val="22"/>
        </w:rPr>
        <w:t>Wyjaśnienia Zamawiającego:</w:t>
      </w:r>
    </w:p>
    <w:p w14:paraId="5BA40687" w14:textId="1DE4D1B0" w:rsidR="0048619C" w:rsidRPr="00A80855" w:rsidRDefault="0048619C" w:rsidP="00811A36">
      <w:pPr>
        <w:pStyle w:val="Default"/>
        <w:widowControl w:val="0"/>
        <w:spacing w:before="80" w:after="80"/>
        <w:ind w:left="360"/>
        <w:jc w:val="both"/>
        <w:outlineLvl w:val="2"/>
        <w:rPr>
          <w:color w:val="auto"/>
        </w:rPr>
      </w:pPr>
      <w:r w:rsidRPr="00A80855">
        <w:rPr>
          <w:rFonts w:ascii="Arial" w:hAnsi="Arial" w:cs="Arial"/>
          <w:color w:val="auto"/>
          <w:sz w:val="22"/>
          <w:szCs w:val="22"/>
        </w:rPr>
        <w:t xml:space="preserve">Pytanie nie dotyczy treści SWZ. </w:t>
      </w:r>
    </w:p>
    <w:p w14:paraId="49B2110D" w14:textId="4EE80982" w:rsidR="00930B03" w:rsidRPr="00374378" w:rsidRDefault="00930B03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74378">
        <w:rPr>
          <w:rFonts w:ascii="Arial" w:hAnsi="Arial" w:cs="Arial"/>
          <w:b/>
          <w:bCs/>
          <w:sz w:val="22"/>
          <w:szCs w:val="22"/>
          <w:u w:val="single"/>
        </w:rPr>
        <w:t>Pytanie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60ED2">
        <w:rPr>
          <w:rFonts w:ascii="Arial" w:hAnsi="Arial" w:cs="Arial"/>
          <w:b/>
          <w:bCs/>
          <w:sz w:val="22"/>
          <w:szCs w:val="22"/>
          <w:u w:val="single"/>
        </w:rPr>
        <w:t>19</w:t>
      </w:r>
      <w:r w:rsidRPr="0037437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236363C8" w14:textId="07555398" w:rsidR="00930B03" w:rsidRPr="009C6DD5" w:rsidRDefault="00720D08" w:rsidP="00811A36">
      <w:pPr>
        <w:pStyle w:val="Default"/>
        <w:widowControl w:val="0"/>
        <w:spacing w:before="80" w:after="80"/>
        <w:ind w:left="35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20D08">
        <w:rPr>
          <w:rFonts w:ascii="Arial" w:hAnsi="Arial" w:cs="Arial"/>
          <w:sz w:val="22"/>
          <w:szCs w:val="22"/>
        </w:rPr>
        <w:t>Wnosimy o wyjaśnienia w pkt 12, j) . 5, w którym Zamawiający zawarł zapis Sprawdzenie</w:t>
      </w:r>
      <w:r>
        <w:rPr>
          <w:rFonts w:ascii="Arial" w:hAnsi="Arial" w:cs="Arial"/>
          <w:sz w:val="22"/>
          <w:szCs w:val="22"/>
        </w:rPr>
        <w:t xml:space="preserve"> </w:t>
      </w:r>
      <w:r w:rsidRPr="00720D08">
        <w:rPr>
          <w:rFonts w:ascii="Arial" w:hAnsi="Arial" w:cs="Arial"/>
          <w:sz w:val="22"/>
          <w:szCs w:val="22"/>
        </w:rPr>
        <w:lastRenderedPageBreak/>
        <w:t>poprawności formatu JP2K z zakładanymi parametrami – patrz pkt. 1.2.</w:t>
      </w:r>
      <w:r>
        <w:rPr>
          <w:rFonts w:ascii="Arial" w:hAnsi="Arial" w:cs="Arial"/>
          <w:sz w:val="22"/>
          <w:szCs w:val="22"/>
        </w:rPr>
        <w:t xml:space="preserve"> </w:t>
      </w:r>
      <w:r w:rsidRPr="00720D08">
        <w:rPr>
          <w:rFonts w:ascii="Arial" w:hAnsi="Arial" w:cs="Arial"/>
          <w:sz w:val="22"/>
          <w:szCs w:val="22"/>
        </w:rPr>
        <w:t>W dokumencie brak takowego punku a co za tym idzie opisu parametrów. Prosimy o</w:t>
      </w:r>
      <w:r>
        <w:rPr>
          <w:rFonts w:ascii="Arial" w:hAnsi="Arial" w:cs="Arial"/>
          <w:sz w:val="22"/>
          <w:szCs w:val="22"/>
        </w:rPr>
        <w:t xml:space="preserve"> </w:t>
      </w:r>
      <w:r w:rsidRPr="00720D08">
        <w:rPr>
          <w:rFonts w:ascii="Arial" w:hAnsi="Arial" w:cs="Arial"/>
          <w:sz w:val="22"/>
          <w:szCs w:val="22"/>
        </w:rPr>
        <w:t>udostępnienie schematu. Dodatkowo z dokumentacji nie wynika jednoznacznie czy plik JP2K jest</w:t>
      </w:r>
      <w:r>
        <w:rPr>
          <w:rFonts w:ascii="Arial" w:hAnsi="Arial" w:cs="Arial"/>
          <w:sz w:val="22"/>
          <w:szCs w:val="22"/>
        </w:rPr>
        <w:t xml:space="preserve"> </w:t>
      </w:r>
      <w:r w:rsidRPr="00720D08">
        <w:rPr>
          <w:rFonts w:ascii="Arial" w:hAnsi="Arial" w:cs="Arial"/>
          <w:sz w:val="22"/>
          <w:szCs w:val="22"/>
        </w:rPr>
        <w:t>generowany po stronie Wykonawcy digitalizacji czy też jest wykonywany z plików .TIFF</w:t>
      </w:r>
      <w:r>
        <w:rPr>
          <w:rFonts w:ascii="Arial" w:hAnsi="Arial" w:cs="Arial"/>
          <w:sz w:val="22"/>
          <w:szCs w:val="22"/>
        </w:rPr>
        <w:t xml:space="preserve"> </w:t>
      </w:r>
      <w:r w:rsidRPr="00720D08">
        <w:rPr>
          <w:rFonts w:ascii="Arial" w:hAnsi="Arial" w:cs="Arial"/>
          <w:sz w:val="22"/>
          <w:szCs w:val="22"/>
        </w:rPr>
        <w:t>przekazanych przez Wykonawcę na bufor - patrz schemat blokowy: Załącznik 8b/ rysunek 1</w:t>
      </w:r>
      <w:r>
        <w:rPr>
          <w:rFonts w:ascii="Arial" w:hAnsi="Arial" w:cs="Arial"/>
          <w:sz w:val="22"/>
          <w:szCs w:val="22"/>
        </w:rPr>
        <w:t xml:space="preserve"> </w:t>
      </w:r>
      <w:r w:rsidRPr="00720D08">
        <w:rPr>
          <w:rFonts w:ascii="Arial" w:hAnsi="Arial" w:cs="Arial"/>
          <w:sz w:val="22"/>
          <w:szCs w:val="22"/>
        </w:rPr>
        <w:t>ogólna architektura systemu. Prosimy o jednoznaczną odpowiedź.</w:t>
      </w:r>
      <w:r w:rsidR="003B5304" w:rsidRPr="00D07714">
        <w:rPr>
          <w:rFonts w:ascii="Arial" w:hAnsi="Arial" w:cs="Arial"/>
          <w:sz w:val="22"/>
          <w:szCs w:val="22"/>
        </w:rPr>
        <w:cr/>
      </w:r>
      <w:r w:rsidR="00930B03" w:rsidRPr="009C6DD5">
        <w:rPr>
          <w:rFonts w:ascii="Arial" w:hAnsi="Arial" w:cs="Arial"/>
          <w:b/>
          <w:bCs/>
          <w:color w:val="auto"/>
          <w:sz w:val="22"/>
          <w:szCs w:val="22"/>
        </w:rPr>
        <w:t>Wyjaśnienia Zamawiającego:</w:t>
      </w:r>
    </w:p>
    <w:p w14:paraId="5FB61FAF" w14:textId="30F060D6" w:rsidR="005359BC" w:rsidRPr="009C6DD5" w:rsidRDefault="005359BC" w:rsidP="00811A36">
      <w:pPr>
        <w:widowControl w:val="0"/>
        <w:ind w:left="360"/>
        <w:outlineLvl w:val="2"/>
        <w:rPr>
          <w:rFonts w:ascii="Arial" w:hAnsi="Arial" w:cs="Arial"/>
          <w:sz w:val="22"/>
          <w:szCs w:val="22"/>
        </w:rPr>
      </w:pPr>
      <w:r w:rsidRPr="009C6DD5">
        <w:rPr>
          <w:rFonts w:ascii="Arial" w:hAnsi="Arial" w:cs="Arial"/>
          <w:sz w:val="22"/>
          <w:szCs w:val="22"/>
        </w:rPr>
        <w:t xml:space="preserve">Patrz Zmiana </w:t>
      </w:r>
      <w:r w:rsidR="006708FC" w:rsidRPr="009C6DD5">
        <w:rPr>
          <w:rFonts w:ascii="Arial" w:hAnsi="Arial" w:cs="Arial"/>
          <w:sz w:val="22"/>
          <w:szCs w:val="22"/>
        </w:rPr>
        <w:t>treści SWZ pkt</w:t>
      </w:r>
      <w:r w:rsidRPr="009C6DD5">
        <w:rPr>
          <w:rFonts w:ascii="Arial" w:hAnsi="Arial" w:cs="Arial"/>
          <w:sz w:val="22"/>
          <w:szCs w:val="22"/>
        </w:rPr>
        <w:t xml:space="preserve"> 2 lit. b) </w:t>
      </w:r>
      <w:r w:rsidR="00632BC0" w:rsidRPr="009C6DD5">
        <w:rPr>
          <w:rFonts w:ascii="Arial" w:hAnsi="Arial" w:cs="Arial"/>
          <w:sz w:val="22"/>
          <w:szCs w:val="22"/>
        </w:rPr>
        <w:t>i c)</w:t>
      </w:r>
      <w:r w:rsidR="00AD238C">
        <w:rPr>
          <w:rFonts w:ascii="Arial" w:hAnsi="Arial" w:cs="Arial"/>
          <w:sz w:val="22"/>
          <w:szCs w:val="22"/>
        </w:rPr>
        <w:t xml:space="preserve"> poniżej</w:t>
      </w:r>
      <w:r w:rsidR="00AD238C" w:rsidRPr="009C6DD5">
        <w:rPr>
          <w:rFonts w:ascii="Arial" w:hAnsi="Arial" w:cs="Arial"/>
          <w:sz w:val="22"/>
          <w:szCs w:val="22"/>
        </w:rPr>
        <w:t>.</w:t>
      </w:r>
    </w:p>
    <w:p w14:paraId="29DA80B5" w14:textId="12C162FB" w:rsidR="00930B03" w:rsidRPr="009C6DD5" w:rsidRDefault="00930B03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9C6DD5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Pytanie </w:t>
      </w:r>
      <w:r w:rsidR="00760ED2" w:rsidRPr="009C6DD5">
        <w:rPr>
          <w:rFonts w:ascii="Arial" w:hAnsi="Arial" w:cs="Arial"/>
          <w:b/>
          <w:bCs/>
          <w:color w:val="auto"/>
          <w:sz w:val="22"/>
          <w:szCs w:val="22"/>
          <w:u w:val="single"/>
        </w:rPr>
        <w:t>20</w:t>
      </w:r>
      <w:r w:rsidRPr="009C6DD5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0171B537" w14:textId="77777777" w:rsidR="00720D08" w:rsidRPr="009C6DD5" w:rsidRDefault="00720D08" w:rsidP="00811A36">
      <w:pPr>
        <w:pStyle w:val="Default"/>
        <w:widowControl w:val="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bookmarkStart w:id="19" w:name="_Hlk123114483"/>
      <w:r w:rsidRPr="009C6DD5">
        <w:rPr>
          <w:rFonts w:ascii="Arial" w:hAnsi="Arial" w:cs="Arial"/>
          <w:color w:val="auto"/>
          <w:sz w:val="22"/>
          <w:szCs w:val="22"/>
        </w:rPr>
        <w:t>Wnosimy o wyjaśnienie zapisów w punkcie 9.4.21 F)</w:t>
      </w:r>
    </w:p>
    <w:p w14:paraId="1E9205D7" w14:textId="78F99D6A" w:rsidR="00720D08" w:rsidRPr="009C6DD5" w:rsidRDefault="00720D08" w:rsidP="00811A36">
      <w:pPr>
        <w:pStyle w:val="Default"/>
        <w:widowControl w:val="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9C6DD5">
        <w:rPr>
          <w:rFonts w:ascii="Arial" w:hAnsi="Arial" w:cs="Arial"/>
          <w:color w:val="auto"/>
          <w:sz w:val="22"/>
          <w:szCs w:val="22"/>
        </w:rPr>
        <w:t>Zamawiający zawarł zapis o systemie, który musi umożliwiać weryfikację zgodności wzornika paskowego. W całym opisie procedury digitalizacji, Zamawiający nie zawarł informacji o wymogu digitalizacji wraz ze wzornikiem (jakimkolwiek).</w:t>
      </w:r>
    </w:p>
    <w:p w14:paraId="304CCF1D" w14:textId="2570BE5E" w:rsidR="00720D08" w:rsidRPr="009C6DD5" w:rsidRDefault="00720D08" w:rsidP="00811A36">
      <w:pPr>
        <w:pStyle w:val="Default"/>
        <w:widowControl w:val="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9C6DD5">
        <w:rPr>
          <w:rFonts w:ascii="Arial" w:hAnsi="Arial" w:cs="Arial"/>
          <w:color w:val="auto"/>
          <w:sz w:val="22"/>
          <w:szCs w:val="22"/>
        </w:rPr>
        <w:t>W związku z powyższym, prosimy o informację czy Zamawiający wymaga digitalizacji wraz ze wzornikiem, a jeśli tak, to prosimy o:</w:t>
      </w:r>
    </w:p>
    <w:p w14:paraId="0DB2641B" w14:textId="77777777" w:rsidR="00720D08" w:rsidRPr="009C6DD5" w:rsidRDefault="00720D08" w:rsidP="00811A36">
      <w:pPr>
        <w:pStyle w:val="Default"/>
        <w:widowControl w:val="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9C6DD5">
        <w:rPr>
          <w:rFonts w:ascii="Arial" w:hAnsi="Arial" w:cs="Arial"/>
          <w:color w:val="auto"/>
          <w:sz w:val="22"/>
          <w:szCs w:val="22"/>
        </w:rPr>
        <w:t>• Podanie dokładnego opisu procedury weryfikacji poszczególnych parametrów,</w:t>
      </w:r>
    </w:p>
    <w:p w14:paraId="0FB707C0" w14:textId="77777777" w:rsidR="00720D08" w:rsidRPr="009C6DD5" w:rsidRDefault="00720D08" w:rsidP="00811A36">
      <w:pPr>
        <w:pStyle w:val="Default"/>
        <w:widowControl w:val="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9C6DD5">
        <w:rPr>
          <w:rFonts w:ascii="Arial" w:hAnsi="Arial" w:cs="Arial"/>
          <w:color w:val="auto"/>
          <w:sz w:val="22"/>
          <w:szCs w:val="22"/>
        </w:rPr>
        <w:t>• Jaki wzorzec ma to być,</w:t>
      </w:r>
    </w:p>
    <w:p w14:paraId="7BB0FD1B" w14:textId="77777777" w:rsidR="00720D08" w:rsidRPr="009C6DD5" w:rsidRDefault="00720D08" w:rsidP="00811A36">
      <w:pPr>
        <w:pStyle w:val="Default"/>
        <w:widowControl w:val="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9C6DD5">
        <w:rPr>
          <w:rFonts w:ascii="Arial" w:hAnsi="Arial" w:cs="Arial"/>
          <w:color w:val="auto"/>
          <w:sz w:val="22"/>
          <w:szCs w:val="22"/>
        </w:rPr>
        <w:t>• Jakie parametry dany wzorzec będzie weryfikował,</w:t>
      </w:r>
    </w:p>
    <w:p w14:paraId="4FEAE307" w14:textId="77777777" w:rsidR="00720D08" w:rsidRPr="009C6DD5" w:rsidRDefault="00720D08" w:rsidP="00811A36">
      <w:pPr>
        <w:pStyle w:val="Default"/>
        <w:widowControl w:val="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9C6DD5">
        <w:rPr>
          <w:rFonts w:ascii="Arial" w:hAnsi="Arial" w:cs="Arial"/>
          <w:color w:val="auto"/>
          <w:sz w:val="22"/>
          <w:szCs w:val="22"/>
        </w:rPr>
        <w:t>• Gdzie należy go układać,</w:t>
      </w:r>
    </w:p>
    <w:p w14:paraId="011464E1" w14:textId="77777777" w:rsidR="00720D08" w:rsidRPr="009C6DD5" w:rsidRDefault="00720D08" w:rsidP="00811A36">
      <w:pPr>
        <w:pStyle w:val="Default"/>
        <w:widowControl w:val="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9C6DD5">
        <w:rPr>
          <w:rFonts w:ascii="Arial" w:hAnsi="Arial" w:cs="Arial"/>
          <w:color w:val="auto"/>
          <w:sz w:val="22"/>
          <w:szCs w:val="22"/>
        </w:rPr>
        <w:t>• Z jaką częstotliwość z niego korzystać (co ile skanów),</w:t>
      </w:r>
    </w:p>
    <w:p w14:paraId="3E886C1B" w14:textId="066EBD58" w:rsidR="00930B03" w:rsidRPr="009C6DD5" w:rsidRDefault="00720D08" w:rsidP="00811A36">
      <w:pPr>
        <w:pStyle w:val="Default"/>
        <w:widowControl w:val="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9C6DD5">
        <w:rPr>
          <w:rFonts w:ascii="Arial" w:hAnsi="Arial" w:cs="Arial"/>
          <w:color w:val="auto"/>
          <w:sz w:val="22"/>
          <w:szCs w:val="22"/>
        </w:rPr>
        <w:t>• Na jakich skanerach należy z niego korzystać.</w:t>
      </w:r>
    </w:p>
    <w:bookmarkEnd w:id="19"/>
    <w:p w14:paraId="12A8252C" w14:textId="77777777" w:rsidR="00930B03" w:rsidRPr="009C6DD5" w:rsidRDefault="00930B03" w:rsidP="00811A36">
      <w:pPr>
        <w:widowControl w:val="0"/>
        <w:spacing w:before="80" w:after="80"/>
        <w:ind w:left="357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9C6DD5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61A57072" w14:textId="53812064" w:rsidR="00A918D7" w:rsidRPr="009C6DD5" w:rsidRDefault="00A918D7" w:rsidP="00811A36">
      <w:pPr>
        <w:widowControl w:val="0"/>
        <w:ind w:left="360"/>
        <w:outlineLvl w:val="2"/>
        <w:rPr>
          <w:rFonts w:ascii="Arial" w:hAnsi="Arial" w:cs="Arial"/>
          <w:sz w:val="22"/>
          <w:szCs w:val="22"/>
        </w:rPr>
      </w:pPr>
      <w:r w:rsidRPr="009C6DD5">
        <w:rPr>
          <w:rFonts w:ascii="Arial" w:hAnsi="Arial" w:cs="Arial"/>
          <w:sz w:val="22"/>
          <w:szCs w:val="22"/>
        </w:rPr>
        <w:t xml:space="preserve">Patrz Zmiana </w:t>
      </w:r>
      <w:r w:rsidR="006708FC" w:rsidRPr="009C6DD5">
        <w:rPr>
          <w:rFonts w:ascii="Arial" w:hAnsi="Arial" w:cs="Arial"/>
          <w:sz w:val="22"/>
          <w:szCs w:val="22"/>
        </w:rPr>
        <w:t>treści SWZ pkt</w:t>
      </w:r>
      <w:r w:rsidRPr="009C6DD5">
        <w:rPr>
          <w:rFonts w:ascii="Arial" w:hAnsi="Arial" w:cs="Arial"/>
          <w:sz w:val="22"/>
          <w:szCs w:val="22"/>
        </w:rPr>
        <w:t xml:space="preserve"> 2 lit. </w:t>
      </w:r>
      <w:r w:rsidR="007B3D9E" w:rsidRPr="009C6DD5">
        <w:rPr>
          <w:rFonts w:ascii="Arial" w:hAnsi="Arial" w:cs="Arial"/>
          <w:sz w:val="22"/>
          <w:szCs w:val="22"/>
        </w:rPr>
        <w:t>d</w:t>
      </w:r>
      <w:r w:rsidRPr="009C6DD5">
        <w:rPr>
          <w:rFonts w:ascii="Arial" w:hAnsi="Arial" w:cs="Arial"/>
          <w:sz w:val="22"/>
          <w:szCs w:val="22"/>
        </w:rPr>
        <w:t>)</w:t>
      </w:r>
      <w:r w:rsidR="00AD238C">
        <w:rPr>
          <w:rFonts w:ascii="Arial" w:hAnsi="Arial" w:cs="Arial"/>
          <w:sz w:val="22"/>
          <w:szCs w:val="22"/>
        </w:rPr>
        <w:t xml:space="preserve"> poniżej</w:t>
      </w:r>
      <w:r w:rsidRPr="009C6DD5">
        <w:rPr>
          <w:rFonts w:ascii="Arial" w:hAnsi="Arial" w:cs="Arial"/>
          <w:sz w:val="22"/>
          <w:szCs w:val="22"/>
        </w:rPr>
        <w:t>.</w:t>
      </w:r>
    </w:p>
    <w:p w14:paraId="67511DFC" w14:textId="59389F06" w:rsidR="00930B03" w:rsidRPr="00720D08" w:rsidRDefault="00930B03" w:rsidP="00811A36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720D08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Pytanie </w:t>
      </w:r>
      <w:r w:rsidR="00760ED2" w:rsidRPr="00720D08">
        <w:rPr>
          <w:rFonts w:ascii="Arial" w:hAnsi="Arial" w:cs="Arial"/>
          <w:b/>
          <w:bCs/>
          <w:color w:val="auto"/>
          <w:sz w:val="22"/>
          <w:szCs w:val="22"/>
          <w:u w:val="single"/>
        </w:rPr>
        <w:t>21</w:t>
      </w:r>
      <w:r w:rsidRPr="00720D08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2DF83719" w14:textId="6A57D931" w:rsidR="00930B03" w:rsidRPr="007B3D9E" w:rsidRDefault="00720D08" w:rsidP="00811A36">
      <w:pPr>
        <w:pStyle w:val="Default"/>
        <w:widowControl w:val="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7B3D9E">
        <w:rPr>
          <w:rFonts w:ascii="Arial" w:hAnsi="Arial" w:cs="Arial"/>
          <w:color w:val="auto"/>
          <w:sz w:val="22"/>
          <w:szCs w:val="22"/>
        </w:rPr>
        <w:t>Wnosimy o wyjaśnienie z jakiego okresu (zakresu lat) pochodzi dokumentacja przeznaczona do digitalizacji?</w:t>
      </w:r>
    </w:p>
    <w:p w14:paraId="266678CD" w14:textId="77777777" w:rsidR="00930B03" w:rsidRPr="007B3D9E" w:rsidRDefault="00930B03" w:rsidP="00811A36">
      <w:pPr>
        <w:widowControl w:val="0"/>
        <w:spacing w:before="80" w:after="80"/>
        <w:ind w:left="360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bookmarkStart w:id="20" w:name="_Hlk122462327"/>
      <w:r w:rsidRPr="007B3D9E">
        <w:rPr>
          <w:rFonts w:ascii="Arial" w:hAnsi="Arial" w:cs="Arial"/>
          <w:b/>
          <w:bCs/>
          <w:sz w:val="22"/>
          <w:szCs w:val="22"/>
        </w:rPr>
        <w:t>Wyjaśnienia Zamawiającego</w:t>
      </w:r>
      <w:bookmarkEnd w:id="20"/>
      <w:r w:rsidRPr="007B3D9E">
        <w:rPr>
          <w:rFonts w:ascii="Arial" w:hAnsi="Arial" w:cs="Arial"/>
          <w:b/>
          <w:bCs/>
          <w:sz w:val="22"/>
          <w:szCs w:val="22"/>
        </w:rPr>
        <w:t>:</w:t>
      </w:r>
    </w:p>
    <w:p w14:paraId="44350539" w14:textId="33F25C35" w:rsidR="00930B03" w:rsidRPr="007B3D9E" w:rsidRDefault="00670DF0" w:rsidP="00811A36">
      <w:pPr>
        <w:widowControl w:val="0"/>
        <w:ind w:left="360"/>
        <w:outlineLvl w:val="2"/>
        <w:rPr>
          <w:rFonts w:ascii="Arial" w:hAnsi="Arial" w:cs="Arial"/>
          <w:sz w:val="22"/>
          <w:szCs w:val="22"/>
        </w:rPr>
      </w:pPr>
      <w:r w:rsidRPr="007B3D9E">
        <w:rPr>
          <w:rFonts w:ascii="Arial" w:hAnsi="Arial" w:cs="Arial"/>
          <w:sz w:val="22"/>
          <w:szCs w:val="22"/>
        </w:rPr>
        <w:t>Dokumentacje mają od kilku lat do kilkudziesięciu lat.</w:t>
      </w:r>
    </w:p>
    <w:p w14:paraId="1C924343" w14:textId="77777777" w:rsidR="00AD238C" w:rsidRDefault="00AD238C" w:rsidP="00811A36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395BBC94" w14:textId="77777777" w:rsidR="00AD238C" w:rsidRDefault="00AD238C" w:rsidP="00811A36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4D8A89FB" w14:textId="322B11EF" w:rsidR="00231065" w:rsidRPr="00811A36" w:rsidRDefault="00231065" w:rsidP="00811A36">
      <w:pPr>
        <w:widowControl w:val="0"/>
        <w:ind w:left="284"/>
        <w:jc w:val="center"/>
        <w:rPr>
          <w:rFonts w:ascii="Arial" w:eastAsiaTheme="majorEastAsia" w:hAnsi="Arial" w:cs="Arial"/>
          <w:b/>
          <w:u w:val="single"/>
        </w:rPr>
      </w:pPr>
      <w:r w:rsidRPr="00811A36">
        <w:rPr>
          <w:rFonts w:ascii="Arial" w:eastAsiaTheme="majorEastAsia" w:hAnsi="Arial" w:cs="Arial"/>
          <w:b/>
          <w:u w:val="single"/>
        </w:rPr>
        <w:t>Zmiana treści SWZ</w:t>
      </w:r>
    </w:p>
    <w:p w14:paraId="56DC2DDC" w14:textId="77777777" w:rsidR="00231065" w:rsidRPr="00231065" w:rsidRDefault="00231065" w:rsidP="00811A36">
      <w:pPr>
        <w:widowControl w:val="0"/>
        <w:spacing w:before="40"/>
        <w:ind w:firstLine="708"/>
        <w:jc w:val="both"/>
        <w:outlineLvl w:val="2"/>
        <w:rPr>
          <w:rFonts w:ascii="Arial" w:hAnsi="Arial" w:cs="Arial"/>
          <w:sz w:val="22"/>
          <w:szCs w:val="22"/>
        </w:rPr>
      </w:pPr>
      <w:r w:rsidRPr="00231065">
        <w:rPr>
          <w:rFonts w:ascii="Arial" w:eastAsiaTheme="majorEastAsia" w:hAnsi="Arial" w:cs="Arial"/>
          <w:bCs/>
          <w:sz w:val="22"/>
          <w:szCs w:val="22"/>
        </w:rPr>
        <w:t xml:space="preserve">Zamawiający, działając na podstawie </w:t>
      </w:r>
      <w:r w:rsidRPr="00231065">
        <w:rPr>
          <w:rFonts w:ascii="Arial" w:hAnsi="Arial" w:cs="Arial"/>
          <w:sz w:val="22"/>
          <w:szCs w:val="22"/>
        </w:rPr>
        <w:t>art. 137 ust. 1 UPZP zmienia treści SWZ:</w:t>
      </w:r>
    </w:p>
    <w:p w14:paraId="2233F962" w14:textId="4A5D37F6" w:rsidR="00231065" w:rsidRPr="009C6DD5" w:rsidRDefault="009D2AD1" w:rsidP="00811A36">
      <w:pPr>
        <w:pStyle w:val="Default"/>
        <w:widowControl w:val="0"/>
        <w:numPr>
          <w:ilvl w:val="0"/>
          <w:numId w:val="26"/>
        </w:numPr>
        <w:spacing w:before="80" w:after="80"/>
        <w:ind w:left="426"/>
        <w:jc w:val="both"/>
        <w:rPr>
          <w:rFonts w:ascii="Arial" w:eastAsiaTheme="majorEastAsia" w:hAnsi="Arial" w:cs="Arial"/>
          <w:bCs/>
          <w:color w:val="auto"/>
          <w:sz w:val="22"/>
          <w:szCs w:val="22"/>
        </w:rPr>
      </w:pPr>
      <w:r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W SWZ, w załączniku nr 7 do SWZ- Wzór umowy:</w:t>
      </w:r>
    </w:p>
    <w:p w14:paraId="7538BD11" w14:textId="789745D0" w:rsidR="009D2AD1" w:rsidRPr="009C6DD5" w:rsidRDefault="009D2AD1" w:rsidP="00811A36">
      <w:pPr>
        <w:pStyle w:val="Default"/>
        <w:widowControl w:val="0"/>
        <w:numPr>
          <w:ilvl w:val="0"/>
          <w:numId w:val="27"/>
        </w:numPr>
        <w:spacing w:beforeLines="80" w:before="192" w:afterLines="80" w:after="192"/>
        <w:ind w:left="812" w:hanging="364"/>
        <w:jc w:val="both"/>
        <w:rPr>
          <w:rFonts w:ascii="Arial" w:eastAsiaTheme="majorEastAsia" w:hAnsi="Arial" w:cs="Arial"/>
          <w:bCs/>
          <w:color w:val="auto"/>
          <w:sz w:val="22"/>
          <w:szCs w:val="22"/>
        </w:rPr>
      </w:pPr>
      <w:r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w pkt. 6.4. zdanie drugie o treści „</w:t>
      </w:r>
      <w:r w:rsidRPr="009C6DD5">
        <w:rPr>
          <w:rFonts w:ascii="Arial" w:eastAsiaTheme="majorEastAsia" w:hAnsi="Arial" w:cs="Arial"/>
          <w:bCs/>
          <w:i/>
          <w:iCs/>
          <w:color w:val="auto"/>
          <w:sz w:val="22"/>
          <w:szCs w:val="22"/>
        </w:rPr>
        <w:t>Podręczniki użytkownika (20 egzemplarzy zarówno dla SZD, jak i dla SDD) i dokumentacja administratora (6 egzemplarzy zarówno dla SZD, jak i dla SDD) winny być przedstawione Zamawiającemu wraz z przedstawieniem do Odbioru, odpowiednio, SZD i SDD.</w:t>
      </w:r>
      <w:r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 xml:space="preserve">” zastępuje się </w:t>
      </w:r>
      <w:r w:rsidR="00A918D7"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zdaniem</w:t>
      </w:r>
      <w:r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: „</w:t>
      </w:r>
      <w:r w:rsidRPr="009C6DD5"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 xml:space="preserve">Podręczniki użytkownika w formie elektronicznej i </w:t>
      </w:r>
      <w:r w:rsidR="00D0753E" w:rsidRPr="009C6DD5"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 xml:space="preserve">podręczniki </w:t>
      </w:r>
      <w:r w:rsidRPr="009C6DD5"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 xml:space="preserve"> administratora w formie elektronicznej, winny być przedstawione Zamawiającemu wraz z przedstawieniem do Odbioru, odpowiednio, SZD i SDD.</w:t>
      </w:r>
      <w:r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”;</w:t>
      </w:r>
    </w:p>
    <w:p w14:paraId="149181C4" w14:textId="6977E24E" w:rsidR="009D2AD1" w:rsidRPr="009C6DD5" w:rsidRDefault="009D2AD1" w:rsidP="00811A36">
      <w:pPr>
        <w:pStyle w:val="Default"/>
        <w:widowControl w:val="0"/>
        <w:numPr>
          <w:ilvl w:val="0"/>
          <w:numId w:val="27"/>
        </w:numPr>
        <w:spacing w:beforeLines="80" w:before="192" w:afterLines="80" w:after="192"/>
        <w:ind w:left="812" w:hanging="364"/>
        <w:jc w:val="both"/>
        <w:rPr>
          <w:rFonts w:ascii="Arial" w:eastAsiaTheme="majorEastAsia" w:hAnsi="Arial" w:cs="Arial"/>
          <w:bCs/>
          <w:color w:val="auto"/>
          <w:sz w:val="22"/>
          <w:szCs w:val="22"/>
        </w:rPr>
      </w:pPr>
      <w:r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 xml:space="preserve">w pkt. </w:t>
      </w:r>
      <w:r w:rsidR="00F35ED9"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7.5. sformułowanie o treści „</w:t>
      </w:r>
      <w:r w:rsidR="00F35ED9" w:rsidRPr="009C6DD5">
        <w:rPr>
          <w:rFonts w:ascii="Arial" w:eastAsiaTheme="majorEastAsia" w:hAnsi="Arial" w:cs="Arial"/>
          <w:bCs/>
          <w:i/>
          <w:iCs/>
          <w:color w:val="auto"/>
          <w:sz w:val="22"/>
          <w:szCs w:val="22"/>
        </w:rPr>
        <w:t>podręczników użytkownika (w ilości egzemplarzy – 20 sztuk) i podręczników administratora (w ilości egzemplarzy – 6 sztuk)</w:t>
      </w:r>
      <w:r w:rsidR="00F35ED9"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 xml:space="preserve">” zastępuje się </w:t>
      </w:r>
      <w:r w:rsidR="00A918D7"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sf</w:t>
      </w:r>
      <w:r w:rsidR="00F35ED9"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o</w:t>
      </w:r>
      <w:r w:rsidR="00A918D7"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rmułowaniem</w:t>
      </w:r>
      <w:r w:rsidR="00F35ED9"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: „</w:t>
      </w:r>
      <w:r w:rsidR="00F35ED9" w:rsidRPr="009C6DD5"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 xml:space="preserve">podręczników użytkownika i </w:t>
      </w:r>
      <w:r w:rsidR="00D0753E" w:rsidRPr="009C6DD5"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>podręczników a</w:t>
      </w:r>
      <w:r w:rsidR="00F35ED9" w:rsidRPr="009C6DD5"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>dministratora zgodnie z treścią pkt. 6.4. Umowy</w:t>
      </w:r>
      <w:r w:rsidR="00F35ED9"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”;</w:t>
      </w:r>
    </w:p>
    <w:p w14:paraId="00002A91" w14:textId="75EE61C8" w:rsidR="008B7A89" w:rsidRPr="009C6DD5" w:rsidRDefault="00F35ED9" w:rsidP="00811A36">
      <w:pPr>
        <w:pStyle w:val="Default"/>
        <w:widowControl w:val="0"/>
        <w:numPr>
          <w:ilvl w:val="0"/>
          <w:numId w:val="27"/>
        </w:numPr>
        <w:spacing w:beforeLines="80" w:before="192" w:afterLines="80" w:after="192"/>
        <w:ind w:left="812" w:hanging="364"/>
        <w:jc w:val="both"/>
        <w:rPr>
          <w:rFonts w:ascii="Arial" w:eastAsiaTheme="majorEastAsia" w:hAnsi="Arial" w:cs="Arial"/>
          <w:bCs/>
          <w:color w:val="auto"/>
          <w:sz w:val="22"/>
          <w:szCs w:val="22"/>
        </w:rPr>
      </w:pPr>
      <w:r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w pkt. 7.13. sformułowanie o treści „</w:t>
      </w:r>
      <w:r w:rsidRPr="009C6DD5">
        <w:rPr>
          <w:rFonts w:ascii="Arial" w:eastAsiaTheme="majorEastAsia" w:hAnsi="Arial" w:cs="Arial"/>
          <w:bCs/>
          <w:i/>
          <w:iCs/>
          <w:color w:val="auto"/>
          <w:sz w:val="22"/>
          <w:szCs w:val="22"/>
        </w:rPr>
        <w:t>podręczników użytkownika (w ilości egzemplarzy – 20 sztuk) i podręczników administratora (w ilości egzemplarzy – 6 sztuk)</w:t>
      </w:r>
      <w:r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 xml:space="preserve">” zastępuje się </w:t>
      </w:r>
      <w:r w:rsidR="00A918D7"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sformułowaniem</w:t>
      </w:r>
      <w:r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: „</w:t>
      </w:r>
      <w:r w:rsidRPr="009C6DD5"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 xml:space="preserve">podręczników użytkownika i </w:t>
      </w:r>
      <w:r w:rsidR="00D0753E" w:rsidRPr="009C6DD5"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>podręczników</w:t>
      </w:r>
      <w:r w:rsidRPr="009C6DD5"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 xml:space="preserve"> administratora zgodnie z treścią pkt. 6.4. Umowy</w:t>
      </w:r>
      <w:r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”;</w:t>
      </w:r>
    </w:p>
    <w:p w14:paraId="75BB8872" w14:textId="69D85359" w:rsidR="008B7A89" w:rsidRPr="009C6DD5" w:rsidRDefault="00EA5A7D" w:rsidP="00811A36">
      <w:pPr>
        <w:pStyle w:val="Akapitzlist"/>
        <w:widowControl w:val="0"/>
        <w:numPr>
          <w:ilvl w:val="0"/>
          <w:numId w:val="27"/>
        </w:numPr>
        <w:spacing w:beforeLines="80" w:before="192" w:afterLines="80" w:after="192"/>
        <w:ind w:left="812" w:hanging="364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9C6DD5">
        <w:rPr>
          <w:rFonts w:ascii="Arial" w:eastAsiaTheme="majorEastAsia" w:hAnsi="Arial" w:cs="Arial"/>
          <w:bCs/>
          <w:sz w:val="22"/>
          <w:szCs w:val="22"/>
        </w:rPr>
        <w:lastRenderedPageBreak/>
        <w:t>po pkt. 1.28. dodaje się nowy pkt 1.29. o treści „</w:t>
      </w:r>
      <w:r w:rsidRPr="009C6DD5">
        <w:rPr>
          <w:rFonts w:ascii="Arial" w:eastAsiaTheme="majorEastAsia" w:hAnsi="Arial" w:cs="Arial"/>
          <w:b/>
          <w:i/>
          <w:iCs/>
          <w:sz w:val="22"/>
          <w:szCs w:val="22"/>
        </w:rPr>
        <w:t xml:space="preserve">Wynagrodzenie </w:t>
      </w:r>
      <w:r w:rsidR="00E25B91" w:rsidRPr="009C6DD5">
        <w:rPr>
          <w:rFonts w:ascii="Arial" w:eastAsiaTheme="majorEastAsia" w:hAnsi="Arial" w:cs="Arial"/>
          <w:b/>
          <w:i/>
          <w:iCs/>
          <w:sz w:val="22"/>
          <w:szCs w:val="22"/>
        </w:rPr>
        <w:t>n</w:t>
      </w:r>
      <w:r w:rsidRPr="009C6DD5">
        <w:rPr>
          <w:rFonts w:ascii="Arial" w:eastAsiaTheme="majorEastAsia" w:hAnsi="Arial" w:cs="Arial"/>
          <w:b/>
          <w:i/>
          <w:iCs/>
          <w:sz w:val="22"/>
          <w:szCs w:val="22"/>
        </w:rPr>
        <w:t>etto – oznacza wynagrodzenie netto za wykonanie Umowy wskazane w § 8 Umowy</w:t>
      </w:r>
      <w:r w:rsidR="000D3214" w:rsidRPr="009C6DD5">
        <w:rPr>
          <w:rFonts w:ascii="Arial" w:eastAsiaTheme="majorEastAsia" w:hAnsi="Arial" w:cs="Arial"/>
          <w:bCs/>
          <w:sz w:val="22"/>
          <w:szCs w:val="22"/>
        </w:rPr>
        <w:t>”, a kolejne pkt. przyjmują odpowiednio numerację 1.30. i 1.31;</w:t>
      </w:r>
    </w:p>
    <w:p w14:paraId="4AB8DCEA" w14:textId="4564B236" w:rsidR="008C7F9C" w:rsidRPr="009C6DD5" w:rsidRDefault="008C7F9C" w:rsidP="00811A36">
      <w:pPr>
        <w:pStyle w:val="Akapitzlist"/>
        <w:widowControl w:val="0"/>
        <w:numPr>
          <w:ilvl w:val="0"/>
          <w:numId w:val="27"/>
        </w:numPr>
        <w:spacing w:beforeLines="80" w:before="192" w:afterLines="80" w:after="192"/>
        <w:ind w:left="812" w:hanging="364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9C6DD5">
        <w:rPr>
          <w:rFonts w:ascii="Arial" w:eastAsiaTheme="majorEastAsia" w:hAnsi="Arial" w:cs="Arial"/>
          <w:bCs/>
          <w:sz w:val="22"/>
          <w:szCs w:val="22"/>
        </w:rPr>
        <w:t>treść pkt. 8.1. „</w:t>
      </w:r>
      <w:r w:rsidRPr="009C6DD5">
        <w:rPr>
          <w:rFonts w:ascii="Arial" w:eastAsiaTheme="majorEastAsia" w:hAnsi="Arial" w:cs="Arial"/>
          <w:bCs/>
          <w:i/>
          <w:iCs/>
          <w:sz w:val="22"/>
          <w:szCs w:val="22"/>
        </w:rPr>
        <w:t>Strony ustalają łączną wartość wynagrodzenia Wykonawcy za kompleksowe i prawidłowe wykonanie Umowy na kwotę netto […] zł (słownie: […]), do której zostanie doliczony podatek VAT w wysokości zgodnej z obowiązującymi przepisami prawa, to jest na kwotę brutto […] zł (słownie: […]) („</w:t>
      </w:r>
      <w:r w:rsidRPr="009C6DD5">
        <w:rPr>
          <w:rFonts w:ascii="Arial" w:eastAsiaTheme="majorEastAsia" w:hAnsi="Arial" w:cs="Arial"/>
          <w:b/>
          <w:i/>
          <w:iCs/>
          <w:sz w:val="22"/>
          <w:szCs w:val="22"/>
        </w:rPr>
        <w:t>Wynagrodzenie</w:t>
      </w:r>
      <w:r w:rsidRPr="009C6DD5">
        <w:rPr>
          <w:rFonts w:ascii="Arial" w:eastAsiaTheme="majorEastAsia" w:hAnsi="Arial" w:cs="Arial"/>
          <w:bCs/>
          <w:i/>
          <w:iCs/>
          <w:sz w:val="22"/>
          <w:szCs w:val="22"/>
        </w:rPr>
        <w:t>”).</w:t>
      </w:r>
      <w:r w:rsidRPr="009C6DD5">
        <w:rPr>
          <w:rFonts w:ascii="Arial" w:eastAsiaTheme="majorEastAsia" w:hAnsi="Arial" w:cs="Arial"/>
          <w:bCs/>
          <w:sz w:val="22"/>
          <w:szCs w:val="22"/>
        </w:rPr>
        <w:t xml:space="preserve">” zastępuje się </w:t>
      </w:r>
      <w:r w:rsidR="00A918D7" w:rsidRPr="009C6DD5">
        <w:rPr>
          <w:rFonts w:ascii="Arial" w:eastAsiaTheme="majorEastAsia" w:hAnsi="Arial" w:cs="Arial"/>
          <w:bCs/>
          <w:sz w:val="22"/>
          <w:szCs w:val="22"/>
        </w:rPr>
        <w:t>treścią</w:t>
      </w:r>
      <w:r w:rsidRPr="009C6DD5">
        <w:rPr>
          <w:rFonts w:ascii="Arial" w:eastAsiaTheme="majorEastAsia" w:hAnsi="Arial" w:cs="Arial"/>
          <w:bCs/>
          <w:sz w:val="22"/>
          <w:szCs w:val="22"/>
        </w:rPr>
        <w:t>: „</w:t>
      </w:r>
      <w:r w:rsidRPr="009C6DD5">
        <w:rPr>
          <w:rFonts w:ascii="Arial" w:eastAsiaTheme="majorEastAsia" w:hAnsi="Arial" w:cs="Arial"/>
          <w:b/>
          <w:i/>
          <w:iCs/>
          <w:sz w:val="22"/>
          <w:szCs w:val="22"/>
        </w:rPr>
        <w:t>Strony ustalają łączną wartość wynagrodzenia Wykonawcy za kompleksowe i prawidłowe wykonanie Umowy na kwotę netto […] zł (słownie: […]</w:t>
      </w:r>
      <w:r w:rsidR="008B7A89" w:rsidRPr="009C6DD5">
        <w:rPr>
          <w:rFonts w:ascii="Arial" w:eastAsiaTheme="majorEastAsia" w:hAnsi="Arial" w:cs="Arial"/>
          <w:b/>
          <w:i/>
          <w:iCs/>
          <w:sz w:val="22"/>
          <w:szCs w:val="22"/>
        </w:rPr>
        <w:t>, „Wynagrodzenie netto”</w:t>
      </w:r>
      <w:r w:rsidRPr="009C6DD5">
        <w:rPr>
          <w:rFonts w:ascii="Arial" w:eastAsiaTheme="majorEastAsia" w:hAnsi="Arial" w:cs="Arial"/>
          <w:b/>
          <w:i/>
          <w:iCs/>
          <w:sz w:val="22"/>
          <w:szCs w:val="22"/>
        </w:rPr>
        <w:t>), do której zostanie doliczony podatek VAT w wysokości zgodnej z obowiązującymi przepisami prawa, to jest na kwotę brutto […] zł (słownie: […]) („Wynagrodzenie”).</w:t>
      </w:r>
      <w:r w:rsidR="008B7A89" w:rsidRPr="009C6DD5">
        <w:rPr>
          <w:rFonts w:ascii="Arial" w:eastAsiaTheme="majorEastAsia" w:hAnsi="Arial" w:cs="Arial"/>
          <w:bCs/>
          <w:sz w:val="22"/>
          <w:szCs w:val="22"/>
        </w:rPr>
        <w:t>”;</w:t>
      </w:r>
    </w:p>
    <w:p w14:paraId="5AC78356" w14:textId="5C944C33" w:rsidR="008C7F9C" w:rsidRPr="009C6DD5" w:rsidRDefault="000D3214" w:rsidP="00811A36">
      <w:pPr>
        <w:pStyle w:val="Akapitzlist"/>
        <w:widowControl w:val="0"/>
        <w:numPr>
          <w:ilvl w:val="0"/>
          <w:numId w:val="27"/>
        </w:numPr>
        <w:spacing w:beforeLines="80" w:before="192" w:afterLines="80" w:after="192"/>
        <w:ind w:left="812" w:hanging="364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9C6DD5">
        <w:rPr>
          <w:rFonts w:ascii="Arial" w:eastAsiaTheme="majorEastAsia" w:hAnsi="Arial" w:cs="Arial"/>
          <w:bCs/>
          <w:sz w:val="22"/>
          <w:szCs w:val="22"/>
        </w:rPr>
        <w:t>w pkt. 14.2. lit. a)</w:t>
      </w:r>
      <w:r w:rsidR="007B3D9E" w:rsidRPr="009C6DD5">
        <w:rPr>
          <w:rFonts w:ascii="Arial" w:eastAsiaTheme="majorEastAsia" w:hAnsi="Arial" w:cs="Arial"/>
          <w:bCs/>
          <w:sz w:val="22"/>
          <w:szCs w:val="22"/>
        </w:rPr>
        <w:t xml:space="preserve">, b), c) </w:t>
      </w:r>
      <w:r w:rsidR="008054B8" w:rsidRPr="009C6DD5">
        <w:rPr>
          <w:rFonts w:ascii="Arial" w:eastAsiaTheme="majorEastAsia" w:hAnsi="Arial" w:cs="Arial"/>
          <w:bCs/>
          <w:sz w:val="22"/>
          <w:szCs w:val="22"/>
        </w:rPr>
        <w:t>d), e)</w:t>
      </w:r>
      <w:r w:rsidRPr="009C6DD5">
        <w:rPr>
          <w:rFonts w:ascii="Arial" w:eastAsiaTheme="majorEastAsia" w:hAnsi="Arial" w:cs="Arial"/>
          <w:bCs/>
          <w:sz w:val="22"/>
          <w:szCs w:val="22"/>
        </w:rPr>
        <w:t xml:space="preserve"> </w:t>
      </w:r>
      <w:bookmarkStart w:id="21" w:name="_Hlk124170103"/>
      <w:r w:rsidRPr="009C6DD5">
        <w:rPr>
          <w:rFonts w:ascii="Arial" w:eastAsiaTheme="majorEastAsia" w:hAnsi="Arial" w:cs="Arial"/>
          <w:bCs/>
          <w:sz w:val="22"/>
          <w:szCs w:val="22"/>
        </w:rPr>
        <w:t>sformułowanie</w:t>
      </w:r>
      <w:bookmarkEnd w:id="21"/>
      <w:r w:rsidRPr="009C6DD5">
        <w:rPr>
          <w:rFonts w:ascii="Arial" w:eastAsiaTheme="majorEastAsia" w:hAnsi="Arial" w:cs="Arial"/>
          <w:bCs/>
          <w:sz w:val="22"/>
          <w:szCs w:val="22"/>
        </w:rPr>
        <w:t xml:space="preserve"> „</w:t>
      </w:r>
      <w:r w:rsidRPr="009C6DD5">
        <w:rPr>
          <w:rFonts w:ascii="Arial" w:eastAsiaTheme="majorEastAsia" w:hAnsi="Arial" w:cs="Arial"/>
          <w:bCs/>
          <w:i/>
          <w:iCs/>
          <w:sz w:val="22"/>
          <w:szCs w:val="22"/>
        </w:rPr>
        <w:t>Wynagrodzenia</w:t>
      </w:r>
      <w:r w:rsidRPr="009C6DD5">
        <w:rPr>
          <w:rFonts w:ascii="Arial" w:eastAsiaTheme="majorEastAsia" w:hAnsi="Arial" w:cs="Arial"/>
          <w:bCs/>
          <w:sz w:val="22"/>
          <w:szCs w:val="22"/>
        </w:rPr>
        <w:t>” zastępuje się sformułowaniem „</w:t>
      </w:r>
      <w:r w:rsidRPr="009C6DD5">
        <w:rPr>
          <w:rFonts w:ascii="Arial" w:eastAsiaTheme="majorEastAsia" w:hAnsi="Arial" w:cs="Arial"/>
          <w:b/>
          <w:i/>
          <w:iCs/>
          <w:sz w:val="22"/>
          <w:szCs w:val="22"/>
        </w:rPr>
        <w:t>Wynagrodzenia netto</w:t>
      </w:r>
      <w:r w:rsidRPr="009C6DD5">
        <w:rPr>
          <w:rFonts w:ascii="Arial" w:eastAsiaTheme="majorEastAsia" w:hAnsi="Arial" w:cs="Arial"/>
          <w:bCs/>
          <w:sz w:val="22"/>
          <w:szCs w:val="22"/>
        </w:rPr>
        <w:t>”;</w:t>
      </w:r>
    </w:p>
    <w:p w14:paraId="0E99F8CD" w14:textId="283919B2" w:rsidR="00F35ED9" w:rsidRDefault="00345ECC" w:rsidP="00811A36">
      <w:pPr>
        <w:pStyle w:val="Akapitzlist"/>
        <w:widowControl w:val="0"/>
        <w:numPr>
          <w:ilvl w:val="0"/>
          <w:numId w:val="27"/>
        </w:numPr>
        <w:spacing w:beforeLines="80" w:before="192" w:afterLines="80" w:after="192"/>
        <w:ind w:left="812" w:hanging="364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9C6DD5">
        <w:rPr>
          <w:rFonts w:ascii="Arial" w:eastAsiaTheme="majorEastAsia" w:hAnsi="Arial" w:cs="Arial"/>
          <w:bCs/>
          <w:sz w:val="22"/>
          <w:szCs w:val="22"/>
        </w:rPr>
        <w:t xml:space="preserve">w pkt. 10.5. </w:t>
      </w:r>
      <w:r w:rsidR="009C6DD5" w:rsidRPr="009C6DD5">
        <w:rPr>
          <w:rFonts w:ascii="Arial" w:eastAsiaTheme="majorEastAsia" w:hAnsi="Arial" w:cs="Arial"/>
          <w:bCs/>
          <w:sz w:val="22"/>
          <w:szCs w:val="22"/>
        </w:rPr>
        <w:t xml:space="preserve">lit. a) </w:t>
      </w:r>
      <w:r w:rsidRPr="009C6DD5">
        <w:rPr>
          <w:rFonts w:ascii="Arial" w:eastAsiaTheme="majorEastAsia" w:hAnsi="Arial" w:cs="Arial"/>
          <w:bCs/>
          <w:sz w:val="22"/>
          <w:szCs w:val="22"/>
        </w:rPr>
        <w:t>treść</w:t>
      </w:r>
      <w:r w:rsidR="005E255E" w:rsidRPr="009C6DD5">
        <w:rPr>
          <w:rFonts w:ascii="Arial" w:eastAsiaTheme="majorEastAsia" w:hAnsi="Arial" w:cs="Arial"/>
          <w:bCs/>
          <w:sz w:val="22"/>
          <w:szCs w:val="22"/>
        </w:rPr>
        <w:t>:</w:t>
      </w:r>
    </w:p>
    <w:p w14:paraId="319B8FAA" w14:textId="200D515B" w:rsidR="009C6DD5" w:rsidRDefault="009C6DD5" w:rsidP="00811A36">
      <w:pPr>
        <w:pStyle w:val="Akapitzlist"/>
        <w:widowControl w:val="0"/>
        <w:spacing w:beforeLines="80" w:before="192" w:afterLines="80" w:after="192"/>
        <w:ind w:left="1134" w:hanging="322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>
        <w:rPr>
          <w:rFonts w:ascii="Arial" w:eastAsiaTheme="majorEastAsia" w:hAnsi="Arial" w:cs="Arial"/>
          <w:bCs/>
          <w:sz w:val="22"/>
          <w:szCs w:val="22"/>
        </w:rPr>
        <w:t>„</w:t>
      </w:r>
      <w:r w:rsidRPr="009C6DD5">
        <w:rPr>
          <w:rFonts w:ascii="Arial" w:eastAsiaTheme="majorEastAsia" w:hAnsi="Arial" w:cs="Arial"/>
          <w:bCs/>
          <w:i/>
          <w:iCs/>
          <w:sz w:val="22"/>
          <w:szCs w:val="22"/>
        </w:rPr>
        <w:t>a) Licencje zostaną udzielone na okres trzech lat, chyba że w ramach jednorazowej opłaty producent danego Oprogramowania Producenckiego oferuje możliwość zawarcia Licencji na okres dłuższy – wówczas na najdłuższy możliwy okres oferowany w danej cenie przez producenta; Wykonawca gwarantuje, że Licencja nie zostanie wypowiedziana, a producent Oprogramowania Producenckiego nie będzie kwestionował skuteczności, ważności lub okresu obowiązywania Licencji;</w:t>
      </w:r>
      <w:r>
        <w:rPr>
          <w:rFonts w:ascii="Arial" w:eastAsiaTheme="majorEastAsia" w:hAnsi="Arial" w:cs="Arial"/>
          <w:bCs/>
          <w:i/>
          <w:iCs/>
          <w:sz w:val="22"/>
          <w:szCs w:val="22"/>
        </w:rPr>
        <w:t>”</w:t>
      </w:r>
    </w:p>
    <w:p w14:paraId="1FDE3852" w14:textId="14B7CA86" w:rsidR="009C6DD5" w:rsidRDefault="009C6DD5" w:rsidP="00811A36">
      <w:pPr>
        <w:pStyle w:val="Akapitzlist"/>
        <w:widowControl w:val="0"/>
        <w:spacing w:beforeLines="80" w:before="192" w:afterLines="80" w:after="192"/>
        <w:ind w:left="812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>
        <w:rPr>
          <w:rFonts w:ascii="Arial" w:eastAsiaTheme="majorEastAsia" w:hAnsi="Arial" w:cs="Arial"/>
          <w:bCs/>
          <w:sz w:val="22"/>
          <w:szCs w:val="22"/>
        </w:rPr>
        <w:t>zmienia się na treść:</w:t>
      </w:r>
    </w:p>
    <w:p w14:paraId="5BC4DEBB" w14:textId="5DB13BC6" w:rsidR="009C6DD5" w:rsidRPr="009C6DD5" w:rsidRDefault="009C6DD5" w:rsidP="00811A36">
      <w:pPr>
        <w:pStyle w:val="Akapitzlist"/>
        <w:widowControl w:val="0"/>
        <w:spacing w:beforeLines="80" w:before="192" w:afterLines="80" w:after="192"/>
        <w:ind w:left="1162" w:hanging="350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>
        <w:rPr>
          <w:rFonts w:ascii="Arial" w:eastAsiaTheme="majorEastAsia" w:hAnsi="Arial" w:cs="Arial"/>
          <w:bCs/>
          <w:sz w:val="22"/>
          <w:szCs w:val="22"/>
        </w:rPr>
        <w:t>„</w:t>
      </w:r>
      <w:r w:rsidRPr="009C6DD5">
        <w:rPr>
          <w:rFonts w:ascii="Arial" w:eastAsiaTheme="majorEastAsia" w:hAnsi="Arial" w:cs="Arial"/>
          <w:bCs/>
          <w:i/>
          <w:iCs/>
          <w:sz w:val="22"/>
          <w:szCs w:val="22"/>
        </w:rPr>
        <w:t>a)</w:t>
      </w:r>
      <w:r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Pr="009C6DD5">
        <w:rPr>
          <w:rFonts w:ascii="Arial" w:eastAsiaTheme="majorEastAsia" w:hAnsi="Arial" w:cs="Arial"/>
          <w:bCs/>
          <w:sz w:val="22"/>
          <w:szCs w:val="22"/>
        </w:rPr>
        <w:t>„</w:t>
      </w:r>
      <w:r w:rsidRPr="009C6DD5">
        <w:rPr>
          <w:rFonts w:ascii="Arial" w:eastAsiaTheme="majorEastAsia" w:hAnsi="Arial" w:cs="Arial"/>
          <w:b/>
          <w:i/>
          <w:iCs/>
          <w:sz w:val="22"/>
          <w:szCs w:val="22"/>
        </w:rPr>
        <w:t>Licencje zostaną udzielone na okres trzech lat, chyba że w ramach jednorazowej opłaty producent danego Oprogramowania Producenckiego oferuje możliwość zawarcia Licencji na okres dłuższy – wówczas na najdłuższy możliwy okres oferowany w danej cenie przez producenta, przy czym Wykonawca każdorazowo zobowiązany jest zapewnić, aby udzielone Zamawiającemu Licencje na Oprogramowanie Producenckie trwały do momentu upływu 5 lat od dnia podpisania Protokołu Odbioru Końcowego (tzn. w przypadku pozyskania Licencji na okres 3 lat, Wykonawca z zachowaniem ciągłości uprawnień Zamawiającego do Oprogramowania Producenckiego wykupi kolejną Licencję na dane Oprogramowanie Producenckie na taki okres, aby obowiązywała ona do momentu upłynięcia 5 lat od dnia podpisania Protokołu Odbioru Końcowego); Wykonawca gwarantuje, że Licencja nie zostanie wypowiedziana, a producent Oprogramowania Producenckiego nie będzie kwestionował skuteczności, ważności lub okresu obowiązywania Licencji</w:t>
      </w:r>
      <w:r w:rsidRPr="009C6DD5">
        <w:rPr>
          <w:rFonts w:ascii="Arial" w:eastAsiaTheme="majorEastAsia" w:hAnsi="Arial" w:cs="Arial"/>
          <w:bCs/>
          <w:sz w:val="22"/>
          <w:szCs w:val="22"/>
        </w:rPr>
        <w:t>"</w:t>
      </w:r>
    </w:p>
    <w:p w14:paraId="06065AE7" w14:textId="381A978A" w:rsidR="00B617FE" w:rsidRPr="009C6DD5" w:rsidRDefault="00B617FE" w:rsidP="00811A36">
      <w:pPr>
        <w:pStyle w:val="Default"/>
        <w:widowControl w:val="0"/>
        <w:numPr>
          <w:ilvl w:val="0"/>
          <w:numId w:val="26"/>
        </w:numPr>
        <w:spacing w:beforeLines="80" w:before="192" w:afterLines="80" w:after="192"/>
        <w:ind w:left="426" w:hanging="284"/>
        <w:jc w:val="both"/>
        <w:rPr>
          <w:rFonts w:ascii="Arial" w:eastAsiaTheme="majorEastAsia" w:hAnsi="Arial" w:cs="Arial"/>
          <w:bCs/>
          <w:color w:val="auto"/>
          <w:sz w:val="22"/>
          <w:szCs w:val="22"/>
        </w:rPr>
      </w:pPr>
      <w:r w:rsidRPr="009C6DD5">
        <w:rPr>
          <w:rFonts w:ascii="Arial" w:eastAsiaTheme="majorEastAsia" w:hAnsi="Arial" w:cs="Arial"/>
          <w:bCs/>
          <w:color w:val="auto"/>
          <w:sz w:val="22"/>
          <w:szCs w:val="22"/>
        </w:rPr>
        <w:t>W SWZ, w załączniku nr 8 do SWZ- OPZ:</w:t>
      </w:r>
    </w:p>
    <w:p w14:paraId="17DE2F89" w14:textId="59187FDA" w:rsidR="00B617FE" w:rsidRPr="009C6DD5" w:rsidRDefault="00B617FE" w:rsidP="00811A36">
      <w:pPr>
        <w:pStyle w:val="Akapitzlist"/>
        <w:widowControl w:val="0"/>
        <w:numPr>
          <w:ilvl w:val="0"/>
          <w:numId w:val="28"/>
        </w:numPr>
        <w:spacing w:beforeLines="80" w:before="192" w:afterLines="80" w:after="192"/>
        <w:ind w:left="812" w:hanging="386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9C6DD5">
        <w:rPr>
          <w:rFonts w:ascii="Arial" w:eastAsiaTheme="majorEastAsia" w:hAnsi="Arial" w:cs="Arial"/>
          <w:bCs/>
          <w:sz w:val="22"/>
          <w:szCs w:val="22"/>
        </w:rPr>
        <w:t>w pkt. 12. lit c) sformułowanie „</w:t>
      </w:r>
      <w:r w:rsidRPr="009C6DD5">
        <w:rPr>
          <w:rFonts w:ascii="Arial" w:eastAsiaTheme="majorEastAsia" w:hAnsi="Arial" w:cs="Arial"/>
          <w:bCs/>
          <w:i/>
          <w:iCs/>
          <w:sz w:val="22"/>
          <w:szCs w:val="22"/>
        </w:rPr>
        <w:t>Marginesy wokół zeskanowanego obiektu</w:t>
      </w:r>
      <w:r w:rsidRPr="009C6DD5">
        <w:rPr>
          <w:rFonts w:ascii="Arial" w:eastAsiaTheme="majorEastAsia" w:hAnsi="Arial" w:cs="Arial"/>
          <w:bCs/>
          <w:sz w:val="22"/>
          <w:szCs w:val="22"/>
        </w:rPr>
        <w:t xml:space="preserve">” zastępuje się </w:t>
      </w:r>
      <w:r w:rsidR="00A918D7" w:rsidRPr="009C6DD5">
        <w:rPr>
          <w:rFonts w:ascii="Arial" w:eastAsiaTheme="majorEastAsia" w:hAnsi="Arial" w:cs="Arial"/>
          <w:bCs/>
          <w:sz w:val="22"/>
          <w:szCs w:val="22"/>
        </w:rPr>
        <w:t>sformułowaniem</w:t>
      </w:r>
      <w:r w:rsidRPr="009C6DD5">
        <w:rPr>
          <w:rFonts w:ascii="Arial" w:eastAsiaTheme="majorEastAsia" w:hAnsi="Arial" w:cs="Arial"/>
          <w:bCs/>
          <w:sz w:val="22"/>
          <w:szCs w:val="22"/>
        </w:rPr>
        <w:t xml:space="preserve"> „</w:t>
      </w:r>
      <w:r w:rsidRPr="009C6DD5">
        <w:rPr>
          <w:rFonts w:ascii="Arial" w:eastAsiaTheme="majorEastAsia" w:hAnsi="Arial" w:cs="Arial"/>
          <w:b/>
          <w:i/>
          <w:iCs/>
          <w:sz w:val="22"/>
          <w:szCs w:val="22"/>
        </w:rPr>
        <w:t>Marginesy wokół zeskanowanego obiektu w przypadku zastosowania skanerów dziełowych</w:t>
      </w:r>
      <w:r w:rsidRPr="009C6DD5">
        <w:rPr>
          <w:rFonts w:ascii="Arial" w:eastAsiaTheme="majorEastAsia" w:hAnsi="Arial" w:cs="Arial"/>
          <w:bCs/>
          <w:sz w:val="22"/>
          <w:szCs w:val="22"/>
        </w:rPr>
        <w:t>”;</w:t>
      </w:r>
    </w:p>
    <w:p w14:paraId="1BEDC110" w14:textId="0D49687E" w:rsidR="00FE7E58" w:rsidRPr="009C6DD5" w:rsidRDefault="00FE7E58" w:rsidP="00811A36">
      <w:pPr>
        <w:pStyle w:val="Akapitzlist"/>
        <w:widowControl w:val="0"/>
        <w:numPr>
          <w:ilvl w:val="0"/>
          <w:numId w:val="28"/>
        </w:numPr>
        <w:spacing w:beforeLines="80" w:before="192" w:afterLines="80" w:after="192"/>
        <w:ind w:left="812" w:hanging="386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9C6DD5">
        <w:rPr>
          <w:rFonts w:ascii="Arial" w:eastAsiaTheme="majorEastAsia" w:hAnsi="Arial" w:cs="Arial"/>
          <w:bCs/>
          <w:sz w:val="22"/>
          <w:szCs w:val="22"/>
        </w:rPr>
        <w:t xml:space="preserve">w pkt. 12. lit c) po </w:t>
      </w:r>
      <w:proofErr w:type="spellStart"/>
      <w:r w:rsidRPr="009C6DD5">
        <w:rPr>
          <w:rFonts w:ascii="Arial" w:eastAsiaTheme="majorEastAsia" w:hAnsi="Arial" w:cs="Arial"/>
          <w:bCs/>
          <w:sz w:val="22"/>
          <w:szCs w:val="22"/>
        </w:rPr>
        <w:t>ppkt</w:t>
      </w:r>
      <w:proofErr w:type="spellEnd"/>
      <w:r w:rsidRPr="009C6DD5">
        <w:rPr>
          <w:rFonts w:ascii="Arial" w:eastAsiaTheme="majorEastAsia" w:hAnsi="Arial" w:cs="Arial"/>
          <w:bCs/>
          <w:sz w:val="22"/>
          <w:szCs w:val="22"/>
        </w:rPr>
        <w:t>. o treści „JP2K – dla plików użytkowych – otrzymywany w procesie konwersji z formatu TIFF” dodaje się treść or</w:t>
      </w:r>
      <w:r w:rsidR="00E876EF">
        <w:rPr>
          <w:rFonts w:ascii="Arial" w:eastAsiaTheme="majorEastAsia" w:hAnsi="Arial" w:cs="Arial"/>
          <w:bCs/>
          <w:sz w:val="22"/>
          <w:szCs w:val="22"/>
        </w:rPr>
        <w:t>a</w:t>
      </w:r>
      <w:r w:rsidRPr="009C6DD5">
        <w:rPr>
          <w:rFonts w:ascii="Arial" w:eastAsiaTheme="majorEastAsia" w:hAnsi="Arial" w:cs="Arial"/>
          <w:bCs/>
          <w:sz w:val="22"/>
          <w:szCs w:val="22"/>
        </w:rPr>
        <w:t>z tabelę:</w:t>
      </w:r>
    </w:p>
    <w:p w14:paraId="08E3CD9D" w14:textId="16F57C11" w:rsidR="00FE7E58" w:rsidRPr="009C6DD5" w:rsidRDefault="00FE7E58" w:rsidP="00811A36">
      <w:pPr>
        <w:pStyle w:val="Akapitzlist"/>
        <w:widowControl w:val="0"/>
        <w:spacing w:beforeLines="80" w:before="192" w:afterLines="80" w:after="192"/>
        <w:ind w:left="812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9C6DD5">
        <w:rPr>
          <w:rFonts w:ascii="Arial" w:eastAsiaTheme="majorEastAsia" w:hAnsi="Arial" w:cs="Arial"/>
          <w:bCs/>
          <w:sz w:val="22"/>
          <w:szCs w:val="22"/>
        </w:rPr>
        <w:t>„Zamawiający dopuszcza tworzenie plików JP2K z plików źródłowych TIFF w etapie procesu digitalizacji.</w:t>
      </w:r>
    </w:p>
    <w:p w14:paraId="72AB4701" w14:textId="62A54608" w:rsidR="00FE7E58" w:rsidRPr="009C6DD5" w:rsidRDefault="00FE7E58" w:rsidP="00811A36">
      <w:pPr>
        <w:pStyle w:val="Akapitzlist"/>
        <w:widowControl w:val="0"/>
        <w:ind w:left="812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9C6DD5">
        <w:rPr>
          <w:rFonts w:ascii="Arial" w:eastAsiaTheme="majorEastAsia" w:hAnsi="Arial" w:cs="Arial"/>
          <w:bCs/>
          <w:sz w:val="22"/>
          <w:szCs w:val="22"/>
        </w:rPr>
        <w:lastRenderedPageBreak/>
        <w:t>Parametry plików JP2K:</w:t>
      </w:r>
    </w:p>
    <w:tbl>
      <w:tblPr>
        <w:tblW w:w="868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3118"/>
        <w:gridCol w:w="426"/>
      </w:tblGrid>
      <w:tr w:rsidR="009C6DD5" w:rsidRPr="009C6DD5" w14:paraId="2D4F1BCB" w14:textId="101A21A0" w:rsidTr="00632BC0">
        <w:trPr>
          <w:trHeight w:val="300"/>
        </w:trPr>
        <w:tc>
          <w:tcPr>
            <w:tcW w:w="5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0774D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9DB5AB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/>
          </w:tcPr>
          <w:p w14:paraId="5588C054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9C6DD5" w:rsidRPr="009C6DD5" w14:paraId="63893E0D" w14:textId="7A47421C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9F6D7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Format pliku (File format)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AF6383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Part 1 (.jp2)</w:t>
            </w:r>
          </w:p>
        </w:tc>
        <w:tc>
          <w:tcPr>
            <w:tcW w:w="426" w:type="dxa"/>
            <w:tcBorders>
              <w:left w:val="nil"/>
            </w:tcBorders>
          </w:tcPr>
          <w:p w14:paraId="1AC02615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2245363B" w14:textId="5881BB7C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E7209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Profil (Profile)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98521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Rsiz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=2 (Profile 1)</w:t>
            </w:r>
          </w:p>
        </w:tc>
        <w:tc>
          <w:tcPr>
            <w:tcW w:w="426" w:type="dxa"/>
            <w:tcBorders>
              <w:left w:val="nil"/>
            </w:tcBorders>
          </w:tcPr>
          <w:p w14:paraId="0402654F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10D6A07B" w14:textId="6AF53255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E36D8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Rozmiar obrazu (Image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size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AEC42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Taki sam jak – TIFF</w:t>
            </w:r>
          </w:p>
        </w:tc>
        <w:tc>
          <w:tcPr>
            <w:tcW w:w="426" w:type="dxa"/>
            <w:tcBorders>
              <w:left w:val="nil"/>
            </w:tcBorders>
          </w:tcPr>
          <w:p w14:paraId="5B98CE47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00E3F734" w14:textId="102E6D1C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755F2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Kompresja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Typical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compression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8CE6D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8:1</w:t>
            </w:r>
          </w:p>
        </w:tc>
        <w:tc>
          <w:tcPr>
            <w:tcW w:w="426" w:type="dxa"/>
            <w:tcBorders>
              <w:left w:val="nil"/>
            </w:tcBorders>
          </w:tcPr>
          <w:p w14:paraId="601C938D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478D5BBA" w14:textId="435573E5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8F43EE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Kafle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Tiling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DEA96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1024x1024</w:t>
            </w:r>
          </w:p>
        </w:tc>
        <w:tc>
          <w:tcPr>
            <w:tcW w:w="426" w:type="dxa"/>
            <w:tcBorders>
              <w:left w:val="nil"/>
            </w:tcBorders>
          </w:tcPr>
          <w:p w14:paraId="404BF2B5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38E7E1DC" w14:textId="3CAACD6A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4C33E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Pochodzenie obrazu i kafelka (Image and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tile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origin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2DEBD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XOsiz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=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YOsiz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=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XTOsiz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=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YTOsiz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= 0</w:t>
            </w:r>
          </w:p>
        </w:tc>
        <w:tc>
          <w:tcPr>
            <w:tcW w:w="426" w:type="dxa"/>
            <w:tcBorders>
              <w:left w:val="nil"/>
            </w:tcBorders>
          </w:tcPr>
          <w:p w14:paraId="7F97362B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32C491AB" w14:textId="67060794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08FA9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Liczba komponentów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Number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of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components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241EF7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Csiz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= 3</w:t>
            </w:r>
          </w:p>
        </w:tc>
        <w:tc>
          <w:tcPr>
            <w:tcW w:w="426" w:type="dxa"/>
            <w:tcBorders>
              <w:left w:val="nil"/>
            </w:tcBorders>
          </w:tcPr>
          <w:p w14:paraId="6D5DB19F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019C766A" w14:textId="3E742071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51FD8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Głębia (Bit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depth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36953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Ssiz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= 24</w:t>
            </w:r>
          </w:p>
        </w:tc>
        <w:tc>
          <w:tcPr>
            <w:tcW w:w="426" w:type="dxa"/>
            <w:tcBorders>
              <w:left w:val="nil"/>
            </w:tcBorders>
          </w:tcPr>
          <w:p w14:paraId="080D5650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3ECEE619" w14:textId="02B4E494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76B24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Podpróbkowanie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Subsampling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62B7C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XRsiz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=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YRsiz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= 1</w:t>
            </w:r>
          </w:p>
        </w:tc>
        <w:tc>
          <w:tcPr>
            <w:tcW w:w="426" w:type="dxa"/>
            <w:tcBorders>
              <w:left w:val="nil"/>
            </w:tcBorders>
          </w:tcPr>
          <w:p w14:paraId="70B1A701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1552F5AA" w14:textId="6A60B5C4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E33D0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Kolejnośc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progresji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Progression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order)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F67E2B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RPCL</w:t>
            </w:r>
          </w:p>
        </w:tc>
        <w:tc>
          <w:tcPr>
            <w:tcW w:w="426" w:type="dxa"/>
            <w:tcBorders>
              <w:left w:val="nil"/>
            </w:tcBorders>
          </w:tcPr>
          <w:p w14:paraId="1B2A2068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4B1A87AE" w14:textId="3A2A0774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73D85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Liczba rozkładów. Poziomy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Number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of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decomp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Levels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EFEB15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5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or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426" w:type="dxa"/>
            <w:tcBorders>
              <w:left w:val="nil"/>
            </w:tcBorders>
          </w:tcPr>
          <w:p w14:paraId="796CC687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68A18D5B" w14:textId="5D091DA1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3EC36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Liczba warstw jakości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Number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of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quality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layers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9B0D5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12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logarithmic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left w:val="nil"/>
            </w:tcBorders>
          </w:tcPr>
          <w:p w14:paraId="41C29B9B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597AD9D2" w14:textId="61D85549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8BBD2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Rozmiar bloku kodu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Code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block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size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xcb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=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ycb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A2004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nil"/>
            </w:tcBorders>
          </w:tcPr>
          <w:p w14:paraId="434CB267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494660D7" w14:textId="7064EDEF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3391D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Transformacja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Transformation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2E69F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9-7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irreversible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</w:tcPr>
          <w:p w14:paraId="6B08E5D4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62326A62" w14:textId="4F65E788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DF458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Rozmiar okręgu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Precinct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size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39E73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256x256 for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first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two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decomp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levels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, 128 by 128 for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lower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levels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</w:tcPr>
          <w:p w14:paraId="13702D71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0667070E" w14:textId="518C0424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80BD1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Obszar zainteresowania (Regions of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Interest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A1F13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  <w:tcBorders>
              <w:left w:val="nil"/>
            </w:tcBorders>
          </w:tcPr>
          <w:p w14:paraId="0387CCD9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302FAAEF" w14:textId="0BCA464D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64DF9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Rozmiar bloku kodu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Code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block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size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6A1189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64x64</w:t>
            </w:r>
          </w:p>
        </w:tc>
        <w:tc>
          <w:tcPr>
            <w:tcW w:w="426" w:type="dxa"/>
            <w:tcBorders>
              <w:left w:val="nil"/>
            </w:tcBorders>
          </w:tcPr>
          <w:p w14:paraId="69F7A48E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160DBB30" w14:textId="5C70B859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D5789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Znaczniki TLM (TLM 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markers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3EBE7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Yes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“R”</w:t>
            </w:r>
          </w:p>
        </w:tc>
        <w:tc>
          <w:tcPr>
            <w:tcW w:w="426" w:type="dxa"/>
            <w:tcBorders>
              <w:left w:val="nil"/>
            </w:tcBorders>
          </w:tcPr>
          <w:p w14:paraId="6B5D0339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D5" w:rsidRPr="009C6DD5" w14:paraId="706CB2C5" w14:textId="6A519A31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2D1BE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Obejście (Bypass)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52D6E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</w:tcPr>
          <w:p w14:paraId="579526A3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7E58" w:rsidRPr="009C6DD5" w14:paraId="4EA34839" w14:textId="0FF81715" w:rsidTr="00632BC0"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3194B" w14:textId="77777777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Przestrzeń kolorów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Colour-space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E111D" w14:textId="77777777" w:rsidR="00FE7E58" w:rsidRPr="009C6DD5" w:rsidRDefault="00FE7E58" w:rsidP="00811A36">
            <w:pPr>
              <w:widowControl w:val="0"/>
              <w:ind w:right="-15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sRGB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proofErr w:type="spellStart"/>
            <w:r w:rsidRPr="009C6DD5">
              <w:rPr>
                <w:rFonts w:ascii="Arial" w:eastAsia="Calibri" w:hAnsi="Arial" w:cs="Arial"/>
                <w:sz w:val="20"/>
                <w:szCs w:val="20"/>
              </w:rPr>
              <w:t>restricted</w:t>
            </w:r>
            <w:proofErr w:type="spellEnd"/>
            <w:r w:rsidRPr="009C6DD5">
              <w:rPr>
                <w:rFonts w:ascii="Arial" w:eastAsia="Calibri" w:hAnsi="Arial" w:cs="Arial"/>
                <w:sz w:val="20"/>
                <w:szCs w:val="20"/>
              </w:rPr>
              <w:t xml:space="preserve"> ICC profile)</w:t>
            </w:r>
          </w:p>
        </w:tc>
        <w:tc>
          <w:tcPr>
            <w:tcW w:w="426" w:type="dxa"/>
            <w:tcBorders>
              <w:left w:val="nil"/>
            </w:tcBorders>
          </w:tcPr>
          <w:p w14:paraId="3B9A2844" w14:textId="26651671" w:rsidR="00FE7E58" w:rsidRPr="009C6DD5" w:rsidRDefault="00FE7E58" w:rsidP="00811A36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9C6DD5">
              <w:rPr>
                <w:rFonts w:ascii="Arial" w:eastAsia="Calibri" w:hAnsi="Arial" w:cs="Arial"/>
                <w:sz w:val="20"/>
                <w:szCs w:val="20"/>
              </w:rPr>
              <w:t>„</w:t>
            </w:r>
          </w:p>
        </w:tc>
      </w:tr>
    </w:tbl>
    <w:p w14:paraId="797C8109" w14:textId="4BEA571C" w:rsidR="00FE7E58" w:rsidRPr="009C6DD5" w:rsidRDefault="00FE7E58" w:rsidP="00811A36">
      <w:pPr>
        <w:widowControl w:val="0"/>
        <w:jc w:val="both"/>
        <w:rPr>
          <w:rFonts w:ascii="Arial" w:eastAsiaTheme="majorEastAsia" w:hAnsi="Arial" w:cs="Arial"/>
          <w:bCs/>
          <w:sz w:val="20"/>
          <w:szCs w:val="20"/>
        </w:rPr>
      </w:pPr>
    </w:p>
    <w:p w14:paraId="1275B4E6" w14:textId="2AAD656B" w:rsidR="00FE7E58" w:rsidRPr="000F15EE" w:rsidRDefault="005359BC" w:rsidP="00811A36">
      <w:pPr>
        <w:pStyle w:val="Akapitzlist"/>
        <w:widowControl w:val="0"/>
        <w:numPr>
          <w:ilvl w:val="0"/>
          <w:numId w:val="28"/>
        </w:numPr>
        <w:spacing w:before="80" w:after="80"/>
        <w:ind w:left="812" w:hanging="386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>w pkt. 12 lit. j) sformułowanie „</w:t>
      </w:r>
      <w:r w:rsidRPr="000F15EE">
        <w:rPr>
          <w:rFonts w:ascii="Arial" w:eastAsiaTheme="majorEastAsia" w:hAnsi="Arial" w:cs="Arial"/>
          <w:bCs/>
          <w:i/>
          <w:iCs/>
          <w:sz w:val="22"/>
          <w:szCs w:val="22"/>
        </w:rPr>
        <w:t>Sprawdzenie poprawności formatu JP2K z zakładanymi parametrami – patrz pkt. 1.2</w:t>
      </w:r>
      <w:r w:rsidRPr="000F15EE">
        <w:rPr>
          <w:rFonts w:ascii="Arial" w:eastAsiaTheme="majorEastAsia" w:hAnsi="Arial" w:cs="Arial"/>
          <w:bCs/>
          <w:sz w:val="22"/>
          <w:szCs w:val="22"/>
        </w:rPr>
        <w:t xml:space="preserve">” zastępuje się </w:t>
      </w:r>
      <w:r w:rsidR="00A918D7" w:rsidRPr="000F15EE">
        <w:rPr>
          <w:rFonts w:ascii="Arial" w:eastAsiaTheme="majorEastAsia" w:hAnsi="Arial" w:cs="Arial"/>
          <w:bCs/>
          <w:sz w:val="22"/>
          <w:szCs w:val="22"/>
        </w:rPr>
        <w:t>sformułowaniem „</w:t>
      </w:r>
      <w:r w:rsidR="00A918D7" w:rsidRPr="000F15EE">
        <w:rPr>
          <w:rFonts w:ascii="Arial" w:eastAsiaTheme="majorEastAsia" w:hAnsi="Arial" w:cs="Arial"/>
          <w:b/>
          <w:i/>
          <w:iCs/>
          <w:sz w:val="22"/>
          <w:szCs w:val="22"/>
        </w:rPr>
        <w:t xml:space="preserve">Sprawdzenie poprawności formatu JP2K z zakładanymi parametrami </w:t>
      </w:r>
      <w:r w:rsidR="00FE7E58" w:rsidRPr="000F15EE">
        <w:rPr>
          <w:rFonts w:ascii="Arial" w:eastAsiaTheme="majorEastAsia" w:hAnsi="Arial" w:cs="Arial"/>
          <w:b/>
          <w:i/>
          <w:iCs/>
          <w:sz w:val="22"/>
          <w:szCs w:val="22"/>
        </w:rPr>
        <w:t>– patrz pkt. 12 lit. c)</w:t>
      </w:r>
      <w:r w:rsidR="00A918D7" w:rsidRPr="000F15EE">
        <w:rPr>
          <w:rFonts w:ascii="Arial" w:eastAsiaTheme="majorEastAsia" w:hAnsi="Arial" w:cs="Arial"/>
          <w:bCs/>
          <w:sz w:val="22"/>
          <w:szCs w:val="22"/>
        </w:rPr>
        <w:t>”</w:t>
      </w:r>
      <w:r w:rsidR="00FE7E58" w:rsidRPr="000F15EE">
        <w:rPr>
          <w:rFonts w:ascii="Arial" w:eastAsiaTheme="majorEastAsia" w:hAnsi="Arial" w:cs="Arial"/>
          <w:bCs/>
          <w:sz w:val="22"/>
          <w:szCs w:val="22"/>
        </w:rPr>
        <w:t>;</w:t>
      </w:r>
    </w:p>
    <w:p w14:paraId="0EB1B7AF" w14:textId="77777777" w:rsidR="000F15EE" w:rsidRDefault="007C455D" w:rsidP="00811A36">
      <w:pPr>
        <w:pStyle w:val="Akapitzlist"/>
        <w:widowControl w:val="0"/>
        <w:numPr>
          <w:ilvl w:val="0"/>
          <w:numId w:val="28"/>
        </w:numPr>
        <w:spacing w:before="80" w:after="80"/>
        <w:ind w:left="812" w:hanging="386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 xml:space="preserve">w pkt. 9.4.21. </w:t>
      </w:r>
      <w:r w:rsidR="00480C16" w:rsidRPr="000F15EE">
        <w:rPr>
          <w:rFonts w:ascii="Arial" w:eastAsiaTheme="majorEastAsia" w:hAnsi="Arial" w:cs="Arial"/>
          <w:bCs/>
          <w:sz w:val="22"/>
          <w:szCs w:val="22"/>
        </w:rPr>
        <w:t>usuwa</w:t>
      </w:r>
      <w:r w:rsidRPr="000F15EE">
        <w:rPr>
          <w:rFonts w:ascii="Arial" w:eastAsiaTheme="majorEastAsia" w:hAnsi="Arial" w:cs="Arial"/>
          <w:bCs/>
          <w:sz w:val="22"/>
          <w:szCs w:val="22"/>
        </w:rPr>
        <w:t xml:space="preserve"> się</w:t>
      </w:r>
      <w:r w:rsidR="000F15EE">
        <w:rPr>
          <w:rFonts w:ascii="Arial" w:eastAsiaTheme="majorEastAsia" w:hAnsi="Arial" w:cs="Arial"/>
          <w:bCs/>
          <w:sz w:val="22"/>
          <w:szCs w:val="22"/>
        </w:rPr>
        <w:t xml:space="preserve"> treść:</w:t>
      </w:r>
    </w:p>
    <w:p w14:paraId="46144F23" w14:textId="77777777" w:rsidR="000F15EE" w:rsidRDefault="000F15EE" w:rsidP="00811A36">
      <w:pPr>
        <w:pStyle w:val="Akapitzlist"/>
        <w:widowControl w:val="0"/>
        <w:tabs>
          <w:tab w:val="left" w:pos="1276"/>
        </w:tabs>
        <w:spacing w:before="80" w:after="80"/>
        <w:ind w:left="812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>
        <w:rPr>
          <w:rFonts w:ascii="Arial" w:eastAsiaTheme="majorEastAsia" w:hAnsi="Arial" w:cs="Arial"/>
          <w:bCs/>
          <w:sz w:val="22"/>
          <w:szCs w:val="22"/>
        </w:rPr>
        <w:t>„</w:t>
      </w:r>
      <w:r w:rsidRPr="000F15EE">
        <w:rPr>
          <w:rFonts w:ascii="Arial" w:eastAsiaTheme="majorEastAsia" w:hAnsi="Arial" w:cs="Arial"/>
          <w:bCs/>
          <w:sz w:val="22"/>
          <w:szCs w:val="22"/>
        </w:rPr>
        <w:t>f)</w:t>
      </w:r>
      <w:r w:rsidRPr="000F15EE">
        <w:rPr>
          <w:rFonts w:ascii="Arial" w:eastAsiaTheme="majorEastAsia" w:hAnsi="Arial" w:cs="Arial"/>
          <w:bCs/>
          <w:sz w:val="22"/>
          <w:szCs w:val="22"/>
        </w:rPr>
        <w:tab/>
        <w:t>zgodność wzornika paskowego,</w:t>
      </w:r>
      <w:r>
        <w:rPr>
          <w:rFonts w:ascii="Arial" w:eastAsiaTheme="majorEastAsia" w:hAnsi="Arial" w:cs="Arial"/>
          <w:bCs/>
          <w:sz w:val="22"/>
          <w:szCs w:val="22"/>
        </w:rPr>
        <w:t>”</w:t>
      </w:r>
    </w:p>
    <w:p w14:paraId="317FDD51" w14:textId="1683ED02" w:rsidR="005359BC" w:rsidRPr="000F15EE" w:rsidRDefault="007C455D" w:rsidP="00811A36">
      <w:pPr>
        <w:pStyle w:val="Akapitzlist"/>
        <w:widowControl w:val="0"/>
        <w:spacing w:before="80" w:after="80"/>
        <w:ind w:left="812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>a kolejne litery przyjmują odpowiednio numerację f), g), itd.;</w:t>
      </w:r>
      <w:r w:rsidR="000F15EE" w:rsidRPr="000F15EE">
        <w:rPr>
          <w:rFonts w:ascii="Arial" w:eastAsiaTheme="majorEastAsia" w:hAnsi="Arial" w:cs="Arial"/>
          <w:bCs/>
          <w:sz w:val="22"/>
          <w:szCs w:val="22"/>
        </w:rPr>
        <w:t xml:space="preserve"> </w:t>
      </w:r>
    </w:p>
    <w:p w14:paraId="184D9B8F" w14:textId="4063712F" w:rsidR="00B617FE" w:rsidRPr="000F15EE" w:rsidRDefault="00B617FE" w:rsidP="00811A36">
      <w:pPr>
        <w:pStyle w:val="Akapitzlist"/>
        <w:widowControl w:val="0"/>
        <w:numPr>
          <w:ilvl w:val="0"/>
          <w:numId w:val="28"/>
        </w:numPr>
        <w:spacing w:before="80" w:after="80"/>
        <w:ind w:left="812" w:hanging="386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 xml:space="preserve">w pkt. </w:t>
      </w:r>
      <w:r w:rsidR="005359BC" w:rsidRPr="000F15EE">
        <w:rPr>
          <w:rFonts w:ascii="Arial" w:eastAsiaTheme="majorEastAsia" w:hAnsi="Arial" w:cs="Arial"/>
          <w:bCs/>
          <w:sz w:val="22"/>
          <w:szCs w:val="22"/>
        </w:rPr>
        <w:t>12. lit. p) sformułowanie „</w:t>
      </w:r>
      <w:r w:rsidR="005359BC" w:rsidRPr="000F15EE">
        <w:rPr>
          <w:rFonts w:ascii="Arial" w:eastAsiaTheme="majorEastAsia" w:hAnsi="Arial" w:cs="Arial"/>
          <w:bCs/>
          <w:i/>
          <w:iCs/>
          <w:sz w:val="22"/>
          <w:szCs w:val="22"/>
        </w:rPr>
        <w:t>skanery działowe</w:t>
      </w:r>
      <w:r w:rsidR="005359BC" w:rsidRPr="000F15EE">
        <w:rPr>
          <w:rFonts w:ascii="Arial" w:eastAsiaTheme="majorEastAsia" w:hAnsi="Arial" w:cs="Arial"/>
          <w:bCs/>
          <w:sz w:val="22"/>
          <w:szCs w:val="22"/>
        </w:rPr>
        <w:t>” zastępuje się sformułowaniem „</w:t>
      </w:r>
      <w:r w:rsidR="005359BC" w:rsidRPr="000F15EE">
        <w:rPr>
          <w:rFonts w:ascii="Arial" w:eastAsiaTheme="majorEastAsia" w:hAnsi="Arial" w:cs="Arial"/>
          <w:b/>
          <w:i/>
          <w:iCs/>
          <w:sz w:val="22"/>
          <w:szCs w:val="22"/>
        </w:rPr>
        <w:t>skanery dziełowe</w:t>
      </w:r>
      <w:r w:rsidR="005359BC" w:rsidRPr="000F15EE">
        <w:rPr>
          <w:rFonts w:ascii="Arial" w:eastAsiaTheme="majorEastAsia" w:hAnsi="Arial" w:cs="Arial"/>
          <w:bCs/>
          <w:sz w:val="22"/>
          <w:szCs w:val="22"/>
        </w:rPr>
        <w:t>”</w:t>
      </w:r>
      <w:r w:rsidR="00C169C8" w:rsidRPr="000F15EE">
        <w:rPr>
          <w:rFonts w:ascii="Arial" w:eastAsiaTheme="majorEastAsia" w:hAnsi="Arial" w:cs="Arial"/>
          <w:bCs/>
          <w:sz w:val="22"/>
          <w:szCs w:val="22"/>
        </w:rPr>
        <w:t>.</w:t>
      </w:r>
    </w:p>
    <w:p w14:paraId="432E5089" w14:textId="2A1B9236" w:rsidR="000F333C" w:rsidRPr="000F15EE" w:rsidRDefault="00DE5857" w:rsidP="00811A36">
      <w:pPr>
        <w:pStyle w:val="Akapitzlist"/>
        <w:widowControl w:val="0"/>
        <w:numPr>
          <w:ilvl w:val="0"/>
          <w:numId w:val="28"/>
        </w:numPr>
        <w:spacing w:before="80" w:after="80"/>
        <w:ind w:left="812" w:hanging="386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 xml:space="preserve">w pkt. 2 </w:t>
      </w:r>
      <w:r w:rsidR="000F333C" w:rsidRPr="000F15EE">
        <w:rPr>
          <w:rFonts w:ascii="Arial" w:eastAsiaTheme="majorEastAsia" w:hAnsi="Arial" w:cs="Arial"/>
          <w:bCs/>
          <w:sz w:val="22"/>
          <w:szCs w:val="22"/>
        </w:rPr>
        <w:t>usuwa się treść</w:t>
      </w:r>
      <w:r w:rsidR="00922C42" w:rsidRPr="000F15EE">
        <w:rPr>
          <w:rFonts w:ascii="Arial" w:eastAsiaTheme="majorEastAsia" w:hAnsi="Arial" w:cs="Arial"/>
          <w:bCs/>
          <w:sz w:val="22"/>
          <w:szCs w:val="22"/>
        </w:rPr>
        <w:t>:</w:t>
      </w:r>
    </w:p>
    <w:p w14:paraId="567C0712" w14:textId="2F0E9CC4" w:rsidR="000F333C" w:rsidRPr="000F15EE" w:rsidRDefault="000F333C" w:rsidP="00811A36">
      <w:pPr>
        <w:pStyle w:val="Akapitzlist"/>
        <w:widowControl w:val="0"/>
        <w:spacing w:before="80" w:after="80"/>
        <w:ind w:left="1560" w:hanging="748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>„</w:t>
      </w:r>
      <w:r w:rsidRPr="000F15EE">
        <w:rPr>
          <w:rFonts w:ascii="Arial" w:eastAsiaTheme="majorEastAsia" w:hAnsi="Arial" w:cs="Arial"/>
          <w:b/>
          <w:sz w:val="22"/>
          <w:szCs w:val="22"/>
        </w:rPr>
        <w:t xml:space="preserve">MQTT </w:t>
      </w:r>
      <w:r w:rsidRPr="000F15EE">
        <w:rPr>
          <w:rFonts w:ascii="Arial" w:eastAsiaTheme="majorEastAsia" w:hAnsi="Arial" w:cs="Arial"/>
          <w:bCs/>
          <w:sz w:val="22"/>
          <w:szCs w:val="22"/>
        </w:rPr>
        <w:t xml:space="preserve">– protokół transmisji danych zapewniający dobrą jakość transmisji w łączach o małych przepustowościach wykorzystywany do realizacji połączeń, subskrypcji i publikowania informacji w </w:t>
      </w:r>
      <w:proofErr w:type="spellStart"/>
      <w:r w:rsidRPr="000F15EE">
        <w:rPr>
          <w:rFonts w:ascii="Arial" w:eastAsiaTheme="majorEastAsia" w:hAnsi="Arial" w:cs="Arial"/>
          <w:bCs/>
          <w:sz w:val="22"/>
          <w:szCs w:val="22"/>
        </w:rPr>
        <w:t>message</w:t>
      </w:r>
      <w:proofErr w:type="spellEnd"/>
      <w:r w:rsidRPr="000F15EE">
        <w:rPr>
          <w:rFonts w:ascii="Arial" w:eastAsiaTheme="majorEastAsia" w:hAnsi="Arial" w:cs="Arial"/>
          <w:bCs/>
          <w:sz w:val="22"/>
          <w:szCs w:val="22"/>
        </w:rPr>
        <w:t xml:space="preserve"> brokerach.”</w:t>
      </w:r>
    </w:p>
    <w:p w14:paraId="41F9F729" w14:textId="7EC4E8DF" w:rsidR="00DE5857" w:rsidRPr="000F15EE" w:rsidRDefault="00922C42" w:rsidP="00811A36">
      <w:pPr>
        <w:pStyle w:val="Akapitzlist"/>
        <w:widowControl w:val="0"/>
        <w:numPr>
          <w:ilvl w:val="0"/>
          <w:numId w:val="28"/>
        </w:numPr>
        <w:spacing w:before="80" w:after="80"/>
        <w:ind w:left="812" w:hanging="386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>w</w:t>
      </w:r>
      <w:r w:rsidR="000F333C" w:rsidRPr="000F15EE">
        <w:rPr>
          <w:rFonts w:ascii="Arial" w:eastAsiaTheme="majorEastAsia" w:hAnsi="Arial" w:cs="Arial"/>
          <w:bCs/>
          <w:sz w:val="22"/>
          <w:szCs w:val="22"/>
        </w:rPr>
        <w:t xml:space="preserve"> pkt. 9.8.4 treść</w:t>
      </w:r>
      <w:r w:rsidRPr="000F15EE">
        <w:rPr>
          <w:rFonts w:ascii="Arial" w:eastAsiaTheme="majorEastAsia" w:hAnsi="Arial" w:cs="Arial"/>
          <w:bCs/>
          <w:sz w:val="22"/>
          <w:szCs w:val="22"/>
        </w:rPr>
        <w:t>:</w:t>
      </w:r>
    </w:p>
    <w:p w14:paraId="7E5880B5" w14:textId="77777777" w:rsidR="00B0347B" w:rsidRDefault="000F333C" w:rsidP="00811A36">
      <w:pPr>
        <w:pStyle w:val="Akapitzlist"/>
        <w:widowControl w:val="0"/>
        <w:spacing w:before="80" w:after="80"/>
        <w:ind w:left="812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>„System będzie posiadał obsługę standardów:</w:t>
      </w:r>
    </w:p>
    <w:p w14:paraId="32FCC2A6" w14:textId="77777777" w:rsidR="00B0347B" w:rsidRPr="00B0347B" w:rsidRDefault="00B0347B" w:rsidP="00811A36">
      <w:pPr>
        <w:pStyle w:val="Akapitzlist"/>
        <w:widowControl w:val="0"/>
        <w:spacing w:before="80" w:after="80"/>
        <w:ind w:left="952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B0347B">
        <w:rPr>
          <w:rFonts w:ascii="Arial" w:eastAsiaTheme="majorEastAsia" w:hAnsi="Arial" w:cs="Arial"/>
          <w:bCs/>
          <w:sz w:val="22"/>
          <w:szCs w:val="22"/>
        </w:rPr>
        <w:t>a)</w:t>
      </w:r>
      <w:r w:rsidRPr="00B0347B">
        <w:rPr>
          <w:rFonts w:ascii="Arial" w:eastAsiaTheme="majorEastAsia" w:hAnsi="Arial" w:cs="Arial"/>
          <w:bCs/>
          <w:sz w:val="22"/>
          <w:szCs w:val="22"/>
        </w:rPr>
        <w:tab/>
        <w:t xml:space="preserve">WSDL (Web Services </w:t>
      </w:r>
      <w:proofErr w:type="spellStart"/>
      <w:r w:rsidRPr="00B0347B">
        <w:rPr>
          <w:rFonts w:ascii="Arial" w:eastAsiaTheme="majorEastAsia" w:hAnsi="Arial" w:cs="Arial"/>
          <w:bCs/>
          <w:sz w:val="22"/>
          <w:szCs w:val="22"/>
        </w:rPr>
        <w:t>Description</w:t>
      </w:r>
      <w:proofErr w:type="spellEnd"/>
      <w:r w:rsidRPr="00B0347B">
        <w:rPr>
          <w:rFonts w:ascii="Arial" w:eastAsiaTheme="majorEastAsia" w:hAnsi="Arial" w:cs="Arial"/>
          <w:bCs/>
          <w:sz w:val="22"/>
          <w:szCs w:val="22"/>
        </w:rPr>
        <w:t xml:space="preserve"> Language),</w:t>
      </w:r>
    </w:p>
    <w:p w14:paraId="25C43292" w14:textId="77777777" w:rsidR="00B0347B" w:rsidRPr="00B0347B" w:rsidRDefault="00B0347B" w:rsidP="00811A36">
      <w:pPr>
        <w:pStyle w:val="Akapitzlist"/>
        <w:widowControl w:val="0"/>
        <w:spacing w:before="80" w:after="80"/>
        <w:ind w:left="952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B0347B">
        <w:rPr>
          <w:rFonts w:ascii="Arial" w:eastAsiaTheme="majorEastAsia" w:hAnsi="Arial" w:cs="Arial"/>
          <w:bCs/>
          <w:sz w:val="22"/>
          <w:szCs w:val="22"/>
        </w:rPr>
        <w:t>b)</w:t>
      </w:r>
      <w:r w:rsidRPr="00B0347B">
        <w:rPr>
          <w:rFonts w:ascii="Arial" w:eastAsiaTheme="majorEastAsia" w:hAnsi="Arial" w:cs="Arial"/>
          <w:bCs/>
          <w:sz w:val="22"/>
          <w:szCs w:val="22"/>
        </w:rPr>
        <w:tab/>
        <w:t>XML (</w:t>
      </w:r>
      <w:proofErr w:type="spellStart"/>
      <w:r w:rsidRPr="00B0347B">
        <w:rPr>
          <w:rFonts w:ascii="Arial" w:eastAsiaTheme="majorEastAsia" w:hAnsi="Arial" w:cs="Arial"/>
          <w:bCs/>
          <w:sz w:val="22"/>
          <w:szCs w:val="22"/>
        </w:rPr>
        <w:t>Extensible</w:t>
      </w:r>
      <w:proofErr w:type="spellEnd"/>
      <w:r w:rsidRPr="00B0347B">
        <w:rPr>
          <w:rFonts w:ascii="Arial" w:eastAsiaTheme="majorEastAsia" w:hAnsi="Arial" w:cs="Arial"/>
          <w:bCs/>
          <w:sz w:val="22"/>
          <w:szCs w:val="22"/>
        </w:rPr>
        <w:t xml:space="preserve"> </w:t>
      </w:r>
      <w:proofErr w:type="spellStart"/>
      <w:r w:rsidRPr="00B0347B">
        <w:rPr>
          <w:rFonts w:ascii="Arial" w:eastAsiaTheme="majorEastAsia" w:hAnsi="Arial" w:cs="Arial"/>
          <w:bCs/>
          <w:sz w:val="22"/>
          <w:szCs w:val="22"/>
        </w:rPr>
        <w:t>Markup</w:t>
      </w:r>
      <w:proofErr w:type="spellEnd"/>
      <w:r w:rsidRPr="00B0347B">
        <w:rPr>
          <w:rFonts w:ascii="Arial" w:eastAsiaTheme="majorEastAsia" w:hAnsi="Arial" w:cs="Arial"/>
          <w:bCs/>
          <w:sz w:val="22"/>
          <w:szCs w:val="22"/>
        </w:rPr>
        <w:t xml:space="preserve"> Language,</w:t>
      </w:r>
    </w:p>
    <w:p w14:paraId="72D4E3D4" w14:textId="77777777" w:rsidR="00B0347B" w:rsidRPr="00B0347B" w:rsidRDefault="00B0347B" w:rsidP="00811A36">
      <w:pPr>
        <w:pStyle w:val="Akapitzlist"/>
        <w:widowControl w:val="0"/>
        <w:spacing w:before="80" w:after="80"/>
        <w:ind w:left="952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B0347B">
        <w:rPr>
          <w:rFonts w:ascii="Arial" w:eastAsiaTheme="majorEastAsia" w:hAnsi="Arial" w:cs="Arial"/>
          <w:bCs/>
          <w:sz w:val="22"/>
          <w:szCs w:val="22"/>
        </w:rPr>
        <w:t>c)</w:t>
      </w:r>
      <w:r w:rsidRPr="00B0347B">
        <w:rPr>
          <w:rFonts w:ascii="Arial" w:eastAsiaTheme="majorEastAsia" w:hAnsi="Arial" w:cs="Arial"/>
          <w:bCs/>
          <w:sz w:val="22"/>
          <w:szCs w:val="22"/>
        </w:rPr>
        <w:tab/>
      </w:r>
      <w:proofErr w:type="spellStart"/>
      <w:r w:rsidRPr="00B0347B">
        <w:rPr>
          <w:rFonts w:ascii="Arial" w:eastAsiaTheme="majorEastAsia" w:hAnsi="Arial" w:cs="Arial"/>
          <w:bCs/>
          <w:sz w:val="22"/>
          <w:szCs w:val="22"/>
        </w:rPr>
        <w:t>XMLsig</w:t>
      </w:r>
      <w:proofErr w:type="spellEnd"/>
      <w:r w:rsidRPr="00B0347B">
        <w:rPr>
          <w:rFonts w:ascii="Arial" w:eastAsiaTheme="majorEastAsia" w:hAnsi="Arial" w:cs="Arial"/>
          <w:bCs/>
          <w:sz w:val="22"/>
          <w:szCs w:val="22"/>
        </w:rPr>
        <w:t xml:space="preserve"> (XML-</w:t>
      </w:r>
      <w:proofErr w:type="spellStart"/>
      <w:r w:rsidRPr="00B0347B">
        <w:rPr>
          <w:rFonts w:ascii="Arial" w:eastAsiaTheme="majorEastAsia" w:hAnsi="Arial" w:cs="Arial"/>
          <w:bCs/>
          <w:sz w:val="22"/>
          <w:szCs w:val="22"/>
        </w:rPr>
        <w:t>Signature</w:t>
      </w:r>
      <w:proofErr w:type="spellEnd"/>
      <w:r w:rsidRPr="00B0347B">
        <w:rPr>
          <w:rFonts w:ascii="Arial" w:eastAsiaTheme="majorEastAsia" w:hAnsi="Arial" w:cs="Arial"/>
          <w:bCs/>
          <w:sz w:val="22"/>
          <w:szCs w:val="22"/>
        </w:rPr>
        <w:t xml:space="preserve"> </w:t>
      </w:r>
      <w:proofErr w:type="spellStart"/>
      <w:r w:rsidRPr="00B0347B">
        <w:rPr>
          <w:rFonts w:ascii="Arial" w:eastAsiaTheme="majorEastAsia" w:hAnsi="Arial" w:cs="Arial"/>
          <w:bCs/>
          <w:sz w:val="22"/>
          <w:szCs w:val="22"/>
        </w:rPr>
        <w:t>Syntax</w:t>
      </w:r>
      <w:proofErr w:type="spellEnd"/>
      <w:r w:rsidRPr="00B0347B">
        <w:rPr>
          <w:rFonts w:ascii="Arial" w:eastAsiaTheme="majorEastAsia" w:hAnsi="Arial" w:cs="Arial"/>
          <w:bCs/>
          <w:sz w:val="22"/>
          <w:szCs w:val="22"/>
        </w:rPr>
        <w:t xml:space="preserve"> and Processing),</w:t>
      </w:r>
    </w:p>
    <w:p w14:paraId="6C351F38" w14:textId="77777777" w:rsidR="00B0347B" w:rsidRPr="00B0347B" w:rsidRDefault="00B0347B" w:rsidP="00811A36">
      <w:pPr>
        <w:pStyle w:val="Akapitzlist"/>
        <w:widowControl w:val="0"/>
        <w:spacing w:before="80" w:after="80"/>
        <w:ind w:left="1414" w:hanging="462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B0347B">
        <w:rPr>
          <w:rFonts w:ascii="Arial" w:eastAsiaTheme="majorEastAsia" w:hAnsi="Arial" w:cs="Arial"/>
          <w:bCs/>
          <w:sz w:val="22"/>
          <w:szCs w:val="22"/>
        </w:rPr>
        <w:t>d)</w:t>
      </w:r>
      <w:r w:rsidRPr="00B0347B">
        <w:rPr>
          <w:rFonts w:ascii="Arial" w:eastAsiaTheme="majorEastAsia" w:hAnsi="Arial" w:cs="Arial"/>
          <w:bCs/>
          <w:sz w:val="22"/>
          <w:szCs w:val="22"/>
        </w:rPr>
        <w:tab/>
        <w:t xml:space="preserve">XSD (ang. XML </w:t>
      </w:r>
      <w:proofErr w:type="spellStart"/>
      <w:r w:rsidRPr="00B0347B">
        <w:rPr>
          <w:rFonts w:ascii="Arial" w:eastAsiaTheme="majorEastAsia" w:hAnsi="Arial" w:cs="Arial"/>
          <w:bCs/>
          <w:sz w:val="22"/>
          <w:szCs w:val="22"/>
        </w:rPr>
        <w:t>Schema</w:t>
      </w:r>
      <w:proofErr w:type="spellEnd"/>
      <w:r w:rsidRPr="00B0347B">
        <w:rPr>
          <w:rFonts w:ascii="Arial" w:eastAsiaTheme="majorEastAsia" w:hAnsi="Arial" w:cs="Arial"/>
          <w:bCs/>
          <w:sz w:val="22"/>
          <w:szCs w:val="22"/>
        </w:rPr>
        <w:t xml:space="preserve"> Definition) w celu weryfikacji dokumentów w przypadku ich wymiany w formacie XML,</w:t>
      </w:r>
    </w:p>
    <w:p w14:paraId="04422A67" w14:textId="466E5507" w:rsidR="000F333C" w:rsidRPr="00B0347B" w:rsidRDefault="00B0347B" w:rsidP="00811A36">
      <w:pPr>
        <w:pStyle w:val="Akapitzlist"/>
        <w:widowControl w:val="0"/>
        <w:spacing w:before="80" w:after="80"/>
        <w:ind w:left="812" w:firstLine="140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B0347B">
        <w:rPr>
          <w:rFonts w:ascii="Arial" w:eastAsiaTheme="majorEastAsia" w:hAnsi="Arial" w:cs="Arial"/>
          <w:bCs/>
          <w:sz w:val="22"/>
          <w:szCs w:val="22"/>
        </w:rPr>
        <w:t>e)</w:t>
      </w:r>
      <w:r w:rsidRPr="00B0347B">
        <w:rPr>
          <w:rFonts w:ascii="Arial" w:eastAsiaTheme="majorEastAsia" w:hAnsi="Arial" w:cs="Arial"/>
          <w:bCs/>
          <w:sz w:val="22"/>
          <w:szCs w:val="22"/>
        </w:rPr>
        <w:tab/>
        <w:t>XSLT (</w:t>
      </w:r>
      <w:proofErr w:type="spellStart"/>
      <w:r w:rsidRPr="00B0347B">
        <w:rPr>
          <w:rFonts w:ascii="Arial" w:eastAsiaTheme="majorEastAsia" w:hAnsi="Arial" w:cs="Arial"/>
          <w:bCs/>
          <w:sz w:val="22"/>
          <w:szCs w:val="22"/>
        </w:rPr>
        <w:t>Extensible</w:t>
      </w:r>
      <w:proofErr w:type="spellEnd"/>
      <w:r w:rsidRPr="00B0347B">
        <w:rPr>
          <w:rFonts w:ascii="Arial" w:eastAsiaTheme="majorEastAsia" w:hAnsi="Arial" w:cs="Arial"/>
          <w:bCs/>
          <w:sz w:val="22"/>
          <w:szCs w:val="22"/>
        </w:rPr>
        <w:t xml:space="preserve"> </w:t>
      </w:r>
      <w:proofErr w:type="spellStart"/>
      <w:r w:rsidRPr="00B0347B">
        <w:rPr>
          <w:rFonts w:ascii="Arial" w:eastAsiaTheme="majorEastAsia" w:hAnsi="Arial" w:cs="Arial"/>
          <w:bCs/>
          <w:sz w:val="22"/>
          <w:szCs w:val="22"/>
        </w:rPr>
        <w:t>Stylesheet</w:t>
      </w:r>
      <w:proofErr w:type="spellEnd"/>
      <w:r w:rsidRPr="00B0347B">
        <w:rPr>
          <w:rFonts w:ascii="Arial" w:eastAsiaTheme="majorEastAsia" w:hAnsi="Arial" w:cs="Arial"/>
          <w:bCs/>
          <w:sz w:val="22"/>
          <w:szCs w:val="22"/>
        </w:rPr>
        <w:t xml:space="preserve"> Language </w:t>
      </w:r>
      <w:proofErr w:type="spellStart"/>
      <w:r w:rsidRPr="00B0347B">
        <w:rPr>
          <w:rFonts w:ascii="Arial" w:eastAsiaTheme="majorEastAsia" w:hAnsi="Arial" w:cs="Arial"/>
          <w:bCs/>
          <w:sz w:val="22"/>
          <w:szCs w:val="22"/>
        </w:rPr>
        <w:t>Transformation</w:t>
      </w:r>
      <w:proofErr w:type="spellEnd"/>
      <w:r w:rsidRPr="00B0347B">
        <w:rPr>
          <w:rFonts w:ascii="Arial" w:eastAsiaTheme="majorEastAsia" w:hAnsi="Arial" w:cs="Arial"/>
          <w:bCs/>
          <w:sz w:val="22"/>
          <w:szCs w:val="22"/>
        </w:rPr>
        <w:t>),</w:t>
      </w:r>
      <w:r w:rsidR="000F333C" w:rsidRPr="00B0347B">
        <w:rPr>
          <w:rFonts w:ascii="Arial" w:eastAsiaTheme="majorEastAsia" w:hAnsi="Arial" w:cs="Arial"/>
          <w:bCs/>
          <w:sz w:val="22"/>
          <w:szCs w:val="22"/>
        </w:rPr>
        <w:t>”</w:t>
      </w:r>
    </w:p>
    <w:p w14:paraId="29087F38" w14:textId="5C098B0D" w:rsidR="000F333C" w:rsidRPr="000F15EE" w:rsidRDefault="000F333C" w:rsidP="00811A36">
      <w:pPr>
        <w:pStyle w:val="Akapitzlist"/>
        <w:widowControl w:val="0"/>
        <w:spacing w:before="80" w:after="80"/>
        <w:ind w:left="812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>zmienia się na treść:</w:t>
      </w:r>
    </w:p>
    <w:p w14:paraId="0A7D30E2" w14:textId="58D2639B" w:rsidR="000F333C" w:rsidRPr="000F15EE" w:rsidRDefault="000F333C" w:rsidP="00811A36">
      <w:pPr>
        <w:pStyle w:val="Akapitzlist"/>
        <w:widowControl w:val="0"/>
        <w:spacing w:before="80" w:after="80"/>
        <w:ind w:left="812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>„</w:t>
      </w:r>
      <w:r w:rsidR="00B0347B" w:rsidRPr="00B0347B">
        <w:rPr>
          <w:rFonts w:ascii="Arial" w:eastAsiaTheme="majorEastAsia" w:hAnsi="Arial" w:cs="Arial"/>
          <w:bCs/>
          <w:sz w:val="22"/>
          <w:szCs w:val="22"/>
        </w:rPr>
        <w:t>Zamawiający nie narzuca protokołu komunikacji pomiędzy modułami</w:t>
      </w:r>
      <w:r w:rsidR="000F15EE" w:rsidRPr="000F15EE">
        <w:rPr>
          <w:rFonts w:ascii="Arial" w:eastAsiaTheme="majorEastAsia" w:hAnsi="Arial" w:cs="Arial"/>
          <w:bCs/>
          <w:sz w:val="22"/>
          <w:szCs w:val="22"/>
        </w:rPr>
        <w:t>”</w:t>
      </w:r>
    </w:p>
    <w:p w14:paraId="18AA4AA0" w14:textId="6326A93F" w:rsidR="00922C42" w:rsidRPr="000F15EE" w:rsidRDefault="00922C42" w:rsidP="00811A36">
      <w:pPr>
        <w:pStyle w:val="Akapitzlist"/>
        <w:widowControl w:val="0"/>
        <w:numPr>
          <w:ilvl w:val="0"/>
          <w:numId w:val="28"/>
        </w:numPr>
        <w:spacing w:before="80" w:after="80"/>
        <w:ind w:left="812" w:hanging="386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>w pkt. 9.9.11 treść:</w:t>
      </w:r>
    </w:p>
    <w:p w14:paraId="57FDAE3F" w14:textId="31642CCC" w:rsidR="00922C42" w:rsidRPr="000F15EE" w:rsidRDefault="00922C42" w:rsidP="00811A36">
      <w:pPr>
        <w:pStyle w:val="Akapitzlist"/>
        <w:widowControl w:val="0"/>
        <w:spacing w:before="80" w:after="80"/>
        <w:ind w:left="812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 xml:space="preserve">„Komunikacja pomiędzy poszczególnymi modułami systemu będzie się odbywała z </w:t>
      </w:r>
      <w:r w:rsidRPr="000F15EE">
        <w:rPr>
          <w:rFonts w:ascii="Arial" w:eastAsiaTheme="majorEastAsia" w:hAnsi="Arial" w:cs="Arial"/>
          <w:bCs/>
          <w:sz w:val="22"/>
          <w:szCs w:val="22"/>
        </w:rPr>
        <w:lastRenderedPageBreak/>
        <w:t>wykorzystaniem tablic bazy danych i protokołu MQTT.”</w:t>
      </w:r>
    </w:p>
    <w:p w14:paraId="3A1283B9" w14:textId="77777777" w:rsidR="00922C42" w:rsidRPr="000F15EE" w:rsidRDefault="00922C42" w:rsidP="00811A36">
      <w:pPr>
        <w:pStyle w:val="Akapitzlist"/>
        <w:widowControl w:val="0"/>
        <w:spacing w:before="80" w:after="80"/>
        <w:ind w:left="812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>zmienia się na treść:</w:t>
      </w:r>
    </w:p>
    <w:p w14:paraId="73542C11" w14:textId="69A347FC" w:rsidR="00922C42" w:rsidRPr="000F15EE" w:rsidRDefault="00922C42" w:rsidP="00811A36">
      <w:pPr>
        <w:pStyle w:val="Akapitzlist"/>
        <w:widowControl w:val="0"/>
        <w:spacing w:before="80" w:after="80"/>
        <w:ind w:left="812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 xml:space="preserve">„Komunikacja pomiędzy poszczególnymi modułami systemu będzie się odbywała z wykorzystaniem tablic bazy </w:t>
      </w:r>
      <w:r w:rsidRPr="00A81C25">
        <w:rPr>
          <w:rFonts w:ascii="Arial" w:eastAsiaTheme="majorEastAsia" w:hAnsi="Arial" w:cs="Arial"/>
          <w:bCs/>
          <w:sz w:val="22"/>
          <w:szCs w:val="22"/>
        </w:rPr>
        <w:t xml:space="preserve">danych </w:t>
      </w:r>
      <w:bookmarkStart w:id="22" w:name="_Hlk124497853"/>
      <w:r w:rsidRPr="00A81C25">
        <w:rPr>
          <w:rFonts w:ascii="Arial" w:eastAsiaTheme="majorEastAsia" w:hAnsi="Arial" w:cs="Arial"/>
          <w:bCs/>
          <w:sz w:val="22"/>
          <w:szCs w:val="22"/>
        </w:rPr>
        <w:t>i protokołów sieciowych</w:t>
      </w:r>
      <w:bookmarkEnd w:id="22"/>
      <w:r w:rsidR="00A81C25" w:rsidRPr="00A81C25">
        <w:rPr>
          <w:rFonts w:ascii="Arial" w:eastAsiaTheme="majorEastAsia" w:hAnsi="Arial" w:cs="Arial"/>
          <w:bCs/>
          <w:sz w:val="22"/>
          <w:szCs w:val="22"/>
        </w:rPr>
        <w:t>”</w:t>
      </w:r>
    </w:p>
    <w:p w14:paraId="06C21857" w14:textId="2E228EF4" w:rsidR="00922C42" w:rsidRPr="000F15EE" w:rsidRDefault="00922C42" w:rsidP="00811A36">
      <w:pPr>
        <w:pStyle w:val="Akapitzlist"/>
        <w:widowControl w:val="0"/>
        <w:numPr>
          <w:ilvl w:val="0"/>
          <w:numId w:val="28"/>
        </w:numPr>
        <w:spacing w:before="80" w:after="80"/>
        <w:ind w:left="812" w:hanging="386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>w pkt. 9.11.5 usuwa się treść:</w:t>
      </w:r>
    </w:p>
    <w:p w14:paraId="5F2C7441" w14:textId="66115FBA" w:rsidR="00922C42" w:rsidRDefault="00922C42" w:rsidP="00811A36">
      <w:pPr>
        <w:pStyle w:val="Akapitzlist"/>
        <w:widowControl w:val="0"/>
        <w:spacing w:before="80" w:after="80"/>
        <w:ind w:left="812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 xml:space="preserve">„– MQTT, </w:t>
      </w:r>
      <w:proofErr w:type="spellStart"/>
      <w:r w:rsidRPr="000F15EE">
        <w:rPr>
          <w:rFonts w:ascii="Arial" w:eastAsiaTheme="majorEastAsia" w:hAnsi="Arial" w:cs="Arial"/>
          <w:bCs/>
          <w:sz w:val="22"/>
          <w:szCs w:val="22"/>
        </w:rPr>
        <w:t>mosquito</w:t>
      </w:r>
      <w:proofErr w:type="spellEnd"/>
      <w:r w:rsidRPr="000F15EE">
        <w:rPr>
          <w:rFonts w:ascii="Arial" w:eastAsiaTheme="majorEastAsia" w:hAnsi="Arial" w:cs="Arial"/>
          <w:bCs/>
          <w:sz w:val="22"/>
          <w:szCs w:val="22"/>
        </w:rPr>
        <w:t xml:space="preserve">, </w:t>
      </w:r>
      <w:proofErr w:type="spellStart"/>
      <w:r w:rsidRPr="000F15EE">
        <w:rPr>
          <w:rFonts w:ascii="Arial" w:eastAsiaTheme="majorEastAsia" w:hAnsi="Arial" w:cs="Arial"/>
          <w:bCs/>
          <w:sz w:val="22"/>
          <w:szCs w:val="22"/>
        </w:rPr>
        <w:t>Python</w:t>
      </w:r>
      <w:proofErr w:type="spellEnd"/>
      <w:r w:rsidRPr="000F15EE">
        <w:rPr>
          <w:rFonts w:ascii="Arial" w:eastAsiaTheme="majorEastAsia" w:hAnsi="Arial" w:cs="Arial"/>
          <w:bCs/>
          <w:sz w:val="22"/>
          <w:szCs w:val="22"/>
        </w:rPr>
        <w:t>”</w:t>
      </w:r>
    </w:p>
    <w:p w14:paraId="0B136DC1" w14:textId="50DC0017" w:rsidR="00B0347B" w:rsidRPr="000F15EE" w:rsidRDefault="00B0347B" w:rsidP="00811A36">
      <w:pPr>
        <w:pStyle w:val="Akapitzlist"/>
        <w:widowControl w:val="0"/>
        <w:numPr>
          <w:ilvl w:val="0"/>
          <w:numId w:val="28"/>
        </w:numPr>
        <w:spacing w:before="80" w:after="80"/>
        <w:ind w:left="812" w:hanging="364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 xml:space="preserve">w </w:t>
      </w:r>
      <w:r w:rsidRPr="00B0347B">
        <w:rPr>
          <w:rFonts w:ascii="Arial" w:eastAsiaTheme="majorEastAsia" w:hAnsi="Arial" w:cs="Arial"/>
          <w:bCs/>
          <w:sz w:val="22"/>
          <w:szCs w:val="22"/>
        </w:rPr>
        <w:t>pkt. 2 usuwa się treść</w:t>
      </w:r>
      <w:r w:rsidRPr="000F15EE">
        <w:rPr>
          <w:rFonts w:ascii="Arial" w:eastAsiaTheme="majorEastAsia" w:hAnsi="Arial" w:cs="Arial"/>
          <w:bCs/>
          <w:sz w:val="22"/>
          <w:szCs w:val="22"/>
        </w:rPr>
        <w:t>:</w:t>
      </w:r>
    </w:p>
    <w:p w14:paraId="7AF1F4B4" w14:textId="41362CA7" w:rsidR="00B0347B" w:rsidRDefault="00B0347B" w:rsidP="00811A36">
      <w:pPr>
        <w:pStyle w:val="Akapitzlist"/>
        <w:widowControl w:val="0"/>
        <w:spacing w:before="80" w:after="80"/>
        <w:ind w:left="1701" w:hanging="850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>„</w:t>
      </w:r>
      <w:r w:rsidRPr="00B0347B">
        <w:rPr>
          <w:rFonts w:ascii="Arial" w:eastAsiaTheme="majorEastAsia" w:hAnsi="Arial" w:cs="Arial"/>
          <w:b/>
          <w:sz w:val="22"/>
          <w:szCs w:val="22"/>
        </w:rPr>
        <w:t>WSDL</w:t>
      </w:r>
      <w:r w:rsidRPr="00B0347B">
        <w:rPr>
          <w:rFonts w:ascii="Arial" w:eastAsiaTheme="majorEastAsia" w:hAnsi="Arial" w:cs="Arial"/>
          <w:bCs/>
          <w:sz w:val="22"/>
          <w:szCs w:val="22"/>
        </w:rPr>
        <w:t xml:space="preserve"> – [ang. Web Services </w:t>
      </w:r>
      <w:proofErr w:type="spellStart"/>
      <w:r w:rsidRPr="00B0347B">
        <w:rPr>
          <w:rFonts w:ascii="Arial" w:eastAsiaTheme="majorEastAsia" w:hAnsi="Arial" w:cs="Arial"/>
          <w:bCs/>
          <w:sz w:val="22"/>
          <w:szCs w:val="22"/>
        </w:rPr>
        <w:t>Description</w:t>
      </w:r>
      <w:proofErr w:type="spellEnd"/>
      <w:r w:rsidRPr="00B0347B">
        <w:rPr>
          <w:rFonts w:ascii="Arial" w:eastAsiaTheme="majorEastAsia" w:hAnsi="Arial" w:cs="Arial"/>
          <w:bCs/>
          <w:sz w:val="22"/>
          <w:szCs w:val="22"/>
        </w:rPr>
        <w:t xml:space="preserve"> Language] - język definiowania usług sieciowych umożliwiających automatyczną komunikację danych pomiędzy systemami teleinformatycznymi.</w:t>
      </w:r>
      <w:r w:rsidR="00A81C25">
        <w:rPr>
          <w:rFonts w:ascii="Arial" w:eastAsiaTheme="majorEastAsia" w:hAnsi="Arial" w:cs="Arial"/>
          <w:bCs/>
          <w:sz w:val="22"/>
          <w:szCs w:val="22"/>
        </w:rPr>
        <w:t>”</w:t>
      </w:r>
    </w:p>
    <w:p w14:paraId="036640FC" w14:textId="6DE710E5" w:rsidR="00B0347B" w:rsidRPr="00C87246" w:rsidRDefault="00B0347B" w:rsidP="00811A36">
      <w:pPr>
        <w:pStyle w:val="Akapitzlist"/>
        <w:widowControl w:val="0"/>
        <w:spacing w:before="80" w:after="80"/>
        <w:ind w:left="1701" w:hanging="763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proofErr w:type="spellStart"/>
      <w:r w:rsidRPr="00B0347B">
        <w:rPr>
          <w:rFonts w:ascii="Arial" w:eastAsiaTheme="majorEastAsia" w:hAnsi="Arial" w:cs="Arial"/>
          <w:b/>
          <w:sz w:val="22"/>
          <w:szCs w:val="22"/>
        </w:rPr>
        <w:t>XMLsig</w:t>
      </w:r>
      <w:proofErr w:type="spellEnd"/>
      <w:r w:rsidRPr="00B0347B">
        <w:rPr>
          <w:rFonts w:ascii="Arial" w:eastAsiaTheme="majorEastAsia" w:hAnsi="Arial" w:cs="Arial"/>
          <w:bCs/>
          <w:sz w:val="22"/>
          <w:szCs w:val="22"/>
        </w:rPr>
        <w:t xml:space="preserve"> – [ang. XML-</w:t>
      </w:r>
      <w:proofErr w:type="spellStart"/>
      <w:r w:rsidRPr="00B0347B">
        <w:rPr>
          <w:rFonts w:ascii="Arial" w:eastAsiaTheme="majorEastAsia" w:hAnsi="Arial" w:cs="Arial"/>
          <w:bCs/>
          <w:sz w:val="22"/>
          <w:szCs w:val="22"/>
        </w:rPr>
        <w:t>Signature</w:t>
      </w:r>
      <w:proofErr w:type="spellEnd"/>
      <w:r w:rsidRPr="00B0347B">
        <w:rPr>
          <w:rFonts w:ascii="Arial" w:eastAsiaTheme="majorEastAsia" w:hAnsi="Arial" w:cs="Arial"/>
          <w:bCs/>
          <w:sz w:val="22"/>
          <w:szCs w:val="22"/>
        </w:rPr>
        <w:t xml:space="preserve"> </w:t>
      </w:r>
      <w:proofErr w:type="spellStart"/>
      <w:r w:rsidRPr="00B0347B">
        <w:rPr>
          <w:rFonts w:ascii="Arial" w:eastAsiaTheme="majorEastAsia" w:hAnsi="Arial" w:cs="Arial"/>
          <w:bCs/>
          <w:sz w:val="22"/>
          <w:szCs w:val="22"/>
        </w:rPr>
        <w:t>Syntax</w:t>
      </w:r>
      <w:proofErr w:type="spellEnd"/>
      <w:r w:rsidRPr="00B0347B">
        <w:rPr>
          <w:rFonts w:ascii="Arial" w:eastAsiaTheme="majorEastAsia" w:hAnsi="Arial" w:cs="Arial"/>
          <w:bCs/>
          <w:sz w:val="22"/>
          <w:szCs w:val="22"/>
        </w:rPr>
        <w:t xml:space="preserve"> and Processing] – struktura definiująca składnię dla elektronicznie podpisywanych dokumentów XML.</w:t>
      </w:r>
      <w:r w:rsidRPr="00C87246">
        <w:rPr>
          <w:rFonts w:ascii="Arial" w:eastAsiaTheme="majorEastAsia" w:hAnsi="Arial" w:cs="Arial"/>
          <w:bCs/>
          <w:sz w:val="22"/>
          <w:szCs w:val="22"/>
        </w:rPr>
        <w:t>”</w:t>
      </w:r>
    </w:p>
    <w:p w14:paraId="45830022" w14:textId="41C29023" w:rsidR="00B0347B" w:rsidRPr="000F15EE" w:rsidRDefault="00B0347B" w:rsidP="00811A36">
      <w:pPr>
        <w:pStyle w:val="Akapitzlist"/>
        <w:widowControl w:val="0"/>
        <w:numPr>
          <w:ilvl w:val="0"/>
          <w:numId w:val="28"/>
        </w:numPr>
        <w:spacing w:before="80" w:after="80"/>
        <w:ind w:left="812" w:hanging="386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B0347B">
        <w:rPr>
          <w:rFonts w:ascii="Arial" w:eastAsiaTheme="majorEastAsia" w:hAnsi="Arial" w:cs="Arial"/>
          <w:bCs/>
          <w:sz w:val="22"/>
          <w:szCs w:val="22"/>
        </w:rPr>
        <w:t>w pkt. 2 usuwa się treść:</w:t>
      </w:r>
    </w:p>
    <w:p w14:paraId="4DA8F1AA" w14:textId="52F7197C" w:rsidR="00B0347B" w:rsidRDefault="00B0347B" w:rsidP="00811A36">
      <w:pPr>
        <w:pStyle w:val="Akapitzlist"/>
        <w:widowControl w:val="0"/>
        <w:spacing w:before="80" w:after="80"/>
        <w:ind w:left="1701" w:hanging="889"/>
        <w:contextualSpacing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0F15EE">
        <w:rPr>
          <w:rFonts w:ascii="Arial" w:eastAsiaTheme="majorEastAsia" w:hAnsi="Arial" w:cs="Arial"/>
          <w:bCs/>
          <w:sz w:val="22"/>
          <w:szCs w:val="22"/>
        </w:rPr>
        <w:t>„</w:t>
      </w:r>
      <w:r w:rsidR="00C87246" w:rsidRPr="00C87246">
        <w:rPr>
          <w:rFonts w:ascii="Arial" w:eastAsiaTheme="majorEastAsia" w:hAnsi="Arial" w:cs="Arial"/>
          <w:b/>
          <w:sz w:val="22"/>
          <w:szCs w:val="22"/>
        </w:rPr>
        <w:t>FORMAT XSLT</w:t>
      </w:r>
      <w:r w:rsidR="00C87246" w:rsidRPr="00C87246">
        <w:rPr>
          <w:rFonts w:ascii="Arial" w:eastAsiaTheme="majorEastAsia" w:hAnsi="Arial" w:cs="Arial"/>
          <w:bCs/>
          <w:sz w:val="22"/>
          <w:szCs w:val="22"/>
        </w:rPr>
        <w:t xml:space="preserve"> - [ang. </w:t>
      </w:r>
      <w:proofErr w:type="spellStart"/>
      <w:r w:rsidR="00C87246" w:rsidRPr="00C87246">
        <w:rPr>
          <w:rFonts w:ascii="Arial" w:eastAsiaTheme="majorEastAsia" w:hAnsi="Arial" w:cs="Arial"/>
          <w:bCs/>
          <w:sz w:val="22"/>
          <w:szCs w:val="22"/>
        </w:rPr>
        <w:t>Extensible</w:t>
      </w:r>
      <w:proofErr w:type="spellEnd"/>
      <w:r w:rsidR="00C87246" w:rsidRPr="00C87246">
        <w:rPr>
          <w:rFonts w:ascii="Arial" w:eastAsiaTheme="majorEastAsia" w:hAnsi="Arial" w:cs="Arial"/>
          <w:bCs/>
          <w:sz w:val="22"/>
          <w:szCs w:val="22"/>
        </w:rPr>
        <w:t xml:space="preserve"> </w:t>
      </w:r>
      <w:proofErr w:type="spellStart"/>
      <w:r w:rsidR="00C87246" w:rsidRPr="00C87246">
        <w:rPr>
          <w:rFonts w:ascii="Arial" w:eastAsiaTheme="majorEastAsia" w:hAnsi="Arial" w:cs="Arial"/>
          <w:bCs/>
          <w:sz w:val="22"/>
          <w:szCs w:val="22"/>
        </w:rPr>
        <w:t>Stylesheet</w:t>
      </w:r>
      <w:proofErr w:type="spellEnd"/>
      <w:r w:rsidR="00C87246" w:rsidRPr="00C87246">
        <w:rPr>
          <w:rFonts w:ascii="Arial" w:eastAsiaTheme="majorEastAsia" w:hAnsi="Arial" w:cs="Arial"/>
          <w:bCs/>
          <w:sz w:val="22"/>
          <w:szCs w:val="22"/>
        </w:rPr>
        <w:t xml:space="preserve"> Language </w:t>
      </w:r>
      <w:proofErr w:type="spellStart"/>
      <w:r w:rsidR="00C87246" w:rsidRPr="00C87246">
        <w:rPr>
          <w:rFonts w:ascii="Arial" w:eastAsiaTheme="majorEastAsia" w:hAnsi="Arial" w:cs="Arial"/>
          <w:bCs/>
          <w:sz w:val="22"/>
          <w:szCs w:val="22"/>
        </w:rPr>
        <w:t>Transformation</w:t>
      </w:r>
      <w:proofErr w:type="spellEnd"/>
      <w:r w:rsidR="00C87246" w:rsidRPr="00C87246">
        <w:rPr>
          <w:rFonts w:ascii="Arial" w:eastAsiaTheme="majorEastAsia" w:hAnsi="Arial" w:cs="Arial"/>
          <w:bCs/>
          <w:sz w:val="22"/>
          <w:szCs w:val="22"/>
        </w:rPr>
        <w:t>]- oparty na XML język przekształceń dokumentów XML. Pozwala na przetłumaczenie dokumentów z jednego formatu XML na dowolny inny format zgodny ze składnią XML, jak również na zwykły HTML i czysty tekst. XSLT jest kompletny w sensie Turinga.</w:t>
      </w:r>
      <w:r w:rsidRPr="000F15EE">
        <w:rPr>
          <w:rFonts w:ascii="Arial" w:eastAsiaTheme="majorEastAsia" w:hAnsi="Arial" w:cs="Arial"/>
          <w:bCs/>
          <w:sz w:val="22"/>
          <w:szCs w:val="22"/>
        </w:rPr>
        <w:t>”</w:t>
      </w:r>
    </w:p>
    <w:p w14:paraId="318DB396" w14:textId="77777777" w:rsidR="00B0347B" w:rsidRPr="00F80B69" w:rsidRDefault="00B0347B" w:rsidP="00811A36">
      <w:pPr>
        <w:pStyle w:val="Akapitzlist"/>
        <w:widowControl w:val="0"/>
        <w:ind w:left="812"/>
        <w:jc w:val="both"/>
        <w:rPr>
          <w:rFonts w:ascii="Arial" w:eastAsiaTheme="majorEastAsia" w:hAnsi="Arial" w:cs="Arial"/>
          <w:bCs/>
          <w:sz w:val="22"/>
          <w:szCs w:val="22"/>
          <w:highlight w:val="yellow"/>
        </w:rPr>
      </w:pPr>
    </w:p>
    <w:p w14:paraId="0C1BE6A0" w14:textId="5DD01140" w:rsidR="00144591" w:rsidRPr="00E25B91" w:rsidRDefault="00144591" w:rsidP="00811A36">
      <w:pPr>
        <w:widowControl w:val="0"/>
        <w:tabs>
          <w:tab w:val="left" w:pos="300"/>
          <w:tab w:val="center" w:pos="4513"/>
          <w:tab w:val="right" w:pos="9639"/>
        </w:tabs>
        <w:rPr>
          <w:rFonts w:ascii="Arial" w:eastAsiaTheme="majorEastAsia" w:hAnsi="Arial" w:cs="Arial"/>
          <w:bCs/>
          <w:sz w:val="22"/>
          <w:szCs w:val="22"/>
        </w:rPr>
      </w:pPr>
      <w:r w:rsidRPr="00E25B91">
        <w:rPr>
          <w:rFonts w:ascii="Arial" w:eastAsiaTheme="majorEastAsia" w:hAnsi="Arial" w:cs="Arial"/>
          <w:bCs/>
          <w:sz w:val="22"/>
          <w:szCs w:val="22"/>
        </w:rPr>
        <w:t>Powyższe wyjaśnienia</w:t>
      </w:r>
      <w:r w:rsidR="00231065" w:rsidRPr="00E25B91">
        <w:rPr>
          <w:rFonts w:ascii="Arial" w:eastAsiaTheme="majorEastAsia" w:hAnsi="Arial" w:cs="Arial"/>
          <w:bCs/>
          <w:sz w:val="22"/>
          <w:szCs w:val="22"/>
        </w:rPr>
        <w:t xml:space="preserve"> i zmiany </w:t>
      </w:r>
      <w:r w:rsidRPr="00E25B91">
        <w:rPr>
          <w:rFonts w:ascii="Arial" w:eastAsiaTheme="majorEastAsia" w:hAnsi="Arial" w:cs="Arial"/>
          <w:bCs/>
          <w:sz w:val="22"/>
          <w:szCs w:val="22"/>
        </w:rPr>
        <w:t xml:space="preserve">należy uwzględnić w treści składanych ofert. </w:t>
      </w:r>
    </w:p>
    <w:p w14:paraId="7F34C644" w14:textId="77777777" w:rsidR="008B5BD2" w:rsidRPr="00144591" w:rsidRDefault="008B5BD2" w:rsidP="00811A36">
      <w:pPr>
        <w:pStyle w:val="Tekstpodstawowy2"/>
        <w:widowControl w:val="0"/>
        <w:jc w:val="left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204146F0" w14:textId="77777777" w:rsidR="00FE0DE2" w:rsidRPr="00144591" w:rsidRDefault="00FE0DE2" w:rsidP="00811A36">
      <w:pPr>
        <w:pStyle w:val="Tekstpodstawowy2"/>
        <w:widowControl w:val="0"/>
        <w:jc w:val="left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20DBE5F3" w14:textId="77777777" w:rsidR="00A04DD4" w:rsidRDefault="00A04DD4" w:rsidP="00A04DD4">
      <w:pPr>
        <w:pStyle w:val="ust"/>
        <w:widowControl w:val="0"/>
        <w:ind w:left="5664" w:hanging="986"/>
        <w:rPr>
          <w:rFonts w:ascii="Arial" w:hAnsi="Arial" w:cs="Arial"/>
          <w:sz w:val="22"/>
          <w:szCs w:val="22"/>
        </w:rPr>
      </w:pPr>
      <w:r w:rsidRPr="00277690">
        <w:rPr>
          <w:rFonts w:ascii="Arial" w:hAnsi="Arial" w:cs="Arial"/>
          <w:sz w:val="22"/>
          <w:szCs w:val="22"/>
        </w:rPr>
        <w:t>W imieniu Zamawiającego</w:t>
      </w:r>
    </w:p>
    <w:p w14:paraId="2F11513A" w14:textId="77777777" w:rsidR="00A04DD4" w:rsidRPr="00315C61" w:rsidRDefault="00A04DD4" w:rsidP="00A04DD4">
      <w:pPr>
        <w:pStyle w:val="ust"/>
        <w:widowControl w:val="0"/>
        <w:ind w:left="5664" w:hanging="135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A04DD4" w14:paraId="042E7CB4" w14:textId="77777777" w:rsidTr="00024660">
        <w:tc>
          <w:tcPr>
            <w:tcW w:w="3115" w:type="dxa"/>
          </w:tcPr>
          <w:p w14:paraId="4665EF84" w14:textId="77777777" w:rsidR="00A04DD4" w:rsidRPr="00FB05B1" w:rsidRDefault="00A04DD4" w:rsidP="0002466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5B1"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4FA285CD" w14:textId="77777777" w:rsidR="00A04DD4" w:rsidRPr="00FB05B1" w:rsidRDefault="00A04DD4" w:rsidP="0002466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5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mgr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Ewa Szczepkowska</w:t>
            </w:r>
          </w:p>
          <w:p w14:paraId="28F3E410" w14:textId="77777777" w:rsidR="00A04DD4" w:rsidRDefault="00A04DD4" w:rsidP="00024660">
            <w:pPr>
              <w:pStyle w:val="ust"/>
              <w:widowControl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5B1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</w:tcPr>
          <w:p w14:paraId="2F810471" w14:textId="77777777" w:rsidR="00A04DD4" w:rsidRDefault="00A04DD4" w:rsidP="0002466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4FF0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 Zarządu</w:t>
            </w:r>
          </w:p>
          <w:p w14:paraId="03943999" w14:textId="77777777" w:rsidR="00A04DD4" w:rsidRDefault="00A04DD4" w:rsidP="0002466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4FF0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Stanisław Drzewiecki</w:t>
            </w:r>
          </w:p>
          <w:p w14:paraId="68724E30" w14:textId="77777777" w:rsidR="00A04DD4" w:rsidRDefault="00A04DD4" w:rsidP="00024660">
            <w:pPr>
              <w:pStyle w:val="ust"/>
              <w:widowControl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FF0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626111FB" w14:textId="32988966" w:rsidR="001C3B26" w:rsidRPr="00173208" w:rsidRDefault="001C3B26" w:rsidP="00A04DD4">
      <w:pPr>
        <w:pStyle w:val="ust"/>
        <w:ind w:left="5664" w:firstLine="708"/>
        <w:rPr>
          <w:rFonts w:ascii="Arial" w:hAnsi="Arial" w:cs="Arial"/>
          <w:color w:val="000000" w:themeColor="text1"/>
          <w:sz w:val="22"/>
          <w:szCs w:val="22"/>
        </w:rPr>
      </w:pPr>
    </w:p>
    <w:sectPr w:rsidR="001C3B26" w:rsidRPr="00173208" w:rsidSect="00811A36">
      <w:footerReference w:type="default" r:id="rId9"/>
      <w:footerReference w:type="first" r:id="rId10"/>
      <w:pgSz w:w="11906" w:h="16838" w:code="9"/>
      <w:pgMar w:top="1418" w:right="1418" w:bottom="1701" w:left="1418" w:header="709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20FB" w14:textId="77777777" w:rsidR="00843D64" w:rsidRDefault="00843D64" w:rsidP="0090432D">
      <w:r>
        <w:separator/>
      </w:r>
    </w:p>
  </w:endnote>
  <w:endnote w:type="continuationSeparator" w:id="0">
    <w:p w14:paraId="70C0A417" w14:textId="77777777" w:rsidR="00843D64" w:rsidRDefault="00843D64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13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10607" w14:textId="6D13E8A9" w:rsidR="00DA0BA6" w:rsidRDefault="00DA0BA6">
            <w:pPr>
              <w:pStyle w:val="Stopka"/>
              <w:jc w:val="right"/>
            </w:pPr>
            <w:r w:rsidRPr="00DA0BA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A0BA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4CAA7C" w14:textId="77777777" w:rsidR="00DA0BA6" w:rsidRDefault="00DA0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8342" w14:textId="6E29BB0C" w:rsidR="00144591" w:rsidRDefault="000D6928">
    <w:pPr>
      <w:pStyle w:val="Stopka"/>
    </w:pPr>
    <w:r>
      <w:rPr>
        <w:noProof/>
        <w:sz w:val="20"/>
        <w:szCs w:val="20"/>
      </w:rPr>
      <w:drawing>
        <wp:inline distT="0" distB="0" distL="0" distR="0" wp14:anchorId="034DCA9A" wp14:editId="5A62369B">
          <wp:extent cx="5753100" cy="84602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2CB0" w14:textId="77777777" w:rsidR="00843D64" w:rsidRDefault="00843D64" w:rsidP="0090432D">
      <w:r>
        <w:separator/>
      </w:r>
    </w:p>
  </w:footnote>
  <w:footnote w:type="continuationSeparator" w:id="0">
    <w:p w14:paraId="4EDE119F" w14:textId="77777777" w:rsidR="00843D64" w:rsidRDefault="00843D64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02925499"/>
    <w:multiLevelType w:val="hybridMultilevel"/>
    <w:tmpl w:val="E7E618BE"/>
    <w:lvl w:ilvl="0" w:tplc="B78C0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276E49"/>
    <w:multiLevelType w:val="hybridMultilevel"/>
    <w:tmpl w:val="1B88AB40"/>
    <w:lvl w:ilvl="0" w:tplc="29D67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690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DA16D6"/>
    <w:multiLevelType w:val="hybridMultilevel"/>
    <w:tmpl w:val="C21E793A"/>
    <w:lvl w:ilvl="0" w:tplc="EA9288A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0B56BAF"/>
    <w:multiLevelType w:val="hybridMultilevel"/>
    <w:tmpl w:val="0F3AA1BC"/>
    <w:lvl w:ilvl="0" w:tplc="FA647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EF1669"/>
    <w:multiLevelType w:val="hybridMultilevel"/>
    <w:tmpl w:val="9AC02F0E"/>
    <w:lvl w:ilvl="0" w:tplc="A1083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51EF5"/>
    <w:multiLevelType w:val="hybridMultilevel"/>
    <w:tmpl w:val="A7F84984"/>
    <w:lvl w:ilvl="0" w:tplc="AD38A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E0CFD"/>
    <w:multiLevelType w:val="hybridMultilevel"/>
    <w:tmpl w:val="F7EC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EFE"/>
    <w:multiLevelType w:val="hybridMultilevel"/>
    <w:tmpl w:val="6AB8ABE8"/>
    <w:lvl w:ilvl="0" w:tplc="04150005">
      <w:start w:val="1"/>
      <w:numFmt w:val="bullet"/>
      <w:pStyle w:val="Podpunkt2-WZ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E2AD672">
      <w:start w:val="1"/>
      <w:numFmt w:val="bullet"/>
      <w:lvlText w:val="-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9C0334"/>
    <w:multiLevelType w:val="hybridMultilevel"/>
    <w:tmpl w:val="0D48E7C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5D122FD"/>
    <w:multiLevelType w:val="multilevel"/>
    <w:tmpl w:val="0136AE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1393C"/>
    <w:multiLevelType w:val="hybridMultilevel"/>
    <w:tmpl w:val="7A2A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26C0C"/>
    <w:multiLevelType w:val="hybridMultilevel"/>
    <w:tmpl w:val="16980C64"/>
    <w:lvl w:ilvl="0" w:tplc="AF303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00533"/>
    <w:multiLevelType w:val="hybridMultilevel"/>
    <w:tmpl w:val="042092B8"/>
    <w:lvl w:ilvl="0" w:tplc="2E0AC39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23565"/>
    <w:multiLevelType w:val="hybridMultilevel"/>
    <w:tmpl w:val="5DA638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27213D8"/>
    <w:multiLevelType w:val="hybridMultilevel"/>
    <w:tmpl w:val="B21C63F8"/>
    <w:lvl w:ilvl="0" w:tplc="BDECA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B96812"/>
    <w:multiLevelType w:val="hybridMultilevel"/>
    <w:tmpl w:val="2BD010C2"/>
    <w:lvl w:ilvl="0" w:tplc="53F2EBF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45DEE"/>
    <w:multiLevelType w:val="hybridMultilevel"/>
    <w:tmpl w:val="7C6A60FA"/>
    <w:lvl w:ilvl="0" w:tplc="CAFEF9A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5AC21C1B"/>
    <w:multiLevelType w:val="hybridMultilevel"/>
    <w:tmpl w:val="EE083E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F7852"/>
    <w:multiLevelType w:val="hybridMultilevel"/>
    <w:tmpl w:val="766A2E3A"/>
    <w:lvl w:ilvl="0" w:tplc="7D744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ED76AB"/>
    <w:multiLevelType w:val="hybridMultilevel"/>
    <w:tmpl w:val="A522A03A"/>
    <w:lvl w:ilvl="0" w:tplc="EA9288A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4F82128"/>
    <w:multiLevelType w:val="hybridMultilevel"/>
    <w:tmpl w:val="7A2A1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AC6"/>
    <w:multiLevelType w:val="hybridMultilevel"/>
    <w:tmpl w:val="1D826FC0"/>
    <w:lvl w:ilvl="0" w:tplc="EEFCF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D30A3"/>
    <w:multiLevelType w:val="hybridMultilevel"/>
    <w:tmpl w:val="CB725F38"/>
    <w:lvl w:ilvl="0" w:tplc="042A0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10"/>
  </w:num>
  <w:num w:numId="3" w16cid:durableId="1907377972">
    <w:abstractNumId w:val="23"/>
  </w:num>
  <w:num w:numId="4" w16cid:durableId="2056540804">
    <w:abstractNumId w:val="22"/>
  </w:num>
  <w:num w:numId="5" w16cid:durableId="1719548836">
    <w:abstractNumId w:val="7"/>
  </w:num>
  <w:num w:numId="6" w16cid:durableId="1010065225">
    <w:abstractNumId w:val="18"/>
  </w:num>
  <w:num w:numId="7" w16cid:durableId="2134402467">
    <w:abstractNumId w:val="5"/>
  </w:num>
  <w:num w:numId="8" w16cid:durableId="17315284">
    <w:abstractNumId w:val="14"/>
  </w:num>
  <w:num w:numId="9" w16cid:durableId="1143889789">
    <w:abstractNumId w:val="26"/>
  </w:num>
  <w:num w:numId="10" w16cid:durableId="1611157719">
    <w:abstractNumId w:val="9"/>
  </w:num>
  <w:num w:numId="11" w16cid:durableId="1598513125">
    <w:abstractNumId w:val="3"/>
  </w:num>
  <w:num w:numId="12" w16cid:durableId="220561305">
    <w:abstractNumId w:val="19"/>
  </w:num>
  <w:num w:numId="13" w16cid:durableId="1425686026">
    <w:abstractNumId w:val="27"/>
  </w:num>
  <w:num w:numId="14" w16cid:durableId="1736128426">
    <w:abstractNumId w:val="1"/>
  </w:num>
  <w:num w:numId="15" w16cid:durableId="1149515946">
    <w:abstractNumId w:val="8"/>
  </w:num>
  <w:num w:numId="16" w16cid:durableId="353652839">
    <w:abstractNumId w:val="2"/>
  </w:num>
  <w:num w:numId="17" w16cid:durableId="1476793720">
    <w:abstractNumId w:val="16"/>
  </w:num>
  <w:num w:numId="18" w16cid:durableId="868447788">
    <w:abstractNumId w:val="13"/>
  </w:num>
  <w:num w:numId="19" w16cid:durableId="615063165">
    <w:abstractNumId w:val="21"/>
  </w:num>
  <w:num w:numId="20" w16cid:durableId="1744329302">
    <w:abstractNumId w:val="17"/>
  </w:num>
  <w:num w:numId="21" w16cid:durableId="1104304648">
    <w:abstractNumId w:val="12"/>
  </w:num>
  <w:num w:numId="22" w16cid:durableId="762527123">
    <w:abstractNumId w:val="4"/>
  </w:num>
  <w:num w:numId="23" w16cid:durableId="161169514">
    <w:abstractNumId w:val="25"/>
  </w:num>
  <w:num w:numId="24" w16cid:durableId="449125269">
    <w:abstractNumId w:val="20"/>
  </w:num>
  <w:num w:numId="25" w16cid:durableId="854156504">
    <w:abstractNumId w:val="11"/>
  </w:num>
  <w:num w:numId="26" w16cid:durableId="1485777877">
    <w:abstractNumId w:val="15"/>
  </w:num>
  <w:num w:numId="27" w16cid:durableId="1029262105">
    <w:abstractNumId w:val="6"/>
  </w:num>
  <w:num w:numId="28" w16cid:durableId="1495535890">
    <w:abstractNumId w:val="28"/>
  </w:num>
  <w:num w:numId="29" w16cid:durableId="19939437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5A61"/>
    <w:rsid w:val="00010115"/>
    <w:rsid w:val="0001313A"/>
    <w:rsid w:val="00022047"/>
    <w:rsid w:val="00046681"/>
    <w:rsid w:val="00056F5F"/>
    <w:rsid w:val="0007454B"/>
    <w:rsid w:val="00074A89"/>
    <w:rsid w:val="00077ABF"/>
    <w:rsid w:val="0008341B"/>
    <w:rsid w:val="00084628"/>
    <w:rsid w:val="00087E9E"/>
    <w:rsid w:val="000B3B9B"/>
    <w:rsid w:val="000C716E"/>
    <w:rsid w:val="000D3214"/>
    <w:rsid w:val="000D326E"/>
    <w:rsid w:val="000D6928"/>
    <w:rsid w:val="000E6744"/>
    <w:rsid w:val="000F15EE"/>
    <w:rsid w:val="000F333C"/>
    <w:rsid w:val="000F36D7"/>
    <w:rsid w:val="00103309"/>
    <w:rsid w:val="00104320"/>
    <w:rsid w:val="0011124B"/>
    <w:rsid w:val="001118B3"/>
    <w:rsid w:val="00113524"/>
    <w:rsid w:val="0011490E"/>
    <w:rsid w:val="00124564"/>
    <w:rsid w:val="00132185"/>
    <w:rsid w:val="001416C0"/>
    <w:rsid w:val="00144591"/>
    <w:rsid w:val="00155676"/>
    <w:rsid w:val="00160407"/>
    <w:rsid w:val="00160CF1"/>
    <w:rsid w:val="001660FD"/>
    <w:rsid w:val="00167D66"/>
    <w:rsid w:val="001703C3"/>
    <w:rsid w:val="00170E2E"/>
    <w:rsid w:val="00173208"/>
    <w:rsid w:val="00180FE2"/>
    <w:rsid w:val="00184A0A"/>
    <w:rsid w:val="001910B8"/>
    <w:rsid w:val="001C2B31"/>
    <w:rsid w:val="001C2DAA"/>
    <w:rsid w:val="001C3B26"/>
    <w:rsid w:val="001C7534"/>
    <w:rsid w:val="001D2300"/>
    <w:rsid w:val="001E427F"/>
    <w:rsid w:val="002041F6"/>
    <w:rsid w:val="0020487E"/>
    <w:rsid w:val="00211F76"/>
    <w:rsid w:val="00216693"/>
    <w:rsid w:val="00216CD7"/>
    <w:rsid w:val="00223872"/>
    <w:rsid w:val="00231065"/>
    <w:rsid w:val="002312CE"/>
    <w:rsid w:val="00233738"/>
    <w:rsid w:val="00250D77"/>
    <w:rsid w:val="002537F7"/>
    <w:rsid w:val="0025539E"/>
    <w:rsid w:val="002633E3"/>
    <w:rsid w:val="00275652"/>
    <w:rsid w:val="0029385A"/>
    <w:rsid w:val="00297678"/>
    <w:rsid w:val="002A0AA1"/>
    <w:rsid w:val="002B4E96"/>
    <w:rsid w:val="002C79D5"/>
    <w:rsid w:val="002D13CA"/>
    <w:rsid w:val="002D37CD"/>
    <w:rsid w:val="002E30F8"/>
    <w:rsid w:val="002F1A6A"/>
    <w:rsid w:val="002F40AF"/>
    <w:rsid w:val="002F6B3A"/>
    <w:rsid w:val="00305DD8"/>
    <w:rsid w:val="00306344"/>
    <w:rsid w:val="00316D35"/>
    <w:rsid w:val="00322238"/>
    <w:rsid w:val="0032471A"/>
    <w:rsid w:val="00334738"/>
    <w:rsid w:val="003404A3"/>
    <w:rsid w:val="0034135B"/>
    <w:rsid w:val="00345ECC"/>
    <w:rsid w:val="003501E9"/>
    <w:rsid w:val="00356DEF"/>
    <w:rsid w:val="00374378"/>
    <w:rsid w:val="003914A0"/>
    <w:rsid w:val="003A4155"/>
    <w:rsid w:val="003B5304"/>
    <w:rsid w:val="003C3840"/>
    <w:rsid w:val="003C6907"/>
    <w:rsid w:val="003D0425"/>
    <w:rsid w:val="003D30DD"/>
    <w:rsid w:val="003D4F67"/>
    <w:rsid w:val="003D5BE8"/>
    <w:rsid w:val="003E6939"/>
    <w:rsid w:val="003F5657"/>
    <w:rsid w:val="00406146"/>
    <w:rsid w:val="004508CF"/>
    <w:rsid w:val="00454248"/>
    <w:rsid w:val="00461EBD"/>
    <w:rsid w:val="00467405"/>
    <w:rsid w:val="004705D1"/>
    <w:rsid w:val="00480C16"/>
    <w:rsid w:val="00483772"/>
    <w:rsid w:val="0048619C"/>
    <w:rsid w:val="00486CFB"/>
    <w:rsid w:val="00495595"/>
    <w:rsid w:val="004B233D"/>
    <w:rsid w:val="004C3E49"/>
    <w:rsid w:val="004C7211"/>
    <w:rsid w:val="004D1C46"/>
    <w:rsid w:val="004D3197"/>
    <w:rsid w:val="004E0E11"/>
    <w:rsid w:val="004E0E81"/>
    <w:rsid w:val="005010FF"/>
    <w:rsid w:val="00502802"/>
    <w:rsid w:val="005034D7"/>
    <w:rsid w:val="00504D02"/>
    <w:rsid w:val="0050524E"/>
    <w:rsid w:val="0051243A"/>
    <w:rsid w:val="00517D91"/>
    <w:rsid w:val="005359BC"/>
    <w:rsid w:val="00535A84"/>
    <w:rsid w:val="0053611C"/>
    <w:rsid w:val="005403DF"/>
    <w:rsid w:val="0054567F"/>
    <w:rsid w:val="0055377D"/>
    <w:rsid w:val="00563DC8"/>
    <w:rsid w:val="00575DF6"/>
    <w:rsid w:val="005806C2"/>
    <w:rsid w:val="00584E67"/>
    <w:rsid w:val="00587408"/>
    <w:rsid w:val="005D6FFD"/>
    <w:rsid w:val="005E0504"/>
    <w:rsid w:val="005E1F89"/>
    <w:rsid w:val="005E255E"/>
    <w:rsid w:val="005E3296"/>
    <w:rsid w:val="005E6174"/>
    <w:rsid w:val="005F227E"/>
    <w:rsid w:val="005F6C8E"/>
    <w:rsid w:val="006012B3"/>
    <w:rsid w:val="00614F59"/>
    <w:rsid w:val="00621604"/>
    <w:rsid w:val="00623112"/>
    <w:rsid w:val="006268F4"/>
    <w:rsid w:val="006309DB"/>
    <w:rsid w:val="00631299"/>
    <w:rsid w:val="00632BC0"/>
    <w:rsid w:val="00643834"/>
    <w:rsid w:val="00651A92"/>
    <w:rsid w:val="00662191"/>
    <w:rsid w:val="00662304"/>
    <w:rsid w:val="006708FC"/>
    <w:rsid w:val="00670DF0"/>
    <w:rsid w:val="00673370"/>
    <w:rsid w:val="00673E93"/>
    <w:rsid w:val="006C25C4"/>
    <w:rsid w:val="006D7FA2"/>
    <w:rsid w:val="006E1C39"/>
    <w:rsid w:val="006E28AC"/>
    <w:rsid w:val="006E44B0"/>
    <w:rsid w:val="006F2850"/>
    <w:rsid w:val="00710AD7"/>
    <w:rsid w:val="007151EE"/>
    <w:rsid w:val="00720D08"/>
    <w:rsid w:val="0073739C"/>
    <w:rsid w:val="0074117A"/>
    <w:rsid w:val="0074464D"/>
    <w:rsid w:val="00745EB7"/>
    <w:rsid w:val="00752B42"/>
    <w:rsid w:val="00760ED2"/>
    <w:rsid w:val="0079328C"/>
    <w:rsid w:val="007A1E2B"/>
    <w:rsid w:val="007B0652"/>
    <w:rsid w:val="007B3D9E"/>
    <w:rsid w:val="007C455D"/>
    <w:rsid w:val="007E05CF"/>
    <w:rsid w:val="007F2454"/>
    <w:rsid w:val="00801C93"/>
    <w:rsid w:val="008054B8"/>
    <w:rsid w:val="00811A36"/>
    <w:rsid w:val="00815D57"/>
    <w:rsid w:val="00817604"/>
    <w:rsid w:val="008225C0"/>
    <w:rsid w:val="00823A12"/>
    <w:rsid w:val="00840688"/>
    <w:rsid w:val="00843D64"/>
    <w:rsid w:val="0084624F"/>
    <w:rsid w:val="0084706F"/>
    <w:rsid w:val="00853323"/>
    <w:rsid w:val="0085638C"/>
    <w:rsid w:val="008700D1"/>
    <w:rsid w:val="00881D81"/>
    <w:rsid w:val="008848D5"/>
    <w:rsid w:val="008953DC"/>
    <w:rsid w:val="008A067A"/>
    <w:rsid w:val="008A6F02"/>
    <w:rsid w:val="008B079A"/>
    <w:rsid w:val="008B2113"/>
    <w:rsid w:val="008B5BD2"/>
    <w:rsid w:val="008B7A89"/>
    <w:rsid w:val="008C7F9C"/>
    <w:rsid w:val="008E09E6"/>
    <w:rsid w:val="008E6DAC"/>
    <w:rsid w:val="0090432D"/>
    <w:rsid w:val="00922C42"/>
    <w:rsid w:val="00930B03"/>
    <w:rsid w:val="009317FC"/>
    <w:rsid w:val="00933997"/>
    <w:rsid w:val="00942553"/>
    <w:rsid w:val="00947A29"/>
    <w:rsid w:val="00951A0A"/>
    <w:rsid w:val="0095439C"/>
    <w:rsid w:val="0099326D"/>
    <w:rsid w:val="00997C44"/>
    <w:rsid w:val="009B77B6"/>
    <w:rsid w:val="009C1D67"/>
    <w:rsid w:val="009C2720"/>
    <w:rsid w:val="009C6DD5"/>
    <w:rsid w:val="009D0A59"/>
    <w:rsid w:val="009D0BB7"/>
    <w:rsid w:val="009D2AD1"/>
    <w:rsid w:val="009D349C"/>
    <w:rsid w:val="009D49BF"/>
    <w:rsid w:val="009E1B80"/>
    <w:rsid w:val="009F4547"/>
    <w:rsid w:val="009F556F"/>
    <w:rsid w:val="009F5BEC"/>
    <w:rsid w:val="009F746A"/>
    <w:rsid w:val="00A03BB9"/>
    <w:rsid w:val="00A04DD4"/>
    <w:rsid w:val="00A05125"/>
    <w:rsid w:val="00A05A1A"/>
    <w:rsid w:val="00A12034"/>
    <w:rsid w:val="00A13387"/>
    <w:rsid w:val="00A1751C"/>
    <w:rsid w:val="00A270BD"/>
    <w:rsid w:val="00A30B40"/>
    <w:rsid w:val="00A32343"/>
    <w:rsid w:val="00A52F55"/>
    <w:rsid w:val="00A56C36"/>
    <w:rsid w:val="00A65258"/>
    <w:rsid w:val="00A76BEA"/>
    <w:rsid w:val="00A80312"/>
    <w:rsid w:val="00A80855"/>
    <w:rsid w:val="00A816A0"/>
    <w:rsid w:val="00A81C25"/>
    <w:rsid w:val="00A84131"/>
    <w:rsid w:val="00A842F1"/>
    <w:rsid w:val="00A8751F"/>
    <w:rsid w:val="00A918D7"/>
    <w:rsid w:val="00AA12F5"/>
    <w:rsid w:val="00AA6D6B"/>
    <w:rsid w:val="00AB2760"/>
    <w:rsid w:val="00AB3A5B"/>
    <w:rsid w:val="00AB665D"/>
    <w:rsid w:val="00AB7388"/>
    <w:rsid w:val="00AC53EE"/>
    <w:rsid w:val="00AC7259"/>
    <w:rsid w:val="00AD238C"/>
    <w:rsid w:val="00AD255F"/>
    <w:rsid w:val="00AD7336"/>
    <w:rsid w:val="00AE2ECC"/>
    <w:rsid w:val="00B004C4"/>
    <w:rsid w:val="00B0347B"/>
    <w:rsid w:val="00B11523"/>
    <w:rsid w:val="00B12BE9"/>
    <w:rsid w:val="00B1519A"/>
    <w:rsid w:val="00B220D8"/>
    <w:rsid w:val="00B25A8D"/>
    <w:rsid w:val="00B26093"/>
    <w:rsid w:val="00B30C55"/>
    <w:rsid w:val="00B332A4"/>
    <w:rsid w:val="00B351FA"/>
    <w:rsid w:val="00B41456"/>
    <w:rsid w:val="00B4206B"/>
    <w:rsid w:val="00B53700"/>
    <w:rsid w:val="00B5700D"/>
    <w:rsid w:val="00B617FE"/>
    <w:rsid w:val="00B61B91"/>
    <w:rsid w:val="00B6401B"/>
    <w:rsid w:val="00B67BD8"/>
    <w:rsid w:val="00B75920"/>
    <w:rsid w:val="00B76749"/>
    <w:rsid w:val="00B823C9"/>
    <w:rsid w:val="00B832D5"/>
    <w:rsid w:val="00B9347D"/>
    <w:rsid w:val="00B97D43"/>
    <w:rsid w:val="00BA6758"/>
    <w:rsid w:val="00BA7F73"/>
    <w:rsid w:val="00BD2F63"/>
    <w:rsid w:val="00BD673A"/>
    <w:rsid w:val="00BD6DD8"/>
    <w:rsid w:val="00BE156D"/>
    <w:rsid w:val="00BE67A1"/>
    <w:rsid w:val="00BF63D4"/>
    <w:rsid w:val="00C169C8"/>
    <w:rsid w:val="00C46E84"/>
    <w:rsid w:val="00C474C7"/>
    <w:rsid w:val="00C56509"/>
    <w:rsid w:val="00C6280C"/>
    <w:rsid w:val="00C62CA6"/>
    <w:rsid w:val="00C72A0E"/>
    <w:rsid w:val="00C77461"/>
    <w:rsid w:val="00C82504"/>
    <w:rsid w:val="00C87246"/>
    <w:rsid w:val="00CA22F4"/>
    <w:rsid w:val="00CA5F93"/>
    <w:rsid w:val="00CB034A"/>
    <w:rsid w:val="00CD6415"/>
    <w:rsid w:val="00CD7F5F"/>
    <w:rsid w:val="00D0753E"/>
    <w:rsid w:val="00D07714"/>
    <w:rsid w:val="00D07C67"/>
    <w:rsid w:val="00D22E9E"/>
    <w:rsid w:val="00D30628"/>
    <w:rsid w:val="00D30D67"/>
    <w:rsid w:val="00D368A9"/>
    <w:rsid w:val="00D54EB1"/>
    <w:rsid w:val="00D5610B"/>
    <w:rsid w:val="00D63B87"/>
    <w:rsid w:val="00D67409"/>
    <w:rsid w:val="00D746AF"/>
    <w:rsid w:val="00D76CA2"/>
    <w:rsid w:val="00D821F1"/>
    <w:rsid w:val="00D852C8"/>
    <w:rsid w:val="00D85835"/>
    <w:rsid w:val="00D85CCE"/>
    <w:rsid w:val="00DA0BA6"/>
    <w:rsid w:val="00DA4164"/>
    <w:rsid w:val="00DB613A"/>
    <w:rsid w:val="00DC07DD"/>
    <w:rsid w:val="00DD3C7B"/>
    <w:rsid w:val="00DD7455"/>
    <w:rsid w:val="00DE5857"/>
    <w:rsid w:val="00DF1A1C"/>
    <w:rsid w:val="00E248CF"/>
    <w:rsid w:val="00E25B91"/>
    <w:rsid w:val="00E2736A"/>
    <w:rsid w:val="00E27F07"/>
    <w:rsid w:val="00E5503E"/>
    <w:rsid w:val="00E551EE"/>
    <w:rsid w:val="00E56E3A"/>
    <w:rsid w:val="00E63470"/>
    <w:rsid w:val="00E70A45"/>
    <w:rsid w:val="00E71B05"/>
    <w:rsid w:val="00E74A1B"/>
    <w:rsid w:val="00E876EF"/>
    <w:rsid w:val="00E906CB"/>
    <w:rsid w:val="00E9706E"/>
    <w:rsid w:val="00EA3986"/>
    <w:rsid w:val="00EA5A7D"/>
    <w:rsid w:val="00EA6A32"/>
    <w:rsid w:val="00EB0AC0"/>
    <w:rsid w:val="00EC2507"/>
    <w:rsid w:val="00ED4244"/>
    <w:rsid w:val="00EE6959"/>
    <w:rsid w:val="00F0181C"/>
    <w:rsid w:val="00F030EB"/>
    <w:rsid w:val="00F06F52"/>
    <w:rsid w:val="00F071B4"/>
    <w:rsid w:val="00F124FB"/>
    <w:rsid w:val="00F323E7"/>
    <w:rsid w:val="00F34694"/>
    <w:rsid w:val="00F3509B"/>
    <w:rsid w:val="00F35ED9"/>
    <w:rsid w:val="00F5100B"/>
    <w:rsid w:val="00F53227"/>
    <w:rsid w:val="00F665AF"/>
    <w:rsid w:val="00F7181F"/>
    <w:rsid w:val="00F80B69"/>
    <w:rsid w:val="00F82901"/>
    <w:rsid w:val="00F866AB"/>
    <w:rsid w:val="00F91A14"/>
    <w:rsid w:val="00FA4F64"/>
    <w:rsid w:val="00FB1D8A"/>
    <w:rsid w:val="00FB62C2"/>
    <w:rsid w:val="00FC1939"/>
    <w:rsid w:val="00FC530B"/>
    <w:rsid w:val="00FD2E41"/>
    <w:rsid w:val="00FD7C32"/>
    <w:rsid w:val="00FE0DE2"/>
    <w:rsid w:val="00FE234B"/>
    <w:rsid w:val="00FE6D6A"/>
    <w:rsid w:val="00FE7E58"/>
    <w:rsid w:val="00FF28D8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FA6D4"/>
  <w15:chartTrackingRefBased/>
  <w15:docId w15:val="{6C680659-8500-496E-A771-5CD6E129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5AF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rsid w:val="001149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45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4547"/>
    <w:rPr>
      <w:rFonts w:asciiTheme="minorHAnsi" w:eastAsiaTheme="minorHAnsi" w:hAnsiTheme="minorHAnsi" w:cstheme="minorBidi"/>
      <w:lang w:eastAsia="en-US"/>
    </w:rPr>
  </w:style>
  <w:style w:type="paragraph" w:styleId="Poprawka">
    <w:name w:val="Revision"/>
    <w:hidden/>
    <w:uiPriority w:val="99"/>
    <w:semiHidden/>
    <w:rsid w:val="00D746AF"/>
    <w:rPr>
      <w:sz w:val="24"/>
      <w:szCs w:val="24"/>
    </w:rPr>
  </w:style>
  <w:style w:type="paragraph" w:customStyle="1" w:styleId="Podpunkt2-WZ">
    <w:name w:val="Podpunkt 2 - WZ"/>
    <w:basedOn w:val="Normalny"/>
    <w:qFormat/>
    <w:rsid w:val="009B77B6"/>
    <w:pPr>
      <w:numPr>
        <w:numId w:val="25"/>
      </w:numPr>
      <w:spacing w:line="360" w:lineRule="auto"/>
      <w:jc w:val="both"/>
    </w:pPr>
    <w:rPr>
      <w:rFonts w:asciiTheme="minorHAnsi" w:eastAsia="Calibri" w:hAnsiTheme="minorHAnsi" w:cs="Tahoma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ED9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ED9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DC0A-8FCA-4450-B655-2766DA4D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8</Pages>
  <Words>2792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20150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Marcin Rutkowski</cp:lastModifiedBy>
  <cp:revision>10</cp:revision>
  <cp:lastPrinted>2023-01-13T09:45:00Z</cp:lastPrinted>
  <dcterms:created xsi:type="dcterms:W3CDTF">2023-01-09T10:26:00Z</dcterms:created>
  <dcterms:modified xsi:type="dcterms:W3CDTF">2023-01-13T14:21:00Z</dcterms:modified>
</cp:coreProperties>
</file>