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EF43" w14:textId="34A84DBB" w:rsidR="006B479D" w:rsidRPr="00DC7526" w:rsidRDefault="006B479D" w:rsidP="006B479D">
      <w:pPr>
        <w:pStyle w:val="00Tekstbezodstpu"/>
        <w:spacing w:line="276" w:lineRule="auto"/>
        <w:ind w:left="6372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 xml:space="preserve">Załącznik nr </w:t>
      </w:r>
      <w:r w:rsidR="00FD3F51" w:rsidRPr="00DC7526">
        <w:rPr>
          <w:rFonts w:ascii="Acumin Pro" w:hAnsi="Acumin Pro"/>
          <w:bCs/>
          <w:color w:val="auto"/>
        </w:rPr>
        <w:t xml:space="preserve"> 4</w:t>
      </w:r>
    </w:p>
    <w:p w14:paraId="133B0268" w14:textId="6AA3D67F" w:rsidR="00665AAC" w:rsidRPr="0083443B" w:rsidRDefault="00665AAC" w:rsidP="008F1351">
      <w:pPr>
        <w:pStyle w:val="00Tekstbezodstpu"/>
        <w:spacing w:line="276" w:lineRule="auto"/>
        <w:rPr>
          <w:rFonts w:ascii="Acumin Pro" w:hAnsi="Acumin Pro"/>
          <w:b/>
          <w:bCs/>
          <w:color w:val="auto"/>
        </w:rPr>
      </w:pPr>
      <w:r w:rsidRPr="0083443B">
        <w:rPr>
          <w:rFonts w:ascii="Acumin Pro" w:hAnsi="Acumin Pro"/>
          <w:b/>
          <w:bCs/>
          <w:color w:val="auto"/>
        </w:rPr>
        <w:t>Gmach Główny, Galeria Malarstwa i Rzeźby</w:t>
      </w:r>
    </w:p>
    <w:p w14:paraId="10150EB6" w14:textId="77777777" w:rsidR="00665AAC" w:rsidRPr="00DC7526" w:rsidRDefault="00665AAC" w:rsidP="008F1351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</w:p>
    <w:p w14:paraId="44B1D0F4" w14:textId="2A68C332" w:rsidR="003C27E6" w:rsidRPr="00DC7526" w:rsidRDefault="003C27E6" w:rsidP="008F1351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>Wykaz tematów</w:t>
      </w:r>
    </w:p>
    <w:p w14:paraId="74AA04F7" w14:textId="77777777" w:rsidR="003C27E6" w:rsidRPr="00DC7526" w:rsidRDefault="003C27E6" w:rsidP="008F1351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</w:p>
    <w:p w14:paraId="398D8040" w14:textId="77777777" w:rsidR="006B479D" w:rsidRPr="00DC7526" w:rsidRDefault="003C27E6" w:rsidP="008F1351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>Lekcje muzealne:</w:t>
      </w:r>
    </w:p>
    <w:p w14:paraId="047DEF4B" w14:textId="77777777" w:rsidR="003C27E6" w:rsidRPr="00DC7526" w:rsidRDefault="003C27E6" w:rsidP="008F1351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</w:p>
    <w:p w14:paraId="6E51D421" w14:textId="77777777" w:rsidR="008F1351" w:rsidRPr="00DC7526" w:rsidRDefault="008F1351" w:rsidP="003C27E6">
      <w:pPr>
        <w:pStyle w:val="00Tekstbezodstpu"/>
        <w:numPr>
          <w:ilvl w:val="0"/>
          <w:numId w:val="7"/>
        </w:numPr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 xml:space="preserve">W świecie arcydziełek </w:t>
      </w:r>
      <w:bookmarkStart w:id="0" w:name="_GoBack"/>
      <w:bookmarkEnd w:id="0"/>
    </w:p>
    <w:p w14:paraId="5443E58E" w14:textId="77777777" w:rsidR="008F1351" w:rsidRPr="00DC7526" w:rsidRDefault="008F1351" w:rsidP="003C27E6">
      <w:pPr>
        <w:pStyle w:val="00Tekstbezodstpu"/>
        <w:numPr>
          <w:ilvl w:val="0"/>
          <w:numId w:val="7"/>
        </w:numPr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 xml:space="preserve">Muzealny zwierzyniec </w:t>
      </w:r>
    </w:p>
    <w:p w14:paraId="4BCA6442" w14:textId="77777777" w:rsidR="008F1351" w:rsidRPr="00DC7526" w:rsidRDefault="008F1351" w:rsidP="003C27E6">
      <w:pPr>
        <w:pStyle w:val="00Tekstbezodstpu"/>
        <w:numPr>
          <w:ilvl w:val="0"/>
          <w:numId w:val="7"/>
        </w:numPr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>Kolory</w:t>
      </w:r>
    </w:p>
    <w:p w14:paraId="2E75127E" w14:textId="77777777" w:rsidR="008F1351" w:rsidRPr="00DC7526" w:rsidRDefault="008F1351" w:rsidP="003C27E6">
      <w:pPr>
        <w:pStyle w:val="00Tekstbezodstpu"/>
        <w:numPr>
          <w:ilvl w:val="0"/>
          <w:numId w:val="7"/>
        </w:numPr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>Cztery pory roku</w:t>
      </w:r>
    </w:p>
    <w:p w14:paraId="5C532F6F" w14:textId="77777777" w:rsidR="008F1351" w:rsidRPr="00DC7526" w:rsidRDefault="008F1351" w:rsidP="003C27E6">
      <w:pPr>
        <w:pStyle w:val="00Tekstbezodstpu"/>
        <w:numPr>
          <w:ilvl w:val="0"/>
          <w:numId w:val="7"/>
        </w:numPr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 xml:space="preserve">Legenda o św. Mikołaju </w:t>
      </w:r>
    </w:p>
    <w:p w14:paraId="7E4F8FFC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Pejzaż</w:t>
      </w:r>
    </w:p>
    <w:p w14:paraId="4D53AE82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Portret</w:t>
      </w:r>
    </w:p>
    <w:p w14:paraId="1E5A83BA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Rzeźba</w:t>
      </w:r>
    </w:p>
    <w:p w14:paraId="117C2986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Opowieści obrazów</w:t>
      </w:r>
    </w:p>
    <w:p w14:paraId="6351C0EF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hAnsi="Acumin Pro"/>
          <w:bCs/>
          <w:sz w:val="20"/>
          <w:szCs w:val="20"/>
        </w:rPr>
        <w:t>Matejko</w:t>
      </w:r>
    </w:p>
    <w:p w14:paraId="5263870F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Pogrubienie"/>
          <w:rFonts w:ascii="Acumin Pro" w:eastAsia="Times New Roman" w:hAnsi="Acumin Pro" w:cs="Calibri"/>
          <w:b w:val="0"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Opis obrazu</w:t>
      </w:r>
    </w:p>
    <w:p w14:paraId="4F413C6A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Pogrubienie"/>
          <w:rFonts w:ascii="Acumin Pro" w:eastAsia="Times New Roman" w:hAnsi="Acumin Pro" w:cs="Calibri"/>
          <w:b w:val="0"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Obrazy z historią w tle</w:t>
      </w:r>
    </w:p>
    <w:p w14:paraId="14B792EA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hAnsi="Acumin Pro"/>
          <w:bCs/>
          <w:sz w:val="20"/>
          <w:szCs w:val="20"/>
        </w:rPr>
        <w:t>Warsztat artysty</w:t>
      </w:r>
    </w:p>
    <w:p w14:paraId="618BDDC4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Pogrubienie"/>
          <w:rFonts w:ascii="Acumin Pro" w:eastAsia="Times New Roman" w:hAnsi="Acumin Pro" w:cs="Calibri"/>
          <w:b w:val="0"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Fałszerze dzieł sztuki</w:t>
      </w:r>
    </w:p>
    <w:p w14:paraId="4DC7A256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Pogrubienie"/>
          <w:rFonts w:ascii="Acumin Pro" w:eastAsia="Times New Roman" w:hAnsi="Acumin Pro" w:cs="Calibri"/>
          <w:b w:val="0"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Boże Narodzenie</w:t>
      </w:r>
    </w:p>
    <w:p w14:paraId="7EAB99ED" w14:textId="77777777" w:rsidR="003C27E6" w:rsidRPr="00DC7526" w:rsidRDefault="00D575A3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Pogrubienie"/>
          <w:rFonts w:ascii="Acumin Pro" w:eastAsia="Times New Roman" w:hAnsi="Acumin Pro" w:cs="Calibri"/>
          <w:b w:val="0"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Wielkanoc</w:t>
      </w:r>
    </w:p>
    <w:p w14:paraId="183D0D64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Jak patrzeć na dzieło sztuki?</w:t>
      </w:r>
      <w:r w:rsidRPr="00DC7526">
        <w:rPr>
          <w:rFonts w:ascii="Acumin Pro" w:hAnsi="Acumin Pro" w:cs="Calibri"/>
          <w:sz w:val="20"/>
          <w:szCs w:val="20"/>
        </w:rPr>
        <w:t xml:space="preserve"> </w:t>
      </w:r>
    </w:p>
    <w:p w14:paraId="79376534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Pogrubienie"/>
          <w:rFonts w:ascii="Acumin Pro" w:eastAsia="Times New Roman" w:hAnsi="Acumin Pro" w:cs="Calibri"/>
          <w:b w:val="0"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Mitologia</w:t>
      </w:r>
    </w:p>
    <w:p w14:paraId="5D327EB7" w14:textId="77777777" w:rsidR="003C27E6" w:rsidRPr="00DC7526" w:rsidRDefault="008F1351" w:rsidP="008F1351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Pogrubienie"/>
          <w:rFonts w:ascii="Acumin Pro" w:eastAsia="Times New Roman" w:hAnsi="Acumin Pro" w:cs="Calibri"/>
          <w:b w:val="0"/>
          <w:sz w:val="20"/>
          <w:szCs w:val="20"/>
          <w:lang w:eastAsia="pl-PL"/>
        </w:rPr>
      </w:pPr>
      <w:r w:rsidRPr="00DC7526">
        <w:rPr>
          <w:rStyle w:val="Pogrubienie"/>
          <w:rFonts w:ascii="Acumin Pro" w:hAnsi="Acumin Pro" w:cs="Calibri"/>
          <w:b w:val="0"/>
          <w:sz w:val="20"/>
          <w:szCs w:val="20"/>
        </w:rPr>
        <w:t>Biblia</w:t>
      </w:r>
    </w:p>
    <w:p w14:paraId="75341203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hAnsi="Acumin Pro" w:cs="Calibri"/>
          <w:sz w:val="20"/>
          <w:szCs w:val="20"/>
        </w:rPr>
        <w:t>Biblia i Mitologia</w:t>
      </w:r>
    </w:p>
    <w:p w14:paraId="69A3EDA1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hAnsi="Acumin Pro"/>
          <w:bCs/>
          <w:sz w:val="20"/>
          <w:szCs w:val="20"/>
        </w:rPr>
        <w:t>Symbol i alegoria</w:t>
      </w:r>
    </w:p>
    <w:p w14:paraId="50E03319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Średniowiecze</w:t>
      </w:r>
    </w:p>
    <w:p w14:paraId="4415185A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Renesans</w:t>
      </w:r>
    </w:p>
    <w:p w14:paraId="78541F77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Barok</w:t>
      </w:r>
    </w:p>
    <w:p w14:paraId="4E481237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Klasycyzm</w:t>
      </w:r>
    </w:p>
    <w:p w14:paraId="3DEF96BB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Romantyzm</w:t>
      </w:r>
    </w:p>
    <w:p w14:paraId="2B765A1A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Realizm</w:t>
      </w:r>
    </w:p>
    <w:p w14:paraId="766B6CEF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Młoda Polska</w:t>
      </w:r>
    </w:p>
    <w:p w14:paraId="123F16B2" w14:textId="77777777" w:rsidR="003C27E6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Dwudziestolecie międzywojenne</w:t>
      </w:r>
    </w:p>
    <w:p w14:paraId="19566689" w14:textId="77777777" w:rsidR="008F1351" w:rsidRPr="00DC7526" w:rsidRDefault="008F1351" w:rsidP="003C27E6">
      <w:pPr>
        <w:pStyle w:val="Akapitzlist"/>
        <w:numPr>
          <w:ilvl w:val="0"/>
          <w:numId w:val="7"/>
        </w:numPr>
        <w:spacing w:after="0" w:line="276" w:lineRule="auto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C7526">
        <w:rPr>
          <w:rFonts w:ascii="Acumin Pro" w:eastAsia="Times New Roman" w:hAnsi="Acumin Pro" w:cs="Calibri"/>
          <w:bCs/>
          <w:sz w:val="20"/>
          <w:szCs w:val="20"/>
          <w:lang w:eastAsia="pl-PL"/>
        </w:rPr>
        <w:t>Sztuka polska 2. połowy XX w. (współczesna)</w:t>
      </w:r>
    </w:p>
    <w:p w14:paraId="22A84E45" w14:textId="77777777" w:rsidR="003C27E6" w:rsidRPr="00DC7526" w:rsidRDefault="003C27E6">
      <w:pPr>
        <w:rPr>
          <w:rFonts w:ascii="Acumin Pro" w:hAnsi="Acumin Pro"/>
          <w:sz w:val="20"/>
          <w:szCs w:val="20"/>
        </w:rPr>
      </w:pPr>
    </w:p>
    <w:p w14:paraId="2DCF5EE5" w14:textId="77777777" w:rsidR="00D575A3" w:rsidRPr="00DC7526" w:rsidRDefault="00D575A3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Oprowadzania:</w:t>
      </w:r>
    </w:p>
    <w:p w14:paraId="07784904" w14:textId="77777777" w:rsidR="003C27E6" w:rsidRPr="00DC7526" w:rsidRDefault="00D575A3" w:rsidP="00D575A3">
      <w:pPr>
        <w:pStyle w:val="Akapitzlist"/>
        <w:numPr>
          <w:ilvl w:val="0"/>
          <w:numId w:val="8"/>
        </w:numPr>
        <w:spacing w:after="0" w:line="240" w:lineRule="auto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TOP 10</w:t>
      </w:r>
    </w:p>
    <w:p w14:paraId="2C95DF6B" w14:textId="77777777" w:rsidR="003C27E6" w:rsidRPr="00DC7526" w:rsidRDefault="00D575A3" w:rsidP="00D575A3">
      <w:pPr>
        <w:pStyle w:val="Akapitzlist"/>
        <w:numPr>
          <w:ilvl w:val="0"/>
          <w:numId w:val="8"/>
        </w:numPr>
        <w:spacing w:after="0" w:line="240" w:lineRule="auto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 xml:space="preserve">Mistrzowie Młodej Polski </w:t>
      </w:r>
    </w:p>
    <w:p w14:paraId="0CA8D1DC" w14:textId="77777777" w:rsidR="003C27E6" w:rsidRPr="00DC7526" w:rsidRDefault="00D575A3" w:rsidP="00D575A3">
      <w:pPr>
        <w:pStyle w:val="Akapitzlist"/>
        <w:numPr>
          <w:ilvl w:val="0"/>
          <w:numId w:val="8"/>
        </w:numPr>
        <w:spacing w:after="0" w:line="240" w:lineRule="auto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Arcydzieła sztuki europejskiej XVI-XIX w.</w:t>
      </w:r>
    </w:p>
    <w:p w14:paraId="43878B0F" w14:textId="77777777" w:rsidR="00D575A3" w:rsidRPr="00DC7526" w:rsidRDefault="00300D2B" w:rsidP="00D575A3">
      <w:pPr>
        <w:pStyle w:val="Akapitzlist"/>
        <w:numPr>
          <w:ilvl w:val="0"/>
          <w:numId w:val="8"/>
        </w:numPr>
        <w:spacing w:after="0" w:line="240" w:lineRule="auto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Sztuka polska XX wieku</w:t>
      </w:r>
    </w:p>
    <w:p w14:paraId="41EEA9BF" w14:textId="09CBE96D" w:rsidR="00D575A3" w:rsidRPr="00DC7526" w:rsidRDefault="00D575A3" w:rsidP="00D575A3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6EC6C3CD" w14:textId="5A527B12" w:rsidR="00731019" w:rsidRPr="00DC7526" w:rsidRDefault="00731019" w:rsidP="00D575A3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3A205A13" w14:textId="4F3BFF8A" w:rsidR="00731019" w:rsidRPr="0083443B" w:rsidRDefault="00731019" w:rsidP="00731019">
      <w:pPr>
        <w:rPr>
          <w:rFonts w:ascii="Acumin Pro" w:hAnsi="Acumin Pro"/>
          <w:b/>
          <w:sz w:val="20"/>
          <w:szCs w:val="20"/>
        </w:rPr>
      </w:pPr>
      <w:r w:rsidRPr="0083443B">
        <w:rPr>
          <w:rFonts w:ascii="Acumin Pro" w:hAnsi="Acumin Pro"/>
          <w:b/>
          <w:sz w:val="20"/>
          <w:szCs w:val="20"/>
        </w:rPr>
        <w:t>Ratusz – Muzeum Poznania</w:t>
      </w:r>
    </w:p>
    <w:p w14:paraId="522954C6" w14:textId="148BCFB6" w:rsidR="00731019" w:rsidRDefault="00731019" w:rsidP="00731019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L</w:t>
      </w:r>
      <w:r w:rsidRPr="00DC7526">
        <w:rPr>
          <w:rFonts w:ascii="Acumin Pro" w:hAnsi="Acumin Pro"/>
          <w:sz w:val="20"/>
          <w:szCs w:val="20"/>
        </w:rPr>
        <w:t>ekcj</w:t>
      </w:r>
      <w:r w:rsidRPr="00DC7526">
        <w:rPr>
          <w:rFonts w:ascii="Acumin Pro" w:hAnsi="Acumin Pro"/>
          <w:sz w:val="20"/>
          <w:szCs w:val="20"/>
        </w:rPr>
        <w:t>e</w:t>
      </w:r>
      <w:r w:rsidRPr="00DC7526">
        <w:rPr>
          <w:rFonts w:ascii="Acumin Pro" w:hAnsi="Acumin Pro"/>
          <w:sz w:val="20"/>
          <w:szCs w:val="20"/>
        </w:rPr>
        <w:t xml:space="preserve"> muzealn</w:t>
      </w:r>
      <w:r w:rsidRPr="00DC7526">
        <w:rPr>
          <w:rFonts w:ascii="Acumin Pro" w:hAnsi="Acumin Pro"/>
          <w:sz w:val="20"/>
          <w:szCs w:val="20"/>
        </w:rPr>
        <w:t>e</w:t>
      </w:r>
      <w:r w:rsidRPr="00DC7526">
        <w:rPr>
          <w:rFonts w:ascii="Acumin Pro" w:hAnsi="Acumin Pro"/>
          <w:sz w:val="20"/>
          <w:szCs w:val="20"/>
        </w:rPr>
        <w:t xml:space="preserve"> związane z historią Poznania od X wieku do połowy XVI wieku; grupy wiekowe – od przedszkolaków do młodzieży szkół ponadpodstawowych. </w:t>
      </w:r>
    </w:p>
    <w:p w14:paraId="315A3EDA" w14:textId="77777777" w:rsidR="0083443B" w:rsidRPr="00DC7526" w:rsidRDefault="0083443B" w:rsidP="0083443B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Wykaz tematów</w:t>
      </w:r>
    </w:p>
    <w:p w14:paraId="52AC26D3" w14:textId="77777777" w:rsidR="0083443B" w:rsidRPr="00DC7526" w:rsidRDefault="0083443B" w:rsidP="00731019">
      <w:pPr>
        <w:rPr>
          <w:rFonts w:ascii="Acumin Pro" w:hAnsi="Acumin Pro"/>
          <w:sz w:val="20"/>
          <w:szCs w:val="20"/>
        </w:rPr>
      </w:pPr>
    </w:p>
    <w:p w14:paraId="16A60A39" w14:textId="69A143DD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Trzej bracia, dwa koziołki</w:t>
      </w:r>
    </w:p>
    <w:p w14:paraId="7AE2DB76" w14:textId="239F47AD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Nie tylko koziołki</w:t>
      </w:r>
    </w:p>
    <w:p w14:paraId="6C0A24E4" w14:textId="6305C0CC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Rzemieślnik jak się patrzy!</w:t>
      </w:r>
    </w:p>
    <w:p w14:paraId="5C3635BD" w14:textId="11949282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Co było dalej?</w:t>
      </w:r>
    </w:p>
    <w:p w14:paraId="26B877B1" w14:textId="364698A7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Znajdź mnie i dowiedz się!</w:t>
      </w:r>
    </w:p>
    <w:p w14:paraId="0DD48796" w14:textId="552D7954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Rozmawiające eksponaty</w:t>
      </w:r>
    </w:p>
    <w:p w14:paraId="2D624781" w14:textId="06339E2F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Co by było, gdyby…?</w:t>
      </w:r>
    </w:p>
    <w:p w14:paraId="2E5DFAAE" w14:textId="63BE41CE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Ratuszowy niezbędnik</w:t>
      </w:r>
    </w:p>
    <w:p w14:paraId="66669E61" w14:textId="6CFDFA2B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Jak waśnie w średniowiecznym mieście rozstrzygano</w:t>
      </w:r>
    </w:p>
    <w:p w14:paraId="09D6DFC9" w14:textId="14F50E42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Co kryją muzealne magazyny?</w:t>
      </w:r>
    </w:p>
    <w:p w14:paraId="1353CEC1" w14:textId="622F76B1" w:rsidR="00731019" w:rsidRPr="00DC7526" w:rsidRDefault="00731019" w:rsidP="007423C0">
      <w:pPr>
        <w:pStyle w:val="Akapitzlist"/>
        <w:numPr>
          <w:ilvl w:val="0"/>
          <w:numId w:val="9"/>
        </w:numPr>
        <w:spacing w:after="0"/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 xml:space="preserve">Ratuszowe </w:t>
      </w:r>
      <w:proofErr w:type="spellStart"/>
      <w:r w:rsidRPr="00DC7526">
        <w:rPr>
          <w:rFonts w:ascii="Acumin Pro" w:hAnsi="Acumin Pro"/>
          <w:sz w:val="20"/>
          <w:szCs w:val="20"/>
        </w:rPr>
        <w:t>Piwniczaki</w:t>
      </w:r>
      <w:proofErr w:type="spellEnd"/>
    </w:p>
    <w:p w14:paraId="66BD97C0" w14:textId="77777777" w:rsidR="007423C0" w:rsidRPr="00DC7526" w:rsidRDefault="007423C0" w:rsidP="00731019">
      <w:pPr>
        <w:rPr>
          <w:rFonts w:ascii="Acumin Pro" w:hAnsi="Acumin Pro"/>
          <w:sz w:val="20"/>
          <w:szCs w:val="20"/>
          <w:u w:val="single"/>
        </w:rPr>
      </w:pPr>
    </w:p>
    <w:p w14:paraId="6745B66D" w14:textId="41929105" w:rsidR="00731019" w:rsidRPr="00DC7526" w:rsidRDefault="00731019" w:rsidP="00731019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Oprowadzani</w:t>
      </w:r>
      <w:r w:rsidR="00497F0D" w:rsidRPr="00DC7526">
        <w:rPr>
          <w:rFonts w:ascii="Acumin Pro" w:hAnsi="Acumin Pro"/>
          <w:sz w:val="20"/>
          <w:szCs w:val="20"/>
        </w:rPr>
        <w:t>a</w:t>
      </w:r>
      <w:r w:rsidRPr="00DC7526">
        <w:rPr>
          <w:rFonts w:ascii="Acumin Pro" w:hAnsi="Acumin Pro"/>
          <w:sz w:val="20"/>
          <w:szCs w:val="20"/>
        </w:rPr>
        <w:t>:</w:t>
      </w:r>
    </w:p>
    <w:p w14:paraId="78746CD4" w14:textId="41BD0407" w:rsidR="00731019" w:rsidRPr="00DC7526" w:rsidRDefault="00731019" w:rsidP="00731019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Oprowadzanie standardowe po całej ekspozycji (dla różnych grup wiekowych)</w:t>
      </w:r>
    </w:p>
    <w:p w14:paraId="35781ABD" w14:textId="77777777" w:rsidR="00DC7526" w:rsidRPr="00DC7526" w:rsidRDefault="00DC7526" w:rsidP="00DC7526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</w:p>
    <w:p w14:paraId="1F4FA660" w14:textId="77777777" w:rsidR="00DC7526" w:rsidRPr="00DC7526" w:rsidRDefault="00DC7526" w:rsidP="00DC7526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</w:p>
    <w:p w14:paraId="2232AF99" w14:textId="3A88519D" w:rsidR="00DC7526" w:rsidRPr="0083443B" w:rsidRDefault="00DC7526" w:rsidP="00DC7526">
      <w:pPr>
        <w:pStyle w:val="00Tekstbezodstpu"/>
        <w:spacing w:line="276" w:lineRule="auto"/>
        <w:rPr>
          <w:rFonts w:ascii="Acumin Pro" w:hAnsi="Acumin Pro"/>
          <w:b/>
          <w:bCs/>
          <w:color w:val="auto"/>
        </w:rPr>
      </w:pPr>
      <w:r w:rsidRPr="0083443B">
        <w:rPr>
          <w:rFonts w:ascii="Acumin Pro" w:hAnsi="Acumin Pro"/>
          <w:b/>
          <w:bCs/>
          <w:color w:val="auto"/>
        </w:rPr>
        <w:t xml:space="preserve">Muzeum Sztuk Użytkowych w Zamku Królewskim w Poznaniu </w:t>
      </w:r>
    </w:p>
    <w:p w14:paraId="0D8747C4" w14:textId="1AAFBA52" w:rsidR="00DC7526" w:rsidRPr="00DC7526" w:rsidRDefault="00DC7526" w:rsidP="00DC7526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</w:p>
    <w:p w14:paraId="628B9DCD" w14:textId="07457C0F" w:rsidR="00DC7526" w:rsidRPr="00DC7526" w:rsidRDefault="00DC7526" w:rsidP="00DC7526">
      <w:pPr>
        <w:pStyle w:val="00Tekstbezodstpu"/>
        <w:spacing w:line="276" w:lineRule="auto"/>
        <w:rPr>
          <w:rFonts w:ascii="Acumin Pro" w:hAnsi="Acumin Pro"/>
          <w:bCs/>
          <w:color w:val="auto"/>
        </w:rPr>
      </w:pPr>
      <w:r w:rsidRPr="00DC7526">
        <w:rPr>
          <w:rFonts w:ascii="Acumin Pro" w:hAnsi="Acumin Pro"/>
          <w:bCs/>
          <w:color w:val="auto"/>
        </w:rPr>
        <w:t xml:space="preserve">Wykaz tematów </w:t>
      </w:r>
    </w:p>
    <w:p w14:paraId="19D8F31C" w14:textId="77777777" w:rsidR="00DC7526" w:rsidRPr="00DC7526" w:rsidRDefault="00DC7526" w:rsidP="00DC7526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32F348E6" w14:textId="77777777" w:rsidR="00DC7526" w:rsidRPr="00DC7526" w:rsidRDefault="00DC7526" w:rsidP="00DC7526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Lekcje muzealne:</w:t>
      </w:r>
    </w:p>
    <w:p w14:paraId="3A405D39" w14:textId="77777777" w:rsidR="00DC7526" w:rsidRPr="00DC7526" w:rsidRDefault="00DC7526" w:rsidP="00DC7526">
      <w:pPr>
        <w:pStyle w:val="Akapitzlist"/>
        <w:numPr>
          <w:ilvl w:val="0"/>
          <w:numId w:val="10"/>
        </w:num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Czuję sztukę! Spacer dla pięciu zmysłów</w:t>
      </w:r>
    </w:p>
    <w:p w14:paraId="524519FD" w14:textId="77777777" w:rsidR="00DC7526" w:rsidRPr="00DC7526" w:rsidRDefault="00DC7526" w:rsidP="00DC7526">
      <w:pPr>
        <w:pStyle w:val="Akapitzlist"/>
        <w:numPr>
          <w:ilvl w:val="0"/>
          <w:numId w:val="10"/>
        </w:num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Muzealna Dżungla</w:t>
      </w:r>
    </w:p>
    <w:p w14:paraId="4002E749" w14:textId="77777777" w:rsidR="00DC7526" w:rsidRPr="00DC7526" w:rsidRDefault="00DC7526" w:rsidP="00DC7526">
      <w:pPr>
        <w:pStyle w:val="Akapitzlist"/>
        <w:numPr>
          <w:ilvl w:val="0"/>
          <w:numId w:val="10"/>
        </w:num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 xml:space="preserve">Muzealne Zwierzaki </w:t>
      </w:r>
    </w:p>
    <w:p w14:paraId="4A6FB655" w14:textId="77777777" w:rsidR="00DC7526" w:rsidRPr="00DC7526" w:rsidRDefault="00DC7526" w:rsidP="00DC7526">
      <w:pPr>
        <w:pStyle w:val="Akapitzlist"/>
        <w:numPr>
          <w:ilvl w:val="0"/>
          <w:numId w:val="10"/>
        </w:num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 xml:space="preserve">Opowieści z wnętrza starego domu </w:t>
      </w:r>
    </w:p>
    <w:p w14:paraId="3AB2BA6A" w14:textId="77777777" w:rsidR="00DC7526" w:rsidRPr="00DC7526" w:rsidRDefault="00DC7526" w:rsidP="00DC7526">
      <w:pPr>
        <w:pStyle w:val="Akapitzlist"/>
        <w:numPr>
          <w:ilvl w:val="0"/>
          <w:numId w:val="10"/>
        </w:num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Niezwykłe życie zwykłych przedmiotów</w:t>
      </w:r>
    </w:p>
    <w:p w14:paraId="75A63EAF" w14:textId="77777777" w:rsidR="00DC7526" w:rsidRPr="00DC7526" w:rsidRDefault="00DC7526" w:rsidP="00DC7526">
      <w:pPr>
        <w:pStyle w:val="Akapitzlist"/>
        <w:numPr>
          <w:ilvl w:val="0"/>
          <w:numId w:val="10"/>
        </w:num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Historia brudu</w:t>
      </w:r>
    </w:p>
    <w:p w14:paraId="05BFB909" w14:textId="77777777" w:rsidR="00DC7526" w:rsidRPr="00DC7526" w:rsidRDefault="00DC7526" w:rsidP="00DC7526">
      <w:pPr>
        <w:pStyle w:val="Akapitzlist"/>
        <w:numPr>
          <w:ilvl w:val="0"/>
          <w:numId w:val="10"/>
        </w:num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 xml:space="preserve">Zorientowani na orient </w:t>
      </w:r>
    </w:p>
    <w:p w14:paraId="272A52AE" w14:textId="77777777" w:rsidR="00DC7526" w:rsidRPr="00DC7526" w:rsidRDefault="00DC7526" w:rsidP="00DC7526">
      <w:pPr>
        <w:pStyle w:val="Akapitzlist"/>
        <w:rPr>
          <w:rFonts w:ascii="Acumin Pro" w:hAnsi="Acumin Pro"/>
          <w:sz w:val="20"/>
          <w:szCs w:val="20"/>
        </w:rPr>
      </w:pPr>
    </w:p>
    <w:p w14:paraId="1DB2B0D5" w14:textId="77777777" w:rsidR="00DC7526" w:rsidRPr="00DC7526" w:rsidRDefault="00DC7526" w:rsidP="00DC7526">
      <w:pPr>
        <w:pStyle w:val="Akapitzlist"/>
        <w:rPr>
          <w:rFonts w:ascii="Acumin Pro" w:hAnsi="Acumin Pro"/>
          <w:sz w:val="20"/>
          <w:szCs w:val="20"/>
        </w:rPr>
      </w:pPr>
    </w:p>
    <w:p w14:paraId="6B36AA20" w14:textId="77777777" w:rsidR="00DC7526" w:rsidRPr="00DC7526" w:rsidRDefault="00DC7526" w:rsidP="00DC7526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>Oprowadzania:</w:t>
      </w:r>
    </w:p>
    <w:p w14:paraId="2B298A28" w14:textId="1A5DD81A" w:rsidR="00DC7526" w:rsidRPr="00DC7526" w:rsidRDefault="00DC7526" w:rsidP="00DC7526">
      <w:pPr>
        <w:rPr>
          <w:rFonts w:ascii="Acumin Pro" w:hAnsi="Acumin Pro"/>
          <w:sz w:val="20"/>
          <w:szCs w:val="20"/>
        </w:rPr>
      </w:pPr>
      <w:r w:rsidRPr="00DC7526">
        <w:rPr>
          <w:rFonts w:ascii="Acumin Pro" w:hAnsi="Acumin Pro"/>
          <w:sz w:val="20"/>
          <w:szCs w:val="20"/>
        </w:rPr>
        <w:t xml:space="preserve">Zwiedzanie Muzeum Sztuk Użytkowych z przewodnikiem </w:t>
      </w:r>
    </w:p>
    <w:p w14:paraId="73A5F62C" w14:textId="77777777" w:rsidR="00DC7526" w:rsidRPr="00DC7526" w:rsidRDefault="00DC7526" w:rsidP="00DC7526">
      <w:pPr>
        <w:rPr>
          <w:rFonts w:ascii="Acumin Pro" w:hAnsi="Acumin Pro"/>
          <w:sz w:val="20"/>
          <w:szCs w:val="20"/>
        </w:rPr>
      </w:pPr>
    </w:p>
    <w:p w14:paraId="0B5049FA" w14:textId="77777777" w:rsidR="00DC7526" w:rsidRPr="00DC7526" w:rsidRDefault="00DC7526" w:rsidP="00731019">
      <w:pPr>
        <w:rPr>
          <w:rFonts w:ascii="Acumin Pro" w:hAnsi="Acumin Pro"/>
          <w:sz w:val="20"/>
          <w:szCs w:val="20"/>
        </w:rPr>
      </w:pPr>
    </w:p>
    <w:p w14:paraId="29483516" w14:textId="77777777" w:rsidR="00731019" w:rsidRPr="00DC7526" w:rsidRDefault="00731019" w:rsidP="00D575A3">
      <w:pPr>
        <w:spacing w:after="0" w:line="240" w:lineRule="auto"/>
        <w:rPr>
          <w:rFonts w:ascii="Acumin Pro" w:hAnsi="Acumin Pro"/>
          <w:sz w:val="20"/>
          <w:szCs w:val="20"/>
        </w:rPr>
      </w:pPr>
    </w:p>
    <w:sectPr w:rsidR="00731019" w:rsidRPr="00DC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ZapfHumnstEU">
    <w:charset w:val="EE"/>
    <w:family w:val="auto"/>
    <w:pitch w:val="variable"/>
    <w:sig w:usb0="00000001" w:usb1="5000004A" w:usb2="00000000" w:usb3="00000000" w:csb0="000001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389"/>
    <w:multiLevelType w:val="multilevel"/>
    <w:tmpl w:val="F02C4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52D7F"/>
    <w:multiLevelType w:val="hybridMultilevel"/>
    <w:tmpl w:val="4CDC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31B"/>
    <w:multiLevelType w:val="multilevel"/>
    <w:tmpl w:val="F02C4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C5637"/>
    <w:multiLevelType w:val="hybridMultilevel"/>
    <w:tmpl w:val="AB16D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36F5A"/>
    <w:multiLevelType w:val="hybridMultilevel"/>
    <w:tmpl w:val="2EC2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B6F6D"/>
    <w:multiLevelType w:val="hybridMultilevel"/>
    <w:tmpl w:val="7B840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A5CDE"/>
    <w:multiLevelType w:val="hybridMultilevel"/>
    <w:tmpl w:val="7158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492A"/>
    <w:multiLevelType w:val="hybridMultilevel"/>
    <w:tmpl w:val="9EEA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F2C"/>
    <w:multiLevelType w:val="hybridMultilevel"/>
    <w:tmpl w:val="5B2881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4B32"/>
    <w:multiLevelType w:val="hybridMultilevel"/>
    <w:tmpl w:val="1AA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F35AC"/>
    <w:multiLevelType w:val="hybridMultilevel"/>
    <w:tmpl w:val="8E12A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51"/>
    <w:rsid w:val="0023537F"/>
    <w:rsid w:val="00300D2B"/>
    <w:rsid w:val="003C27E6"/>
    <w:rsid w:val="00497F0D"/>
    <w:rsid w:val="00665AAC"/>
    <w:rsid w:val="006B479D"/>
    <w:rsid w:val="00721FAD"/>
    <w:rsid w:val="00731019"/>
    <w:rsid w:val="007423C0"/>
    <w:rsid w:val="0083443B"/>
    <w:rsid w:val="008F1351"/>
    <w:rsid w:val="00B03846"/>
    <w:rsid w:val="00D575A3"/>
    <w:rsid w:val="00DC7526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2180"/>
  <w15:chartTrackingRefBased/>
  <w15:docId w15:val="{556C76AE-DE13-4BDC-A660-CE67100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Tekstbezodstpu">
    <w:name w:val="00_Tekst bez odstępu"/>
    <w:basedOn w:val="Normalny"/>
    <w:uiPriority w:val="99"/>
    <w:rsid w:val="008F1351"/>
    <w:pPr>
      <w:autoSpaceDE w:val="0"/>
      <w:autoSpaceDN w:val="0"/>
      <w:adjustRightInd w:val="0"/>
      <w:spacing w:after="0" w:line="252" w:lineRule="atLeast"/>
      <w:jc w:val="both"/>
      <w:textAlignment w:val="center"/>
    </w:pPr>
    <w:rPr>
      <w:rFonts w:ascii="ZapfHumnstEU" w:eastAsia="Calibri" w:hAnsi="ZapfHumnstEU" w:cs="ZapfHumnstEU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F13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F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351"/>
    <w:rPr>
      <w:b/>
      <w:bCs/>
    </w:rPr>
  </w:style>
  <w:style w:type="paragraph" w:styleId="Akapitzlist">
    <w:name w:val="List Paragraph"/>
    <w:basedOn w:val="Normalny"/>
    <w:uiPriority w:val="34"/>
    <w:qFormat/>
    <w:rsid w:val="008F1351"/>
    <w:pPr>
      <w:ind w:left="720"/>
      <w:contextualSpacing/>
    </w:pPr>
  </w:style>
  <w:style w:type="paragraph" w:customStyle="1" w:styleId="00Tekst">
    <w:name w:val="00_Tekst"/>
    <w:basedOn w:val="Normalny"/>
    <w:uiPriority w:val="99"/>
    <w:rsid w:val="008F1351"/>
    <w:pPr>
      <w:autoSpaceDE w:val="0"/>
      <w:autoSpaceDN w:val="0"/>
      <w:adjustRightInd w:val="0"/>
      <w:spacing w:after="170" w:line="252" w:lineRule="atLeast"/>
      <w:jc w:val="both"/>
      <w:textAlignment w:val="center"/>
    </w:pPr>
    <w:rPr>
      <w:rFonts w:ascii="ZapfHumnstEU" w:eastAsia="Calibri" w:hAnsi="ZapfHumnstEU" w:cs="ZapfHumnstEU"/>
      <w:color w:val="000000"/>
      <w:sz w:val="20"/>
      <w:szCs w:val="20"/>
    </w:rPr>
  </w:style>
  <w:style w:type="paragraph" w:customStyle="1" w:styleId="00rdtytu">
    <w:name w:val="00_Śródtytuł"/>
    <w:basedOn w:val="Normalny"/>
    <w:uiPriority w:val="99"/>
    <w:rsid w:val="008F1351"/>
    <w:pPr>
      <w:suppressAutoHyphens/>
      <w:autoSpaceDE w:val="0"/>
      <w:autoSpaceDN w:val="0"/>
      <w:adjustRightInd w:val="0"/>
      <w:spacing w:after="510" w:line="1040" w:lineRule="atLeast"/>
      <w:ind w:left="454"/>
      <w:textAlignment w:val="center"/>
    </w:pPr>
    <w:rPr>
      <w:rFonts w:ascii="Myriad Pro" w:eastAsia="Calibri" w:hAnsi="Myriad Pro" w:cs="Myriad Pro"/>
      <w:caps/>
      <w:color w:val="000000"/>
      <w:sz w:val="47"/>
      <w:szCs w:val="47"/>
    </w:rPr>
  </w:style>
  <w:style w:type="paragraph" w:customStyle="1" w:styleId="00rdtytupodkrelony">
    <w:name w:val="00_Śródtytuł podkreślony"/>
    <w:basedOn w:val="Normalny"/>
    <w:uiPriority w:val="99"/>
    <w:rsid w:val="008F1351"/>
    <w:pPr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Myriad Pro Light" w:eastAsia="Calibri" w:hAnsi="Myriad Pro Light" w:cs="Myriad Pro Light"/>
      <w:color w:val="000000"/>
      <w:sz w:val="26"/>
      <w:szCs w:val="26"/>
      <w:u w:val="thick" w:color="D987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Sibilska</dc:creator>
  <cp:keywords/>
  <dc:description/>
  <cp:lastModifiedBy>Katarzyna</cp:lastModifiedBy>
  <cp:revision>8</cp:revision>
  <dcterms:created xsi:type="dcterms:W3CDTF">2024-01-15T07:06:00Z</dcterms:created>
  <dcterms:modified xsi:type="dcterms:W3CDTF">2024-01-15T08:29:00Z</dcterms:modified>
</cp:coreProperties>
</file>