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534A16E1"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w:t>
      </w:r>
      <w:r w:rsidR="00D53752">
        <w:rPr>
          <w:rFonts w:asciiTheme="majorHAnsi" w:eastAsiaTheme="majorEastAsia" w:hAnsiTheme="majorHAnsi" w:cstheme="majorBidi"/>
          <w:caps/>
          <w:color w:val="632423" w:themeColor="accent2" w:themeShade="80"/>
          <w:spacing w:val="20"/>
          <w:lang w:eastAsia="en-US"/>
        </w:rPr>
        <w:t>18</w:t>
      </w:r>
      <w:r w:rsidR="00451DEE">
        <w:rPr>
          <w:rFonts w:asciiTheme="majorHAnsi" w:eastAsiaTheme="majorEastAsia" w:hAnsiTheme="majorHAnsi" w:cstheme="majorBidi"/>
          <w:caps/>
          <w:color w:val="632423" w:themeColor="accent2" w:themeShade="80"/>
          <w:spacing w:val="20"/>
          <w:lang w:eastAsia="en-US"/>
        </w:rPr>
        <w:t>.2022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29C495A" w14:textId="3DDE27B3" w:rsidR="00AE5B52" w:rsidRDefault="00D53752"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BUDOWA TEATRU LETNIEGO PRZY RATUSZU W GNIEWKOWIE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439D0E59" w14:textId="77777777" w:rsidR="0064538F" w:rsidRDefault="0064538F" w:rsidP="0064538F">
      <w:pPr>
        <w:jc w:val="cente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62B8B910"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w:t>
      </w:r>
      <w:r w:rsidR="00D53752">
        <w:rPr>
          <w:rFonts w:asciiTheme="majorHAnsi" w:eastAsiaTheme="majorEastAsia" w:hAnsiTheme="majorHAnsi" w:cs="Arial"/>
          <w:lang w:eastAsia="en-US"/>
        </w:rPr>
        <w:t>2</w:t>
      </w:r>
      <w:r w:rsidR="00D34FEF">
        <w:rPr>
          <w:rFonts w:asciiTheme="majorHAnsi" w:eastAsiaTheme="majorEastAsia" w:hAnsiTheme="majorHAnsi" w:cs="Arial"/>
          <w:lang w:eastAsia="en-US"/>
        </w:rPr>
        <w:t xml:space="preserve"> poz. </w:t>
      </w:r>
      <w:r w:rsidR="00D53752">
        <w:rPr>
          <w:rFonts w:asciiTheme="majorHAnsi" w:eastAsiaTheme="majorEastAsia" w:hAnsiTheme="majorHAnsi" w:cs="Arial"/>
          <w:lang w:eastAsia="en-US"/>
        </w:rPr>
        <w:t>1710</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6D7DE7CC" w14:textId="77777777" w:rsidR="004B468B" w:rsidRDefault="004B468B" w:rsidP="00F2599C">
      <w:pPr>
        <w:spacing w:line="252" w:lineRule="auto"/>
        <w:jc w:val="center"/>
        <w:rPr>
          <w:rFonts w:asciiTheme="majorHAnsi" w:eastAsiaTheme="majorEastAsia" w:hAnsiTheme="majorHAnsi" w:cs="Arial"/>
          <w:bCs/>
          <w:lang w:eastAsia="en-US"/>
        </w:rPr>
      </w:pPr>
    </w:p>
    <w:p w14:paraId="12326B68" w14:textId="77777777" w:rsidR="004B468B" w:rsidRDefault="004B468B" w:rsidP="00F2599C">
      <w:pPr>
        <w:spacing w:line="252" w:lineRule="auto"/>
        <w:jc w:val="center"/>
        <w:rPr>
          <w:rFonts w:asciiTheme="majorHAnsi" w:eastAsiaTheme="majorEastAsia" w:hAnsiTheme="majorHAnsi" w:cs="Arial"/>
          <w:bCs/>
          <w:lang w:eastAsia="en-US"/>
        </w:rPr>
      </w:pPr>
    </w:p>
    <w:p w14:paraId="334F36A5" w14:textId="77777777" w:rsidR="004B468B" w:rsidRDefault="004B468B" w:rsidP="00F2599C">
      <w:pPr>
        <w:spacing w:line="252" w:lineRule="auto"/>
        <w:jc w:val="center"/>
        <w:rPr>
          <w:rFonts w:asciiTheme="majorHAnsi" w:eastAsiaTheme="majorEastAsia" w:hAnsiTheme="majorHAnsi" w:cs="Arial"/>
          <w:bCs/>
          <w:lang w:eastAsia="en-US"/>
        </w:rPr>
      </w:pPr>
    </w:p>
    <w:p w14:paraId="3BE94F50" w14:textId="2F83DA1A" w:rsidR="00F2599C" w:rsidRDefault="004B468B"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 xml:space="preserve">Gniewkowo, </w:t>
      </w:r>
      <w:r w:rsidR="00D53752">
        <w:rPr>
          <w:rFonts w:asciiTheme="majorHAnsi" w:eastAsiaTheme="majorEastAsia" w:hAnsiTheme="majorHAnsi" w:cs="Arial"/>
          <w:bCs/>
          <w:lang w:eastAsia="en-US"/>
        </w:rPr>
        <w:t>11.10.2022</w:t>
      </w:r>
    </w:p>
    <w:p w14:paraId="63A0818A" w14:textId="77777777" w:rsidR="00D53752" w:rsidRDefault="00D53752" w:rsidP="00F2599C">
      <w:pPr>
        <w:spacing w:line="252" w:lineRule="auto"/>
        <w:jc w:val="center"/>
        <w:rPr>
          <w:rFonts w:asciiTheme="majorHAnsi" w:eastAsiaTheme="majorEastAsia" w:hAnsiTheme="majorHAnsi" w:cs="Arial"/>
          <w:b/>
          <w:lang w:eastAsia="en-US"/>
        </w:rPr>
      </w:pPr>
    </w:p>
    <w:p w14:paraId="1F966619" w14:textId="77777777" w:rsidR="00D53752" w:rsidRDefault="00D53752" w:rsidP="00F2599C">
      <w:pPr>
        <w:spacing w:line="252" w:lineRule="auto"/>
        <w:jc w:val="center"/>
        <w:rPr>
          <w:rFonts w:asciiTheme="majorHAnsi" w:eastAsiaTheme="majorEastAsia" w:hAnsiTheme="majorHAnsi" w:cs="Arial"/>
          <w:b/>
          <w:lang w:eastAsia="en-US"/>
        </w:rPr>
      </w:pP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37C4A4C4"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Tryb podstawowy z możliwością przeprowadzenia negocjacji treści ofert w celu ich ulepszenia, o którym mowa w art. 275 pkt 2 ustawy z 11 września 2019 r. – Prawo zamówień publicznych (Dz.U. 202</w:t>
      </w:r>
      <w:r w:rsidR="002606A5">
        <w:rPr>
          <w:rFonts w:asciiTheme="majorHAnsi" w:eastAsiaTheme="majorEastAsia" w:hAnsiTheme="majorHAnsi" w:cs="Arial"/>
          <w:lang w:eastAsia="en-US"/>
        </w:rPr>
        <w:t>2</w:t>
      </w:r>
      <w:r w:rsidRPr="00CD5F87">
        <w:rPr>
          <w:rFonts w:asciiTheme="majorHAnsi" w:eastAsiaTheme="majorEastAsia" w:hAnsiTheme="majorHAnsi" w:cs="Arial"/>
          <w:lang w:eastAsia="en-US"/>
        </w:rPr>
        <w:t xml:space="preserve"> poz. </w:t>
      </w:r>
      <w:r w:rsidR="002606A5">
        <w:rPr>
          <w:rFonts w:asciiTheme="majorHAnsi" w:eastAsiaTheme="majorEastAsia" w:hAnsiTheme="majorHAnsi" w:cs="Arial"/>
          <w:lang w:eastAsia="en-US"/>
        </w:rPr>
        <w:t>1710</w:t>
      </w:r>
      <w:r w:rsidRPr="00CD5F87">
        <w:rPr>
          <w:rFonts w:asciiTheme="majorHAnsi" w:eastAsiaTheme="majorEastAsia" w:hAnsiTheme="majorHAnsi" w:cs="Arial"/>
          <w:lang w:eastAsia="en-US"/>
        </w:rPr>
        <w:t xml:space="preserve">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2606A5">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2606A5">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2606A5" w:rsidRDefault="0006185A" w:rsidP="002606A5">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677F0B25" w14:textId="3E920AB6" w:rsidR="002606A5" w:rsidRPr="002606A5" w:rsidRDefault="002606A5" w:rsidP="002606A5">
      <w:pPr>
        <w:pStyle w:val="Akapitzlist"/>
        <w:numPr>
          <w:ilvl w:val="0"/>
          <w:numId w:val="43"/>
        </w:numPr>
        <w:jc w:val="both"/>
        <w:rPr>
          <w:rFonts w:asciiTheme="majorHAnsi" w:hAnsiTheme="majorHAnsi"/>
        </w:rPr>
      </w:pPr>
      <w:r w:rsidRPr="002606A5">
        <w:rPr>
          <w:rFonts w:asciiTheme="majorHAnsi" w:hAnsiTheme="majorHAnsi"/>
        </w:rPr>
        <w:t>nie podlega wykluczeniu na podstawie art. 7 ust. 1 ustawy z dnia 13 kwietnia 2022 r. o szczególnych rozwiązaniach w zakresie przeciwdziałania wspieraniu agresji na Ukrainę oraz służących ochronie bezpieczeństwa narodowego (Dz.U. 2022 r. poz. 835),</w:t>
      </w:r>
    </w:p>
    <w:p w14:paraId="41C80905" w14:textId="4EF3EDEC" w:rsidR="00B07F86" w:rsidRPr="00477497" w:rsidRDefault="00B174FF" w:rsidP="002606A5">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1048A6E3"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4C03A0">
        <w:rPr>
          <w:rFonts w:asciiTheme="majorHAnsi" w:eastAsiaTheme="majorEastAsia" w:hAnsiTheme="majorHAnsi" w:cstheme="majorBidi"/>
          <w:lang w:eastAsia="en-US"/>
        </w:rPr>
        <w:t xml:space="preserve"> </w:t>
      </w:r>
      <w:r w:rsidR="004C03A0" w:rsidRPr="004C03A0">
        <w:rPr>
          <w:rFonts w:asciiTheme="majorHAnsi" w:eastAsiaTheme="majorEastAsia" w:hAnsiTheme="majorHAnsi" w:cstheme="majorBidi"/>
          <w:lang w:eastAsia="en-US"/>
        </w:rPr>
        <w:t>oraz art. 7 ust. 1 ustawy z dnia 13 kwietnia 2022 r. o szczególnych rozwiązaniach w zakresie przeciwdziałania wspieraniu agresji na Ukrainę oraz służących ochronie bezpieczeństwa narodowego (Dz.U. 2022 r. poz. 835),</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w:t>
      </w:r>
      <w:r>
        <w:rPr>
          <w:rFonts w:asciiTheme="majorHAnsi" w:eastAsiaTheme="majorEastAsia" w:hAnsiTheme="majorHAnsi" w:cstheme="majorBidi"/>
          <w:lang w:eastAsia="en-US"/>
        </w:rPr>
        <w:lastRenderedPageBreak/>
        <w:t>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802C380" w:rsidR="006F69FC" w:rsidRPr="00773D17" w:rsidRDefault="00E33C8C"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przewiduje zaliczek na poczet udzielenia zamówienia.</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6EC9BA25"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202BDC">
        <w:rPr>
          <w:rFonts w:asciiTheme="majorHAnsi" w:eastAsiaTheme="majorEastAsia" w:hAnsiTheme="majorHAnsi" w:cstheme="majorBidi"/>
          <w:b/>
          <w:lang w:eastAsia="en-US"/>
        </w:rPr>
        <w:t>Budowa Teatru Letniego przy Ratuszu w Gniewkowie.</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lastRenderedPageBreak/>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2135E1FC"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w:t>
      </w:r>
      <w:r w:rsidR="00202BDC">
        <w:rPr>
          <w:rFonts w:asciiTheme="majorHAnsi" w:hAnsiTheme="majorHAnsi" w:cstheme="majorBidi"/>
          <w:b/>
          <w:highlight w:val="lightGray"/>
          <w:lang w:eastAsia="en-US"/>
        </w:rPr>
        <w:t>2</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 xml:space="preserve">poz. </w:t>
      </w:r>
      <w:r w:rsidR="00202BDC">
        <w:rPr>
          <w:rFonts w:asciiTheme="majorHAnsi" w:hAnsiTheme="majorHAnsi" w:cstheme="majorBidi"/>
          <w:b/>
          <w:highlight w:val="lightGray"/>
          <w:lang w:eastAsia="en-US"/>
        </w:rPr>
        <w:t>1710 z</w:t>
      </w:r>
      <w:r w:rsidR="001C6A9E">
        <w:rPr>
          <w:rFonts w:asciiTheme="majorHAnsi" w:hAnsiTheme="majorHAnsi" w:cstheme="majorBidi"/>
          <w:b/>
          <w:highlight w:val="lightGray"/>
          <w:lang w:eastAsia="en-US"/>
        </w:rPr>
        <w:t>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4FB78607" w:rsidR="00AA4F20" w:rsidRPr="003D7AA1" w:rsidRDefault="00AA4F20" w:rsidP="003D7AA1">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zamówienia jest wykonanie zadania inwestycyjnego pn. </w:t>
      </w:r>
      <w:r w:rsidR="000725AE">
        <w:rPr>
          <w:rFonts w:asciiTheme="majorHAnsi" w:eastAsiaTheme="majorEastAsia" w:hAnsiTheme="majorHAnsi" w:cstheme="majorBidi"/>
          <w:b/>
          <w:lang w:eastAsia="en-US"/>
        </w:rPr>
        <w:t>Budowa Teatru Letniego przy Ratuszu w Gniewkowie.</w:t>
      </w:r>
    </w:p>
    <w:p w14:paraId="6076F9B7" w14:textId="014E3796" w:rsidR="003D7AA1" w:rsidRDefault="00175145" w:rsidP="003D7AA1">
      <w:pPr>
        <w:numPr>
          <w:ilvl w:val="0"/>
          <w:numId w:val="8"/>
        </w:numPr>
        <w:spacing w:line="252" w:lineRule="auto"/>
        <w:contextualSpacing/>
        <w:jc w:val="both"/>
        <w:rPr>
          <w:rFonts w:asciiTheme="majorHAnsi" w:eastAsiaTheme="majorEastAsia" w:hAnsiTheme="majorHAnsi" w:cstheme="majorBidi"/>
          <w:lang w:eastAsia="en-US"/>
        </w:rPr>
      </w:pPr>
      <w:r w:rsidRPr="00175145">
        <w:rPr>
          <w:rFonts w:asciiTheme="majorHAnsi" w:eastAsiaTheme="majorEastAsia" w:hAnsiTheme="majorHAnsi" w:cstheme="majorBidi"/>
          <w:b/>
          <w:lang w:eastAsia="en-US"/>
        </w:rPr>
        <w:t>Krótki opis:</w:t>
      </w:r>
      <w:r>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inwestycji jest realizacja </w:t>
      </w:r>
      <w:r w:rsidR="002A07D2">
        <w:rPr>
          <w:rFonts w:asciiTheme="majorHAnsi" w:eastAsiaTheme="majorEastAsia" w:hAnsiTheme="majorHAnsi" w:cstheme="majorBidi"/>
          <w:lang w:eastAsia="en-US"/>
        </w:rPr>
        <w:t xml:space="preserve">dostawy i montażu </w:t>
      </w:r>
      <w:r w:rsidR="003D7AA1" w:rsidRPr="003D7AA1">
        <w:rPr>
          <w:rFonts w:asciiTheme="majorHAnsi" w:eastAsiaTheme="majorEastAsia" w:hAnsiTheme="majorHAnsi" w:cstheme="majorBidi"/>
          <w:lang w:eastAsia="en-US"/>
        </w:rPr>
        <w:t xml:space="preserve">sceny </w:t>
      </w:r>
      <w:r w:rsidR="002A07D2">
        <w:rPr>
          <w:rFonts w:asciiTheme="majorHAnsi" w:eastAsiaTheme="majorEastAsia" w:hAnsiTheme="majorHAnsi" w:cstheme="majorBidi"/>
          <w:lang w:eastAsia="en-US"/>
        </w:rPr>
        <w:t>mobilnej</w:t>
      </w:r>
      <w:r w:rsidR="003D7AA1" w:rsidRPr="003D7AA1">
        <w:rPr>
          <w:rFonts w:asciiTheme="majorHAnsi" w:eastAsiaTheme="majorEastAsia" w:hAnsiTheme="majorHAnsi" w:cstheme="majorBidi"/>
          <w:lang w:eastAsia="en-US"/>
        </w:rPr>
        <w:t xml:space="preserve"> wraz z infrastrukturą towarzyszącą </w:t>
      </w:r>
      <w:r w:rsidR="002A07D2">
        <w:rPr>
          <w:rFonts w:asciiTheme="majorHAnsi" w:eastAsiaTheme="majorEastAsia" w:hAnsiTheme="majorHAnsi" w:cstheme="majorBidi"/>
          <w:lang w:eastAsia="en-US"/>
        </w:rPr>
        <w:t>–</w:t>
      </w:r>
      <w:r w:rsidR="003D7AA1" w:rsidRPr="003D7AA1">
        <w:rPr>
          <w:rFonts w:asciiTheme="majorHAnsi" w:eastAsiaTheme="majorEastAsia" w:hAnsiTheme="majorHAnsi" w:cstheme="majorBidi"/>
          <w:lang w:eastAsia="en-US"/>
        </w:rPr>
        <w:t xml:space="preserve"> </w:t>
      </w:r>
      <w:r w:rsidR="002A07D2">
        <w:rPr>
          <w:rFonts w:asciiTheme="majorHAnsi" w:eastAsiaTheme="majorEastAsia" w:hAnsiTheme="majorHAnsi" w:cstheme="majorBidi"/>
          <w:lang w:eastAsia="en-US"/>
        </w:rPr>
        <w:t>pomieszczeniem magazynowym</w:t>
      </w:r>
      <w:r w:rsidR="003D7AA1" w:rsidRPr="003D7AA1">
        <w:rPr>
          <w:rFonts w:asciiTheme="majorHAnsi" w:eastAsiaTheme="majorEastAsia" w:hAnsiTheme="majorHAnsi" w:cstheme="majorBidi"/>
          <w:lang w:eastAsia="en-US"/>
        </w:rPr>
        <w:t>, ciągami komunikacyjnym,</w:t>
      </w:r>
      <w:r w:rsidR="00966547">
        <w:rPr>
          <w:rFonts w:asciiTheme="majorHAnsi" w:eastAsiaTheme="majorEastAsia" w:hAnsiTheme="majorHAnsi" w:cstheme="majorBidi"/>
          <w:lang w:eastAsia="en-US"/>
        </w:rPr>
        <w:t xml:space="preserve"> podjazdem dla osób niepełnosprawnych,</w:t>
      </w:r>
      <w:r w:rsidR="003D7AA1" w:rsidRPr="003D7AA1">
        <w:rPr>
          <w:rFonts w:asciiTheme="majorHAnsi" w:eastAsiaTheme="majorEastAsia" w:hAnsiTheme="majorHAnsi" w:cstheme="majorBidi"/>
          <w:lang w:eastAsia="en-US"/>
        </w:rPr>
        <w:t xml:space="preserve"> utwardzeniami, zielenią oraz elementami małej architektury na terenie przyległym do gniewkowskiego Ratusza. Projektowane elementy służyć będą organizowaniu imprez okolicznościowych - widowiskowych, artystycznych, wszystkich możliwych do odbycia się na świeżym powietrzu oraz organizowaniu ślubów cywilnych w plenerze. </w:t>
      </w:r>
      <w:r w:rsidR="00966547">
        <w:rPr>
          <w:rFonts w:asciiTheme="majorHAnsi" w:eastAsiaTheme="majorEastAsia" w:hAnsiTheme="majorHAnsi" w:cstheme="majorBidi"/>
          <w:lang w:eastAsia="en-US"/>
        </w:rPr>
        <w:t xml:space="preserve">Zadanie zakłada także wykonanie nowej instalacji elektrycznej zewnętrznej oraz montaż nowych opraw oświetleniowych. </w:t>
      </w:r>
      <w:r w:rsidR="003D7AA1" w:rsidRPr="003D7AA1">
        <w:rPr>
          <w:rFonts w:asciiTheme="majorHAnsi" w:eastAsiaTheme="majorEastAsia" w:hAnsiTheme="majorHAnsi" w:cstheme="majorBidi"/>
          <w:lang w:eastAsia="en-US"/>
        </w:rPr>
        <w:t>Planowana inwestycja powstanie na miejscu istniejącego już obiektu o identycznym przeznaczeniu i będzie możliwa po jego rozbiórce.</w:t>
      </w:r>
    </w:p>
    <w:p w14:paraId="33401570" w14:textId="0F5E4AC6" w:rsidR="001A7700" w:rsidRPr="001A7700" w:rsidRDefault="001A7700" w:rsidP="001A7700">
      <w:pPr>
        <w:spacing w:line="252" w:lineRule="auto"/>
        <w:ind w:left="360"/>
        <w:contextualSpacing/>
        <w:jc w:val="both"/>
        <w:rPr>
          <w:rFonts w:asciiTheme="majorHAnsi" w:eastAsiaTheme="majorEastAsia" w:hAnsiTheme="majorHAnsi" w:cstheme="majorBidi"/>
          <w:lang w:eastAsia="en-US"/>
        </w:rPr>
      </w:pPr>
      <w:r w:rsidRPr="001A7700">
        <w:rPr>
          <w:rFonts w:asciiTheme="majorHAnsi" w:eastAsiaTheme="majorEastAsia" w:hAnsiTheme="majorHAnsi" w:cstheme="majorBidi"/>
          <w:lang w:eastAsia="en-US"/>
        </w:rPr>
        <w:t>W</w:t>
      </w:r>
      <w:r>
        <w:rPr>
          <w:rFonts w:asciiTheme="majorHAnsi" w:eastAsiaTheme="majorEastAsia" w:hAnsiTheme="majorHAnsi" w:cstheme="majorBidi"/>
          <w:lang w:eastAsia="en-US"/>
        </w:rPr>
        <w:t xml:space="preserve"> ramach inwestycji konieczna jest wycinka dwóch drzew: wierzby mandżurskiej i żywotnika zachodniego.</w:t>
      </w:r>
      <w:bookmarkStart w:id="0" w:name="_GoBack"/>
      <w:bookmarkEnd w:id="0"/>
    </w:p>
    <w:p w14:paraId="7953F6B7" w14:textId="1BE2A23F" w:rsidR="0086693A" w:rsidRPr="00685640" w:rsidRDefault="00EC45FB" w:rsidP="003D7AA1">
      <w:pPr>
        <w:numPr>
          <w:ilvl w:val="0"/>
          <w:numId w:val="8"/>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0FA765EC"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45000000-7 Roboty budowlane</w:t>
      </w:r>
    </w:p>
    <w:p w14:paraId="23FDD6BE"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45100000-8- Przygotowanie terenu pod budowę</w:t>
      </w:r>
    </w:p>
    <w:p w14:paraId="5C23FFDA"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45110000-1- Roboty w zakresie burzenia i rozbiórki obiektów budowlanych; roboty ziemne</w:t>
      </w:r>
    </w:p>
    <w:p w14:paraId="6C1B3D50"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45220000-5- Roboty inżynieryjne i budowlane</w:t>
      </w:r>
    </w:p>
    <w:p w14:paraId="6C0C0E36"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45260000-7- Roboty w zakresie wykonywania pokryć i konstrukcji dachowych i inne podobne</w:t>
      </w:r>
    </w:p>
    <w:p w14:paraId="258A1A0A" w14:textId="7FAE0C9D" w:rsidR="003D7AA1" w:rsidRDefault="003D7AA1" w:rsidP="003D7AA1">
      <w:pPr>
        <w:spacing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45450000-6- Roboty budowlane wykończeniowe, pozostałe</w:t>
      </w:r>
      <w:r w:rsidR="00966547">
        <w:rPr>
          <w:rFonts w:asciiTheme="majorHAnsi" w:eastAsiaTheme="majorEastAsia" w:hAnsiTheme="majorHAnsi" w:cstheme="majorBidi"/>
          <w:lang w:eastAsia="en-US"/>
        </w:rPr>
        <w:t>,</w:t>
      </w:r>
    </w:p>
    <w:p w14:paraId="5326E586" w14:textId="5543B031" w:rsidR="00966547" w:rsidRPr="003D7AA1" w:rsidRDefault="00966547" w:rsidP="003D7AA1">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45310000-3- Roboty instalacyjne elektryczne.</w:t>
      </w:r>
    </w:p>
    <w:p w14:paraId="3514FDBB" w14:textId="5F416BEE" w:rsidR="00AA4F20" w:rsidRPr="003D7AA1" w:rsidRDefault="00AA4F20" w:rsidP="003D7AA1">
      <w:pPr>
        <w:pStyle w:val="Akapitzlist"/>
        <w:numPr>
          <w:ilvl w:val="0"/>
          <w:numId w:val="8"/>
        </w:numPr>
        <w:spacing w:line="252" w:lineRule="auto"/>
        <w:contextualSpacing/>
        <w:jc w:val="both"/>
        <w:rPr>
          <w:rFonts w:asciiTheme="majorHAnsi" w:eastAsiaTheme="majorEastAsia" w:hAnsiTheme="majorHAnsi" w:cstheme="majorBidi"/>
          <w:b/>
          <w:lang w:eastAsia="en-US"/>
        </w:rPr>
      </w:pPr>
      <w:r w:rsidRPr="003D7AA1">
        <w:rPr>
          <w:rFonts w:asciiTheme="majorHAnsi" w:eastAsiaTheme="majorEastAsia" w:hAnsiTheme="majorHAnsi" w:cstheme="majorBidi"/>
          <w:b/>
          <w:lang w:eastAsia="en-US"/>
        </w:rPr>
        <w:t>Szczegółowy opis przed</w:t>
      </w:r>
      <w:r w:rsidR="00116EAA" w:rsidRPr="003D7AA1">
        <w:rPr>
          <w:rFonts w:asciiTheme="majorHAnsi" w:eastAsiaTheme="majorEastAsia" w:hAnsiTheme="majorHAnsi" w:cstheme="majorBidi"/>
          <w:b/>
          <w:lang w:eastAsia="en-US"/>
        </w:rPr>
        <w:t>miotu zamówienia, opis wymagań z</w:t>
      </w:r>
      <w:r w:rsidRPr="003D7AA1">
        <w:rPr>
          <w:rFonts w:asciiTheme="majorHAnsi" w:eastAsiaTheme="majorEastAsia" w:hAnsiTheme="majorHAnsi" w:cstheme="majorBidi"/>
          <w:b/>
          <w:lang w:eastAsia="en-US"/>
        </w:rPr>
        <w:t xml:space="preserve">amawiającego </w:t>
      </w:r>
      <w:r w:rsidR="001A131C" w:rsidRPr="003D7AA1">
        <w:rPr>
          <w:rFonts w:asciiTheme="majorHAnsi" w:eastAsiaTheme="majorEastAsia" w:hAnsiTheme="majorHAnsi" w:cstheme="majorBidi"/>
          <w:b/>
          <w:lang w:eastAsia="en-US"/>
        </w:rPr>
        <w:t>w zakresie realizacji</w:t>
      </w:r>
      <w:r w:rsidRPr="003D7AA1">
        <w:rPr>
          <w:rFonts w:asciiTheme="majorHAnsi" w:eastAsiaTheme="majorEastAsia" w:hAnsiTheme="majorHAnsi" w:cstheme="majorBidi"/>
          <w:b/>
          <w:lang w:eastAsia="en-US"/>
        </w:rPr>
        <w:t xml:space="preserve"> i odbioru określają:</w:t>
      </w:r>
    </w:p>
    <w:p w14:paraId="1A19C3DF" w14:textId="13D8E033" w:rsidR="003D7AA1" w:rsidRPr="003D7AA1" w:rsidRDefault="003D7AA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dokument</w:t>
      </w:r>
      <w:r w:rsidR="002A07D2">
        <w:rPr>
          <w:rFonts w:asciiTheme="majorHAnsi" w:eastAsiaTheme="majorEastAsia" w:hAnsiTheme="majorHAnsi" w:cstheme="majorBidi"/>
          <w:lang w:eastAsia="en-US"/>
        </w:rPr>
        <w:t>acja projektowa- załączniki 10</w:t>
      </w:r>
      <w:r w:rsidRPr="003D7AA1">
        <w:rPr>
          <w:rFonts w:asciiTheme="majorHAnsi" w:eastAsiaTheme="majorEastAsia" w:hAnsiTheme="majorHAnsi" w:cstheme="majorBidi"/>
          <w:lang w:eastAsia="en-US"/>
        </w:rPr>
        <w:t xml:space="preserve"> do SWZ;</w:t>
      </w:r>
    </w:p>
    <w:p w14:paraId="697BEEAB" w14:textId="43492C97" w:rsidR="003D7AA1" w:rsidRPr="003D7AA1" w:rsidRDefault="003D7AA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wzór umowy – załącznik nr 9 do SWZ;</w:t>
      </w:r>
    </w:p>
    <w:p w14:paraId="51383541" w14:textId="77777777" w:rsidR="005F1760" w:rsidRPr="005F1760" w:rsidRDefault="005F1760" w:rsidP="003D7AA1">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391D853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w:t>
      </w:r>
      <w:r w:rsidR="002A07D2">
        <w:rPr>
          <w:rFonts w:asciiTheme="majorHAnsi" w:eastAsiaTheme="majorEastAsia" w:hAnsiTheme="majorHAnsi" w:cstheme="majorBidi"/>
          <w:lang w:eastAsia="en-US"/>
        </w:rPr>
        <w:t>1</w:t>
      </w:r>
      <w:r w:rsidRPr="005F1760">
        <w:rPr>
          <w:rFonts w:asciiTheme="majorHAnsi" w:eastAsiaTheme="majorEastAsia" w:hAnsiTheme="majorHAnsi" w:cstheme="majorBidi"/>
          <w:lang w:eastAsia="en-US"/>
        </w:rPr>
        <w:t xml:space="preserve"> poz. </w:t>
      </w:r>
      <w:r w:rsidR="002A07D2">
        <w:rPr>
          <w:rFonts w:asciiTheme="majorHAnsi" w:eastAsiaTheme="majorEastAsia" w:hAnsiTheme="majorHAnsi" w:cstheme="majorBidi"/>
          <w:lang w:eastAsia="en-US"/>
        </w:rPr>
        <w:t xml:space="preserve">2351 </w:t>
      </w:r>
      <w:r w:rsidRPr="005F1760">
        <w:rPr>
          <w:rFonts w:asciiTheme="majorHAnsi" w:eastAsiaTheme="majorEastAsia" w:hAnsiTheme="majorHAnsi" w:cstheme="majorBidi"/>
          <w:lang w:eastAsia="en-US"/>
        </w:rPr>
        <w:t>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5DC1D52C" w14:textId="05C40159"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w:t>
      </w:r>
      <w:r w:rsidR="003B2D02">
        <w:rPr>
          <w:rFonts w:asciiTheme="majorHAnsi" w:eastAsiaTheme="majorEastAsia" w:hAnsiTheme="majorHAnsi" w:cstheme="majorBidi"/>
          <w:lang w:eastAsia="en-US"/>
        </w:rPr>
        <w:t>2</w:t>
      </w:r>
      <w:r w:rsidRPr="005F1760">
        <w:rPr>
          <w:rFonts w:asciiTheme="majorHAnsi" w:eastAsiaTheme="majorEastAsia" w:hAnsiTheme="majorHAnsi" w:cstheme="majorBidi"/>
          <w:lang w:eastAsia="en-US"/>
        </w:rPr>
        <w:t xml:space="preserve"> poz. </w:t>
      </w:r>
      <w:r w:rsidR="003B2D02">
        <w:rPr>
          <w:rFonts w:asciiTheme="majorHAnsi" w:eastAsiaTheme="majorEastAsia" w:hAnsiTheme="majorHAnsi" w:cstheme="majorBidi"/>
          <w:lang w:eastAsia="en-US"/>
        </w:rPr>
        <w:t>699</w:t>
      </w:r>
      <w:r w:rsidRPr="005F1760">
        <w:rPr>
          <w:rFonts w:asciiTheme="majorHAnsi" w:eastAsiaTheme="majorEastAsia" w:hAnsiTheme="majorHAnsi" w:cstheme="majorBidi"/>
          <w:lang w:eastAsia="en-US"/>
        </w:rPr>
        <w:t xml:space="preserve">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0EC9137" w:rsid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poniesienie kosztów odszkodowań za szkody wyrządzone podczas</w:t>
      </w:r>
      <w:r w:rsidR="003B2D02">
        <w:rPr>
          <w:rFonts w:asciiTheme="majorHAnsi" w:eastAsiaTheme="majorEastAsia" w:hAnsiTheme="majorHAnsi" w:cstheme="majorBidi"/>
          <w:lang w:eastAsia="en-US"/>
        </w:rPr>
        <w:t xml:space="preserve"> prowadzenia </w:t>
      </w:r>
      <w:r w:rsidR="003B2D02">
        <w:rPr>
          <w:rFonts w:asciiTheme="majorHAnsi" w:eastAsiaTheme="majorEastAsia" w:hAnsiTheme="majorHAnsi" w:cstheme="majorBidi"/>
          <w:lang w:eastAsia="en-US"/>
        </w:rPr>
        <w:tab/>
        <w:t>robót budowlanych;</w:t>
      </w:r>
    </w:p>
    <w:p w14:paraId="4B7470FF" w14:textId="182AB9FD" w:rsidR="003B2D02" w:rsidRPr="005F1760" w:rsidRDefault="003B2D02"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innych kosztów wskazanych w projekcie umowy i dokumentacji projektowej.</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t>
      </w:r>
      <w:r w:rsidRPr="005F1760">
        <w:rPr>
          <w:rFonts w:asciiTheme="majorHAnsi" w:eastAsiaTheme="majorEastAsia" w:hAnsiTheme="majorHAnsi" w:cstheme="majorBidi"/>
          <w:lang w:eastAsia="en-US"/>
        </w:rPr>
        <w:lastRenderedPageBreak/>
        <w:t>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277ADE9C"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3B2D02" w:rsidRPr="003B2D02">
        <w:rPr>
          <w:rFonts w:asciiTheme="majorHAnsi" w:eastAsiaTheme="majorEastAsia" w:hAnsiTheme="majorHAnsi" w:cstheme="majorBidi"/>
          <w:lang w:eastAsia="en-US"/>
        </w:rPr>
        <w:t>złożenia (w celach informacyjnych oraz ewentualnych rozliczeń w przypadku robót dodatkowych, zamiennych oraz zaniechanych) kosztorysu obrazującego sposób obliczania ceny. Kosztorys ma być sporządzony metodą kalkulacji szczegółowej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wraz z tabelą elementów scalonych lub sporządzony metodą kalkulacji uproszczonej oraz tabelą elementów scalonych. 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t>
      </w:r>
      <w:r w:rsidRPr="004870ED">
        <w:rPr>
          <w:rFonts w:asciiTheme="majorHAnsi" w:eastAsiaTheme="majorEastAsia" w:hAnsiTheme="majorHAnsi" w:cstheme="majorBidi"/>
          <w:lang w:eastAsia="en-US"/>
        </w:rPr>
        <w:lastRenderedPageBreak/>
        <w:t xml:space="preserve">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3D10F9F1"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w:t>
      </w:r>
      <w:r w:rsidR="00B010F4" w:rsidRPr="00B010F4">
        <w:rPr>
          <w:rFonts w:asciiTheme="majorHAnsi" w:hAnsiTheme="majorHAnsi"/>
        </w:rPr>
        <w:t>stawia wymóg w zakresie zatrudnienia przez wykonawcę lub podwykonawcę na podstawie stosunku pracy pracowników fizycznych oraz operatorów sprzętu budowlanego, wykonujących roboty budowlane związane z realizacją przedmiotowej inwestycji, w ilości osób niezbędnej do realizacji przedmiotu zamówienia. Obowiązek ten nie dotyczy osób pełniących samodzielne funkcje techniczne w budownictwie, takich jak: kierownik budowy, projektanci, osoby wykonujące obsługę geodezyjną,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w:t>
      </w:r>
      <w:r>
        <w:rPr>
          <w:rFonts w:asciiTheme="majorHAnsi" w:hAnsiTheme="majorHAnsi"/>
        </w:rPr>
        <w:lastRenderedPageBreak/>
        <w:t>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lastRenderedPageBreak/>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61791891"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FB1C3F">
        <w:rPr>
          <w:rFonts w:asciiTheme="majorHAnsi" w:eastAsiaTheme="majorEastAsia" w:hAnsiTheme="majorHAnsi" w:cstheme="majorBidi"/>
          <w:b/>
          <w:lang w:eastAsia="en-US"/>
        </w:rPr>
        <w:t>do 15.12.2022 r.</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1ABA2C78" w:rsidR="002A0F78" w:rsidRPr="00536C65" w:rsidRDefault="002F6D7C"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08D02EA4"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co najmniej 1 osoba pełniąca funkcję kierownika budowy posiadająca uprawnienia budowlane do kierowania robotami w specjalności konstrukcyjno- budowlanej</w:t>
      </w:r>
      <w:r w:rsidRPr="00F377E0">
        <w:rPr>
          <w:rFonts w:asciiTheme="majorHAnsi" w:eastAsiaTheme="majorEastAsia" w:hAnsiTheme="majorHAnsi" w:cstheme="majorBidi"/>
          <w:lang w:eastAsia="en-US"/>
        </w:rPr>
        <w:t xml:space="preserve"> oraz aktualny wpis do Polskiej Izby Inżynierów </w:t>
      </w:r>
      <w:r w:rsidR="00D36AA5" w:rsidRPr="00F377E0">
        <w:rPr>
          <w:rFonts w:asciiTheme="majorHAnsi" w:eastAsiaTheme="majorEastAsia" w:hAnsiTheme="majorHAnsi" w:cstheme="majorBidi"/>
          <w:lang w:eastAsia="en-US"/>
        </w:rPr>
        <w:t>Budownictwa;</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68DC8976"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7B0DD781"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lastRenderedPageBreak/>
        <w:t>W przypadku składania oferty wspólnej, Zamawiający uzna warunek za spełniony, jeś</w:t>
      </w:r>
      <w:r w:rsidR="004C50B8">
        <w:rPr>
          <w:rFonts w:asciiTheme="majorHAnsi" w:eastAsiaTheme="majorEastAsia" w:hAnsiTheme="majorHAnsi" w:cstheme="majorBidi"/>
          <w:lang w:eastAsia="en-US"/>
        </w:rPr>
        <w:t>li spełni go jeden z Wykonawców.</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2CFBADFC"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FB1C3F">
        <w:rPr>
          <w:rFonts w:ascii="Cambria" w:hAnsi="Cambria" w:cs="Arial"/>
          <w:color w:val="000000" w:themeColor="text1"/>
        </w:rPr>
        <w:t xml:space="preserve">ustawy </w:t>
      </w:r>
      <w:proofErr w:type="spellStart"/>
      <w:r w:rsidR="00FB1C3F">
        <w:rPr>
          <w:rFonts w:ascii="Cambria" w:hAnsi="Cambria" w:cs="Arial"/>
          <w:color w:val="000000" w:themeColor="text1"/>
        </w:rPr>
        <w:t>Pzp</w:t>
      </w:r>
      <w:proofErr w:type="spellEnd"/>
      <w:r w:rsidR="00FB1C3F">
        <w:rPr>
          <w:rFonts w:ascii="Cambria" w:hAnsi="Cambria" w:cs="Arial"/>
          <w:color w:val="000000" w:themeColor="text1"/>
        </w:rPr>
        <w:t xml:space="preserve">, </w:t>
      </w:r>
      <w:r w:rsidR="00FB1C3F" w:rsidRPr="00FB1C3F">
        <w:rPr>
          <w:rFonts w:ascii="Cambria" w:hAnsi="Cambria" w:cs="Arial"/>
          <w:color w:val="000000" w:themeColor="text1"/>
        </w:rPr>
        <w:t>a także wobec których zachodzą podstawy wykluczenia, o których mowa w art. 7 ust. 1 ustawy z dnia 13 kwietnia 2022 r. o szczególnych rozwiązaniach w zakresie przeciwdziałania wspieraniu agresji na Ukrainę oraz służących ochronie bezpieczeństwa narodowego.</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401FEED2" w:rsidR="00C87AE3" w:rsidRPr="00FB1C3F" w:rsidRDefault="00C87AE3" w:rsidP="0069216D">
      <w:pPr>
        <w:pStyle w:val="Akapitzlist"/>
        <w:numPr>
          <w:ilvl w:val="0"/>
          <w:numId w:val="50"/>
        </w:numPr>
        <w:jc w:val="both"/>
        <w:rPr>
          <w:rFonts w:asciiTheme="majorHAnsi" w:eastAsiaTheme="majorEastAsia" w:hAnsiTheme="majorHAnsi" w:cstheme="majorBidi"/>
          <w:lang w:eastAsia="en-US"/>
        </w:rPr>
      </w:pPr>
      <w:r w:rsidRPr="00FB1C3F">
        <w:rPr>
          <w:rFonts w:asciiTheme="majorHAnsi" w:eastAsiaTheme="majorEastAsia" w:hAnsiTheme="majorHAnsi" w:cstheme="majorBidi"/>
          <w:lang w:eastAsia="en-US"/>
        </w:rPr>
        <w:t xml:space="preserve">o </w:t>
      </w:r>
      <w:r w:rsidR="00FB1C3F" w:rsidRPr="00FB1C3F">
        <w:rPr>
          <w:rFonts w:asciiTheme="majorHAnsi" w:eastAsiaTheme="majorEastAsia" w:hAnsiTheme="majorHAnsi" w:cstheme="majorBidi"/>
          <w:lang w:eastAsia="en-US"/>
        </w:rPr>
        <w:t xml:space="preserve">którym mowa w </w:t>
      </w:r>
      <w:hyperlink r:id="rId10" w:anchor="/document/16798683?unitId=art(228)&amp;cm=DOCUMENT" w:history="1">
        <w:r w:rsidR="00FB1C3F" w:rsidRPr="00FB1C3F">
          <w:rPr>
            <w:rStyle w:val="Hipercze"/>
            <w:rFonts w:asciiTheme="majorHAnsi" w:eastAsiaTheme="majorEastAsia" w:hAnsiTheme="majorHAnsi" w:cstheme="majorBidi"/>
            <w:color w:val="auto"/>
            <w:u w:val="none"/>
            <w:lang w:eastAsia="en-US"/>
          </w:rPr>
          <w:t>art. 228-230a</w:t>
        </w:r>
      </w:hyperlink>
      <w:r w:rsidR="00FB1C3F" w:rsidRPr="00FB1C3F">
        <w:rPr>
          <w:rFonts w:asciiTheme="majorHAnsi" w:eastAsiaTheme="majorEastAsia" w:hAnsiTheme="majorHAnsi" w:cstheme="majorBidi"/>
          <w:lang w:eastAsia="en-US"/>
        </w:rPr>
        <w:t xml:space="preserve">, </w:t>
      </w:r>
      <w:hyperlink r:id="rId11" w:anchor="/document/17631344?unitId=art(250(a))&amp;cm=DOCUMENT" w:history="1">
        <w:r w:rsidR="00FB1C3F" w:rsidRPr="00FB1C3F">
          <w:rPr>
            <w:rStyle w:val="Hipercze"/>
            <w:rFonts w:asciiTheme="majorHAnsi" w:eastAsiaTheme="majorEastAsia" w:hAnsiTheme="majorHAnsi" w:cstheme="majorBidi"/>
            <w:color w:val="auto"/>
            <w:u w:val="none"/>
            <w:lang w:eastAsia="en-US"/>
          </w:rPr>
          <w:t>art. 250a</w:t>
        </w:r>
      </w:hyperlink>
      <w:r w:rsidR="00FB1C3F" w:rsidRPr="00FB1C3F">
        <w:rPr>
          <w:rFonts w:asciiTheme="majorHAnsi" w:eastAsiaTheme="majorEastAsia" w:hAnsiTheme="majorHAnsi" w:cstheme="majorBidi"/>
          <w:lang w:eastAsia="en-US"/>
        </w:rPr>
        <w:t xml:space="preserve"> Kodeksu karnego, w </w:t>
      </w:r>
      <w:hyperlink r:id="rId12" w:anchor="/document/17631344?unitId=art(46)&amp;cm=DOCUMENT" w:history="1">
        <w:r w:rsidR="00FB1C3F" w:rsidRPr="00FB1C3F">
          <w:rPr>
            <w:rStyle w:val="Hipercze"/>
            <w:rFonts w:asciiTheme="majorHAnsi" w:eastAsiaTheme="majorEastAsia" w:hAnsiTheme="majorHAnsi" w:cstheme="majorBidi"/>
            <w:color w:val="auto"/>
            <w:u w:val="none"/>
            <w:lang w:eastAsia="en-US"/>
          </w:rPr>
          <w:t>art. 46-48</w:t>
        </w:r>
      </w:hyperlink>
      <w:r w:rsidR="00FB1C3F" w:rsidRPr="00FB1C3F">
        <w:rPr>
          <w:rFonts w:asciiTheme="majorHAnsi" w:eastAsiaTheme="majorEastAsia" w:hAnsiTheme="majorHAnsi" w:cstheme="majorBidi"/>
          <w:lang w:eastAsia="en-US"/>
        </w:rPr>
        <w:t xml:space="preserve"> ustawy z dnia 25 czerwca 2010 r. o sporcie (Dz. U. z 2020 r. poz. 1133 oraz z 2021 r. poz. 2054 i 2142) lub w </w:t>
      </w:r>
      <w:hyperlink r:id="rId13" w:anchor="/document/17712396?unitId=art(54)ust(1)&amp;cm=DOCUMENT" w:history="1">
        <w:r w:rsidR="00FB1C3F" w:rsidRPr="00FB1C3F">
          <w:rPr>
            <w:rStyle w:val="Hipercze"/>
            <w:rFonts w:asciiTheme="majorHAnsi" w:eastAsiaTheme="majorEastAsia" w:hAnsiTheme="majorHAnsi" w:cstheme="majorBidi"/>
            <w:color w:val="auto"/>
            <w:u w:val="none"/>
            <w:lang w:eastAsia="en-US"/>
          </w:rPr>
          <w:t>art. 54 ust. 1-4</w:t>
        </w:r>
      </w:hyperlink>
      <w:r w:rsidR="00FB1C3F" w:rsidRPr="00FB1C3F">
        <w:rPr>
          <w:rFonts w:asciiTheme="majorHAnsi" w:eastAsiaTheme="majorEastAsia" w:hAnsiTheme="majorHAnsi" w:cstheme="majorBidi"/>
          <w:lang w:eastAsia="en-US"/>
        </w:rPr>
        <w:t xml:space="preserve"> ustawy z dnia 12 maja 2011 r. o refundacji leków, środków spożywczych specjalnego przeznaczenia żywieniowego oraz wyrobów medycznych (Dz. U. z 2022 r. poz. 463, 583 i 974),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lastRenderedPageBreak/>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w:t>
      </w:r>
      <w:r w:rsidRPr="00165E2F">
        <w:rPr>
          <w:rFonts w:asciiTheme="majorHAnsi" w:eastAsiaTheme="majorEastAsia" w:hAnsiTheme="majorHAnsi" w:cstheme="majorBidi"/>
          <w:color w:val="000000" w:themeColor="text1"/>
          <w:lang w:eastAsia="en-US"/>
        </w:rPr>
        <w:lastRenderedPageBreak/>
        <w:t>udzielenie zamówienia, lub który zataił te informacje lub nie jest w stanie przedstawić wymaganych podmiotowych środków dowodowych;</w:t>
      </w:r>
    </w:p>
    <w:p w14:paraId="55B2C6D0" w14:textId="37EB12DA" w:rsidR="009C5220"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2121B3B1" w14:textId="77777777" w:rsidR="00FB1C3F" w:rsidRPr="00FB1C3F" w:rsidRDefault="00FB1C3F" w:rsidP="00FB1C3F">
      <w:pPr>
        <w:pStyle w:val="Akapitzlist"/>
        <w:shd w:val="clear" w:color="auto" w:fill="FFFFFF"/>
        <w:spacing w:line="252" w:lineRule="auto"/>
        <w:ind w:left="0"/>
        <w:jc w:val="both"/>
        <w:rPr>
          <w:rFonts w:asciiTheme="majorHAnsi" w:eastAsiaTheme="majorEastAsia" w:hAnsiTheme="majorHAnsi" w:cstheme="majorBidi"/>
          <w:b/>
          <w:color w:val="000000" w:themeColor="text1"/>
          <w:lang w:eastAsia="en-US"/>
        </w:rPr>
      </w:pPr>
      <w:r w:rsidRPr="00FB1C3F">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FB1C3F">
        <w:rPr>
          <w:rFonts w:asciiTheme="majorHAnsi" w:eastAsiaTheme="majorEastAsia" w:hAnsiTheme="majorHAnsi" w:cstheme="majorBidi"/>
          <w:b/>
          <w:color w:val="000000" w:themeColor="text1"/>
          <w:lang w:eastAsia="en-US"/>
        </w:rPr>
        <w:t>tj</w:t>
      </w:r>
      <w:proofErr w:type="spellEnd"/>
      <w:r w:rsidRPr="00FB1C3F">
        <w:rPr>
          <w:rFonts w:asciiTheme="majorHAnsi" w:eastAsiaTheme="majorEastAsia" w:hAnsiTheme="majorHAnsi" w:cstheme="majorBidi"/>
          <w:b/>
          <w:color w:val="000000" w:themeColor="text1"/>
          <w:lang w:eastAsia="en-US"/>
        </w:rPr>
        <w:t>:</w:t>
      </w:r>
    </w:p>
    <w:p w14:paraId="24F76485" w14:textId="77777777" w:rsidR="00FB1C3F" w:rsidRPr="00FB1C3F" w:rsidRDefault="00FB1C3F" w:rsidP="00FB1C3F">
      <w:pPr>
        <w:pStyle w:val="Akapitzlist"/>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1)</w:t>
      </w:r>
      <w:r w:rsidRPr="00FB1C3F">
        <w:rPr>
          <w:rFonts w:asciiTheme="majorHAnsi" w:eastAsiaTheme="majorEastAsia" w:hAnsiTheme="majorHAnsi" w:cstheme="majorBidi"/>
          <w:color w:val="000000" w:themeColor="text1"/>
          <w:lang w:eastAsia="en-US"/>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41D80647" w14:textId="77777777" w:rsidR="00FB1C3F" w:rsidRPr="00FB1C3F" w:rsidRDefault="00FB1C3F" w:rsidP="00FB1C3F">
      <w:pPr>
        <w:pStyle w:val="Akapitzlist"/>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2)</w:t>
      </w:r>
      <w:r w:rsidRPr="00FB1C3F">
        <w:rPr>
          <w:rFonts w:asciiTheme="majorHAnsi" w:eastAsiaTheme="majorEastAsia" w:hAnsiTheme="majorHAnsi" w:cstheme="majorBidi"/>
          <w:color w:val="000000" w:themeColor="text1"/>
          <w:lang w:eastAsia="en-U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1775A1F8" w14:textId="77777777" w:rsidR="00FB1C3F" w:rsidRPr="00FB1C3F" w:rsidRDefault="00FB1C3F" w:rsidP="00FB1C3F">
      <w:pPr>
        <w:pStyle w:val="Akapitzlist"/>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3)</w:t>
      </w:r>
      <w:r w:rsidRPr="00FB1C3F">
        <w:rPr>
          <w:rFonts w:asciiTheme="majorHAnsi" w:eastAsiaTheme="majorEastAsia" w:hAnsiTheme="majorHAnsi" w:cstheme="majorBidi"/>
          <w:color w:val="000000" w:themeColor="text1"/>
          <w:lang w:eastAsia="en-U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16D36836" w14:textId="77777777" w:rsidR="00FB1C3F" w:rsidRPr="00FB1C3F" w:rsidRDefault="00FB1C3F" w:rsidP="00FB1C3F">
      <w:pPr>
        <w:pStyle w:val="Akapitzlist"/>
        <w:shd w:val="clear" w:color="auto" w:fill="FFFFFF"/>
        <w:spacing w:line="252" w:lineRule="auto"/>
        <w:ind w:left="426"/>
        <w:jc w:val="both"/>
        <w:rPr>
          <w:rFonts w:asciiTheme="majorHAnsi" w:eastAsiaTheme="majorEastAsia" w:hAnsiTheme="majorHAnsi" w:cstheme="majorBidi"/>
          <w:color w:val="000000" w:themeColor="text1"/>
          <w:lang w:eastAsia="en-US"/>
        </w:rPr>
      </w:pPr>
    </w:p>
    <w:p w14:paraId="39132769" w14:textId="47518D2C" w:rsidR="00FB1C3F" w:rsidRPr="00165E2F" w:rsidRDefault="00FB1C3F" w:rsidP="00FB1C3F">
      <w:pPr>
        <w:pStyle w:val="Akapitzlist"/>
        <w:shd w:val="clear" w:color="auto" w:fill="FFFFFF"/>
        <w:spacing w:line="252" w:lineRule="auto"/>
        <w:ind w:left="0"/>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Zamawiający informuję, iż na podstawie art. 7 ust. 6 oraz ust. 7 ustawy z dnia 13 kwietnia 2022 r. o szczególnych rozwiązaniach w zakresie przeciwdziałania wspieraniu agresji na Ukrainę oraz służących ochronie bezpieczeństwa narodowego osoba lub podmiot podlegający wykluczeniu na podstawie art. 1 niniejszej ustawy,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20.000.000,00 zł.</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lastRenderedPageBreak/>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lastRenderedPageBreak/>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 xml:space="preserve">obowiązany wykazać, że oferowane przez niego rozwiązanie </w:t>
      </w:r>
      <w:r w:rsidRPr="00221C50">
        <w:rPr>
          <w:rFonts w:ascii="Cambria" w:hAnsi="Cambria"/>
          <w:color w:val="000000" w:themeColor="text1"/>
        </w:rPr>
        <w:lastRenderedPageBreak/>
        <w:t>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4BFF96F6" w:rsidR="00887365" w:rsidRPr="00017BCE" w:rsidRDefault="00887365" w:rsidP="00017BCE">
      <w:pPr>
        <w:numPr>
          <w:ilvl w:val="0"/>
          <w:numId w:val="27"/>
        </w:numPr>
        <w:spacing w:before="240" w:line="252" w:lineRule="auto"/>
        <w:ind w:right="-108"/>
        <w:jc w:val="both"/>
        <w:rPr>
          <w:rFonts w:ascii="Cambria" w:hAnsi="Cambria"/>
          <w:bCs/>
          <w:color w:val="000000" w:themeColor="text1"/>
        </w:rPr>
      </w:pPr>
      <w:r w:rsidRPr="00017BCE">
        <w:rPr>
          <w:rFonts w:ascii="Cambria" w:hAnsi="Cambria"/>
          <w:color w:val="000000" w:themeColor="text1"/>
        </w:rPr>
        <w:t xml:space="preserve">Zastrzeżenie tajemnicy przedsiębiorstwa </w:t>
      </w:r>
      <w:r w:rsidR="009F01BF" w:rsidRPr="00017BCE">
        <w:rPr>
          <w:rFonts w:ascii="Cambria" w:hAnsi="Cambria"/>
          <w:color w:val="000000" w:themeColor="text1"/>
        </w:rPr>
        <w:t>–</w:t>
      </w:r>
      <w:r w:rsidRPr="00017BCE">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017BCE">
        <w:rPr>
          <w:rFonts w:ascii="Cambria" w:hAnsi="Cambria"/>
          <w:color w:val="000000" w:themeColor="text1"/>
        </w:rPr>
        <w:t>,</w:t>
      </w:r>
      <w:r w:rsidRPr="00017BCE">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017BCE">
        <w:rPr>
          <w:rFonts w:ascii="Cambria" w:hAnsi="Cambria"/>
          <w:color w:val="000000" w:themeColor="text1"/>
        </w:rPr>
        <w:t>.</w:t>
      </w:r>
      <w:r w:rsidR="00017BCE" w:rsidRPr="00017BCE">
        <w:rPr>
          <w:rFonts w:ascii="Cambria" w:hAnsi="Cambria"/>
          <w:color w:val="000000" w:themeColor="text1"/>
        </w:rPr>
        <w:t xml:space="preserve"> Zgodnie z</w:t>
      </w:r>
      <w:r w:rsidR="00017BCE">
        <w:rPr>
          <w:rFonts w:ascii="Cambria" w:hAnsi="Cambria"/>
          <w:color w:val="000000" w:themeColor="text1"/>
        </w:rPr>
        <w:t xml:space="preserve"> § 4 ust. 1</w:t>
      </w:r>
      <w:r w:rsidR="00017BCE" w:rsidRPr="00017BCE">
        <w:rPr>
          <w:rFonts w:ascii="Cambria" w:hAnsi="Cambria"/>
          <w:color w:val="000000" w:themeColor="text1"/>
        </w:rPr>
        <w:t xml:space="preserve"> Rozporządzeni</w:t>
      </w:r>
      <w:r w:rsidR="00017BCE">
        <w:rPr>
          <w:rFonts w:ascii="Cambria" w:hAnsi="Cambria"/>
          <w:color w:val="000000" w:themeColor="text1"/>
        </w:rPr>
        <w:t>a</w:t>
      </w:r>
      <w:r w:rsidR="00017BCE" w:rsidRPr="00017BCE">
        <w:rPr>
          <w:rFonts w:ascii="Cambria" w:hAnsi="Cambria"/>
          <w:color w:val="000000" w:themeColor="text1"/>
        </w:rPr>
        <w:t xml:space="preserve"> Prezesa Rady Ministrów z dnia 30 grudnia 2020 r. w sprawie </w:t>
      </w:r>
      <w:r w:rsidR="00017BCE" w:rsidRPr="00017BCE">
        <w:rPr>
          <w:rFonts w:ascii="Cambria" w:hAnsi="Cambria"/>
          <w:bCs/>
          <w:iCs/>
          <w:color w:val="000000" w:themeColor="text1"/>
        </w:rPr>
        <w:t>sposobu sporządzania</w:t>
      </w:r>
      <w:r w:rsidR="00017BCE" w:rsidRPr="00017BCE">
        <w:rPr>
          <w:rFonts w:ascii="Cambria" w:hAnsi="Cambria"/>
          <w:bCs/>
          <w:color w:val="000000" w:themeColor="text1"/>
        </w:rPr>
        <w:t xml:space="preserve"> i </w:t>
      </w:r>
      <w:r w:rsidR="00017BCE" w:rsidRPr="00017BCE">
        <w:rPr>
          <w:rFonts w:ascii="Cambria" w:hAnsi="Cambria"/>
          <w:bCs/>
          <w:iCs/>
          <w:color w:val="000000" w:themeColor="text1"/>
        </w:rPr>
        <w:t>przekazywania</w:t>
      </w:r>
      <w:r w:rsidR="00017BCE" w:rsidRPr="00017BCE">
        <w:rPr>
          <w:rFonts w:ascii="Cambria" w:hAnsi="Cambria"/>
          <w:bCs/>
          <w:color w:val="000000" w:themeColor="text1"/>
        </w:rPr>
        <w:t xml:space="preserve"> informacji oraz wymagań technicznych dla dokumentów elektronicznych oraz środków komunikacji elektronicznej w postępowaniu o udzielenie zamówienia publicznego lub konkursie (Dz.U. 2020 poz. 2452)</w:t>
      </w:r>
      <w:r w:rsidR="00017BCE">
        <w:rPr>
          <w:rFonts w:ascii="Cambria" w:hAnsi="Cambria"/>
          <w:bCs/>
          <w:color w:val="000000" w:themeColor="text1"/>
        </w:rPr>
        <w:t xml:space="preserve"> </w:t>
      </w:r>
      <w:r w:rsidR="00017BCE" w:rsidRPr="00017BCE">
        <w:rPr>
          <w:rFonts w:ascii="Cambria" w:hAnsi="Cambria"/>
          <w:bCs/>
          <w:color w:val="000000" w:themeColor="text1"/>
        </w:rPr>
        <w:t xml:space="preserve">W przypadku gdy dokumenty elektroniczne w postępowaniu lub konkursie, </w:t>
      </w:r>
      <w:r w:rsidR="00017BCE" w:rsidRPr="00017BCE">
        <w:rPr>
          <w:rFonts w:ascii="Cambria" w:hAnsi="Cambria"/>
          <w:bCs/>
          <w:iCs/>
          <w:color w:val="000000" w:themeColor="text1"/>
        </w:rPr>
        <w:t>przekazywane</w:t>
      </w:r>
      <w:r w:rsidR="00017BCE" w:rsidRPr="00017BCE">
        <w:rPr>
          <w:rFonts w:ascii="Cambria" w:hAnsi="Cambria"/>
          <w:bCs/>
          <w:color w:val="000000" w:themeColor="text1"/>
        </w:rPr>
        <w:t xml:space="preserve"> przy użyciu środków komunikacji elektronicznej, zawierają informacje stanowiące tajemnicę przedsiębiorstwa w rozumieniu przepisów </w:t>
      </w:r>
      <w:hyperlink r:id="rId14" w:anchor="/document/16795259?cm=DOCUMENT" w:history="1">
        <w:r w:rsidR="00017BCE" w:rsidRPr="00017BCE">
          <w:rPr>
            <w:rStyle w:val="Hipercze"/>
            <w:rFonts w:ascii="Cambria" w:hAnsi="Cambria"/>
            <w:bCs/>
          </w:rPr>
          <w:t>ustawy</w:t>
        </w:r>
      </w:hyperlink>
      <w:r w:rsidR="00017BCE" w:rsidRPr="00017BCE">
        <w:rPr>
          <w:rFonts w:ascii="Cambria" w:hAnsi="Cambria"/>
          <w:bCs/>
          <w:color w:val="000000" w:themeColor="text1"/>
        </w:rPr>
        <w:t xml:space="preserve"> z dnia 16 kwietnia 1993 r. o zwalczaniu nieuczciwej konkurencji (Dz. U. z 2020 r. poz. 1913), wykonawca, w celu utrzymania w poufności tych informacji, </w:t>
      </w:r>
      <w:r w:rsidR="00017BCE" w:rsidRPr="00017BCE">
        <w:rPr>
          <w:rFonts w:ascii="Cambria" w:hAnsi="Cambria"/>
          <w:bCs/>
          <w:iCs/>
          <w:color w:val="000000" w:themeColor="text1"/>
        </w:rPr>
        <w:t>przekazuje</w:t>
      </w:r>
      <w:r w:rsidR="00017BCE" w:rsidRPr="00017BCE">
        <w:rPr>
          <w:rFonts w:ascii="Cambria" w:hAnsi="Cambria"/>
          <w:bCs/>
          <w:color w:val="000000" w:themeColor="text1"/>
        </w:rPr>
        <w:t xml:space="preserve"> je w wydzielonym i odpowiednio oznaczonym pliku.</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E212A0">
      <w:pPr>
        <w:numPr>
          <w:ilvl w:val="0"/>
          <w:numId w:val="6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2709F2E7" w14:textId="1061162B" w:rsidR="00563BB9" w:rsidRPr="00E212A0" w:rsidRDefault="00E212A0" w:rsidP="00E1023A">
      <w:pPr>
        <w:jc w:val="both"/>
        <w:rPr>
          <w:rFonts w:ascii="Cambria" w:hAnsi="Cambria"/>
          <w:b/>
        </w:rPr>
      </w:pPr>
      <w:r w:rsidRPr="00E212A0">
        <w:rPr>
          <w:rFonts w:ascii="Cambria" w:hAnsi="Cambria"/>
          <w:b/>
        </w:rPr>
        <w:t xml:space="preserve">Zamawiający nie wymaga złożenia podmiotowych środków dowodowych potwierdzających brak podstaw wykluczenia oraz spełnienia warunków udziału w postępowaniu.  </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 xml:space="preserve">podpis </w:t>
      </w:r>
      <w:r w:rsidRPr="00C911EA">
        <w:rPr>
          <w:rFonts w:ascii="Cambria" w:hAnsi="Cambria"/>
          <w:b/>
          <w:bCs/>
          <w:lang w:val="pl"/>
        </w:rPr>
        <w:lastRenderedPageBreak/>
        <w:t>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5"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6">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2A288D" w:rsidP="00CE4D89">
      <w:pPr>
        <w:spacing w:before="120" w:line="252" w:lineRule="auto"/>
        <w:ind w:left="357"/>
        <w:jc w:val="both"/>
        <w:rPr>
          <w:rFonts w:ascii="Cambria" w:hAnsi="Cambria"/>
          <w:lang w:val="pl"/>
        </w:rPr>
      </w:pPr>
      <w:hyperlink r:id="rId17">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 xml:space="preserve">i oświadczenia składane przez wykonawcę powinny być w języku polskim, chyba że w SWZ dopuszczono inaczej. W przypadku  załączenia </w:t>
      </w:r>
      <w:r w:rsidRPr="00CE4D89">
        <w:rPr>
          <w:rFonts w:ascii="Cambria" w:hAnsi="Cambria"/>
          <w:lang w:val="pl"/>
        </w:rPr>
        <w:lastRenderedPageBreak/>
        <w:t>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lastRenderedPageBreak/>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1"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1"/>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lastRenderedPageBreak/>
        <w:t>Postępowanie prowadzone jest w języku polskim za pośrednictwem platformy platformazakupowa.pl pod adresem</w:t>
      </w:r>
      <w:r w:rsidR="00A760C1" w:rsidRPr="00EC7D54">
        <w:rPr>
          <w:rFonts w:asciiTheme="majorHAnsi" w:hAnsiTheme="majorHAnsi" w:cs="Arial"/>
        </w:rPr>
        <w:t xml:space="preserve"> </w:t>
      </w:r>
      <w:hyperlink r:id="rId18"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9">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20">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21">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lastRenderedPageBreak/>
        <w:t xml:space="preserve">akceptuje warunki korzystania z </w:t>
      </w:r>
      <w:hyperlink r:id="rId22">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23">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24"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5">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6"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7"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7B35D01"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14:paraId="55BF85D0" w14:textId="0A3BBFAF"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lastRenderedPageBreak/>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4D4BA68C"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8">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9"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B37FEF">
        <w:rPr>
          <w:rFonts w:ascii="Cambria" w:hAnsi="Cambria"/>
        </w:rPr>
        <w:t xml:space="preserve"> postępowania do dnia 26.10</w:t>
      </w:r>
      <w:r>
        <w:rPr>
          <w:rFonts w:ascii="Cambria" w:hAnsi="Cambria"/>
        </w:rPr>
        <w:t>.2022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4CA41461" w:rsidR="00D76005" w:rsidRDefault="00B37FEF" w:rsidP="0069216D">
      <w:pPr>
        <w:numPr>
          <w:ilvl w:val="1"/>
          <w:numId w:val="37"/>
        </w:numPr>
        <w:ind w:right="-108"/>
        <w:jc w:val="both"/>
        <w:rPr>
          <w:rFonts w:ascii="Cambria" w:hAnsi="Cambria"/>
        </w:rPr>
      </w:pPr>
      <w:r>
        <w:rPr>
          <w:rFonts w:ascii="Cambria" w:hAnsi="Cambria"/>
        </w:rPr>
        <w:t>Otwarcie ofert nastąpi 26.10</w:t>
      </w:r>
      <w:r w:rsidR="00093FC9">
        <w:rPr>
          <w:rFonts w:ascii="Cambria" w:hAnsi="Cambria"/>
        </w:rPr>
        <w:t>.2022 r. o godz. 10:0</w:t>
      </w:r>
      <w:r w:rsidR="00D76005">
        <w:rPr>
          <w:rFonts w:ascii="Cambria" w:hAnsi="Cambria"/>
        </w:rPr>
        <w:t>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30F8368D" w14:textId="77777777" w:rsidR="005C30CD" w:rsidRPr="00773D17" w:rsidRDefault="005C30CD" w:rsidP="005C30CD">
      <w:pPr>
        <w:ind w:right="-108"/>
        <w:jc w:val="both"/>
        <w:rPr>
          <w:rFonts w:ascii="Cambria" w:hAnsi="Cambria"/>
        </w:rPr>
      </w:pPr>
    </w:p>
    <w:p w14:paraId="3685A3FB" w14:textId="062AB016"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B37FEF">
        <w:rPr>
          <w:rFonts w:ascii="Cambria" w:hAnsi="Cambria"/>
          <w:b/>
          <w:bCs/>
        </w:rPr>
        <w:t>24.11</w:t>
      </w:r>
      <w:r w:rsidR="00381C4B">
        <w:rPr>
          <w:rFonts w:ascii="Cambria" w:hAnsi="Cambria"/>
          <w:b/>
          <w:bCs/>
        </w:rPr>
        <w:t>.2022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 xml:space="preserve">Maksymalny okres gwarancji i rękojmi za wady wynosi uwzględniony do oceny ofert wynosi 72 miesiące. Jeżeli Wykonawca zaoferuje okres gwarancji i rękojmi za wady </w:t>
      </w:r>
      <w:r>
        <w:rPr>
          <w:rFonts w:asciiTheme="majorHAnsi" w:hAnsiTheme="majorHAnsi"/>
        </w:rPr>
        <w:lastRenderedPageBreak/>
        <w:t>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lastRenderedPageBreak/>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58EBD50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03D979D6"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CF7453">
        <w:rPr>
          <w:rFonts w:ascii="Cambria" w:hAnsi="Cambria"/>
          <w:b/>
        </w:rPr>
        <w:t>Budowa Teatru Letniego przy Ratuszu w Gniewkowie</w:t>
      </w:r>
      <w:r w:rsidR="00DB3824">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2"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2"/>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lastRenderedPageBreak/>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0F28D32F" w14:textId="67AB518A" w:rsidR="00D40235" w:rsidRDefault="002D28EF" w:rsidP="00DC6904">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604742">
        <w:rPr>
          <w:rFonts w:asciiTheme="majorHAnsi" w:hAnsiTheme="majorHAnsi" w:cs="Arial"/>
          <w:szCs w:val="24"/>
        </w:rPr>
        <w:t>Dokumentacja projektowa</w:t>
      </w: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4B54CB57" w14:textId="5C607B9A" w:rsidR="00135E48" w:rsidRDefault="008459CA" w:rsidP="00D53752">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DC6904">
        <w:rPr>
          <w:rFonts w:asciiTheme="majorHAnsi" w:hAnsiTheme="majorHAnsi" w:cs="Arial"/>
          <w:szCs w:val="24"/>
        </w:rPr>
        <w:t xml:space="preserve">, dnia </w:t>
      </w:r>
      <w:r w:rsidR="00D53752">
        <w:rPr>
          <w:rFonts w:asciiTheme="majorHAnsi" w:hAnsiTheme="majorHAnsi" w:cs="Arial"/>
          <w:szCs w:val="24"/>
        </w:rPr>
        <w:t>11.10.2022 r.</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31816" w14:textId="77777777" w:rsidR="002A288D" w:rsidRDefault="002A288D" w:rsidP="000F1DCF">
      <w:r>
        <w:separator/>
      </w:r>
    </w:p>
  </w:endnote>
  <w:endnote w:type="continuationSeparator" w:id="0">
    <w:p w14:paraId="0BA88887" w14:textId="77777777" w:rsidR="002A288D" w:rsidRDefault="002A288D" w:rsidP="000F1DCF">
      <w:r>
        <w:continuationSeparator/>
      </w:r>
    </w:p>
  </w:endnote>
  <w:endnote w:type="continuationNotice" w:id="1">
    <w:p w14:paraId="6650F089" w14:textId="77777777" w:rsidR="002A288D" w:rsidRDefault="002A2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A0D62" w14:textId="77777777" w:rsidR="002A288D" w:rsidRDefault="002A288D" w:rsidP="000F1DCF">
      <w:r>
        <w:separator/>
      </w:r>
    </w:p>
  </w:footnote>
  <w:footnote w:type="continuationSeparator" w:id="0">
    <w:p w14:paraId="2228225B" w14:textId="77777777" w:rsidR="002A288D" w:rsidRDefault="002A288D" w:rsidP="000F1DCF">
      <w:r>
        <w:continuationSeparator/>
      </w:r>
    </w:p>
  </w:footnote>
  <w:footnote w:type="continuationNotice" w:id="1">
    <w:p w14:paraId="2EF633B7" w14:textId="77777777" w:rsidR="002A288D" w:rsidRDefault="002A28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2C0A86"/>
    <w:multiLevelType w:val="hybridMultilevel"/>
    <w:tmpl w:val="EF0AEFB6"/>
    <w:lvl w:ilvl="0" w:tplc="56266F3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41F22DE"/>
    <w:multiLevelType w:val="hybridMultilevel"/>
    <w:tmpl w:val="D660D1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414692"/>
    <w:multiLevelType w:val="hybridMultilevel"/>
    <w:tmpl w:val="A8D2339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0">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8"/>
  </w:num>
  <w:num w:numId="3">
    <w:abstractNumId w:val="58"/>
  </w:num>
  <w:num w:numId="4">
    <w:abstractNumId w:val="60"/>
  </w:num>
  <w:num w:numId="5">
    <w:abstractNumId w:val="27"/>
  </w:num>
  <w:num w:numId="6">
    <w:abstractNumId w:val="59"/>
  </w:num>
  <w:num w:numId="7">
    <w:abstractNumId w:val="18"/>
  </w:num>
  <w:num w:numId="8">
    <w:abstractNumId w:val="36"/>
  </w:num>
  <w:num w:numId="9">
    <w:abstractNumId w:val="15"/>
  </w:num>
  <w:num w:numId="10">
    <w:abstractNumId w:val="0"/>
  </w:num>
  <w:num w:numId="11">
    <w:abstractNumId w:val="30"/>
  </w:num>
  <w:num w:numId="12">
    <w:abstractNumId w:val="22"/>
  </w:num>
  <w:num w:numId="13">
    <w:abstractNumId w:val="55"/>
  </w:num>
  <w:num w:numId="14">
    <w:abstractNumId w:val="45"/>
  </w:num>
  <w:num w:numId="15">
    <w:abstractNumId w:val="48"/>
  </w:num>
  <w:num w:numId="16">
    <w:abstractNumId w:val="20"/>
  </w:num>
  <w:num w:numId="17">
    <w:abstractNumId w:val="35"/>
  </w:num>
  <w:num w:numId="18">
    <w:abstractNumId w:val="37"/>
  </w:num>
  <w:num w:numId="19">
    <w:abstractNumId w:val="12"/>
  </w:num>
  <w:num w:numId="20">
    <w:abstractNumId w:val="52"/>
  </w:num>
  <w:num w:numId="21">
    <w:abstractNumId w:val="19"/>
  </w:num>
  <w:num w:numId="22">
    <w:abstractNumId w:val="10"/>
  </w:num>
  <w:num w:numId="23">
    <w:abstractNumId w:val="11"/>
  </w:num>
  <w:num w:numId="24">
    <w:abstractNumId w:val="26"/>
  </w:num>
  <w:num w:numId="25">
    <w:abstractNumId w:val="51"/>
  </w:num>
  <w:num w:numId="26">
    <w:abstractNumId w:val="14"/>
  </w:num>
  <w:num w:numId="27">
    <w:abstractNumId w:val="25"/>
  </w:num>
  <w:num w:numId="28">
    <w:abstractNumId w:val="5"/>
  </w:num>
  <w:num w:numId="29">
    <w:abstractNumId w:val="23"/>
  </w:num>
  <w:num w:numId="30">
    <w:abstractNumId w:val="7"/>
  </w:num>
  <w:num w:numId="31">
    <w:abstractNumId w:val="46"/>
  </w:num>
  <w:num w:numId="32">
    <w:abstractNumId w:val="43"/>
  </w:num>
  <w:num w:numId="33">
    <w:abstractNumId w:val="4"/>
  </w:num>
  <w:num w:numId="34">
    <w:abstractNumId w:val="53"/>
  </w:num>
  <w:num w:numId="35">
    <w:abstractNumId w:val="31"/>
  </w:num>
  <w:num w:numId="36">
    <w:abstractNumId w:val="29"/>
  </w:num>
  <w:num w:numId="37">
    <w:abstractNumId w:val="40"/>
  </w:num>
  <w:num w:numId="38">
    <w:abstractNumId w:val="56"/>
  </w:num>
  <w:num w:numId="39">
    <w:abstractNumId w:val="28"/>
  </w:num>
  <w:num w:numId="40">
    <w:abstractNumId w:val="1"/>
  </w:num>
  <w:num w:numId="41">
    <w:abstractNumId w:val="49"/>
  </w:num>
  <w:num w:numId="42">
    <w:abstractNumId w:val="50"/>
  </w:num>
  <w:num w:numId="43">
    <w:abstractNumId w:val="41"/>
  </w:num>
  <w:num w:numId="44">
    <w:abstractNumId w:val="54"/>
  </w:num>
  <w:num w:numId="45">
    <w:abstractNumId w:val="2"/>
  </w:num>
  <w:num w:numId="46">
    <w:abstractNumId w:val="39"/>
  </w:num>
  <w:num w:numId="47">
    <w:abstractNumId w:val="32"/>
  </w:num>
  <w:num w:numId="48">
    <w:abstractNumId w:val="13"/>
  </w:num>
  <w:num w:numId="49">
    <w:abstractNumId w:val="9"/>
  </w:num>
  <w:num w:numId="50">
    <w:abstractNumId w:val="8"/>
  </w:num>
  <w:num w:numId="51">
    <w:abstractNumId w:val="47"/>
  </w:num>
  <w:num w:numId="52">
    <w:abstractNumId w:val="21"/>
  </w:num>
  <w:num w:numId="53">
    <w:abstractNumId w:val="16"/>
  </w:num>
  <w:num w:numId="54">
    <w:abstractNumId w:val="3"/>
  </w:num>
  <w:num w:numId="55">
    <w:abstractNumId w:val="42"/>
  </w:num>
  <w:num w:numId="56">
    <w:abstractNumId w:val="6"/>
  </w:num>
  <w:num w:numId="57">
    <w:abstractNumId w:val="34"/>
  </w:num>
  <w:num w:numId="58">
    <w:abstractNumId w:val="44"/>
  </w:num>
  <w:num w:numId="59">
    <w:abstractNumId w:val="57"/>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07F09"/>
    <w:rsid w:val="0001016A"/>
    <w:rsid w:val="00011439"/>
    <w:rsid w:val="00012548"/>
    <w:rsid w:val="00014A8A"/>
    <w:rsid w:val="000151F9"/>
    <w:rsid w:val="00015B95"/>
    <w:rsid w:val="00016F35"/>
    <w:rsid w:val="000171C5"/>
    <w:rsid w:val="000179DD"/>
    <w:rsid w:val="00017BCE"/>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705"/>
    <w:rsid w:val="0006185A"/>
    <w:rsid w:val="0006246E"/>
    <w:rsid w:val="00063DB3"/>
    <w:rsid w:val="00064340"/>
    <w:rsid w:val="00064F52"/>
    <w:rsid w:val="00065D2D"/>
    <w:rsid w:val="0006778A"/>
    <w:rsid w:val="00067B80"/>
    <w:rsid w:val="00070355"/>
    <w:rsid w:val="00070A95"/>
    <w:rsid w:val="0007153D"/>
    <w:rsid w:val="00071677"/>
    <w:rsid w:val="000725AE"/>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FC9"/>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982"/>
    <w:rsid w:val="001A5B3C"/>
    <w:rsid w:val="001A6ED6"/>
    <w:rsid w:val="001A6F87"/>
    <w:rsid w:val="001A7700"/>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B7"/>
    <w:rsid w:val="001F0D7F"/>
    <w:rsid w:val="001F48B2"/>
    <w:rsid w:val="001F665A"/>
    <w:rsid w:val="0020063A"/>
    <w:rsid w:val="002016A0"/>
    <w:rsid w:val="00202BDC"/>
    <w:rsid w:val="00203AC7"/>
    <w:rsid w:val="00205450"/>
    <w:rsid w:val="00205672"/>
    <w:rsid w:val="00206687"/>
    <w:rsid w:val="00206FC6"/>
    <w:rsid w:val="00207AC9"/>
    <w:rsid w:val="00210011"/>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06A5"/>
    <w:rsid w:val="0026342C"/>
    <w:rsid w:val="00263B56"/>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7D2"/>
    <w:rsid w:val="002A0F78"/>
    <w:rsid w:val="002A288D"/>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6D7C"/>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307"/>
    <w:rsid w:val="00320F91"/>
    <w:rsid w:val="00322252"/>
    <w:rsid w:val="00323B10"/>
    <w:rsid w:val="003247A5"/>
    <w:rsid w:val="00324D72"/>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2D02"/>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D7AA1"/>
    <w:rsid w:val="003E10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0D9"/>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14B"/>
    <w:rsid w:val="004A5B68"/>
    <w:rsid w:val="004A65DA"/>
    <w:rsid w:val="004A6CBB"/>
    <w:rsid w:val="004B1BE4"/>
    <w:rsid w:val="004B227D"/>
    <w:rsid w:val="004B37F8"/>
    <w:rsid w:val="004B3BBC"/>
    <w:rsid w:val="004B4168"/>
    <w:rsid w:val="004B468B"/>
    <w:rsid w:val="004B52BB"/>
    <w:rsid w:val="004B62DA"/>
    <w:rsid w:val="004B6CE4"/>
    <w:rsid w:val="004B7F25"/>
    <w:rsid w:val="004C01CA"/>
    <w:rsid w:val="004C03A0"/>
    <w:rsid w:val="004C17CD"/>
    <w:rsid w:val="004C17DA"/>
    <w:rsid w:val="004C3078"/>
    <w:rsid w:val="004C3097"/>
    <w:rsid w:val="004C3E03"/>
    <w:rsid w:val="004C4B45"/>
    <w:rsid w:val="004C4FA9"/>
    <w:rsid w:val="004C50B8"/>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4DE"/>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4742"/>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4AE4"/>
    <w:rsid w:val="006A4F2A"/>
    <w:rsid w:val="006A7A05"/>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587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290"/>
    <w:rsid w:val="008F4580"/>
    <w:rsid w:val="008F4894"/>
    <w:rsid w:val="008F4F4C"/>
    <w:rsid w:val="008F5003"/>
    <w:rsid w:val="008F5882"/>
    <w:rsid w:val="008F5B10"/>
    <w:rsid w:val="008F6463"/>
    <w:rsid w:val="008F6A34"/>
    <w:rsid w:val="008F73F2"/>
    <w:rsid w:val="0090125C"/>
    <w:rsid w:val="009050E2"/>
    <w:rsid w:val="00907000"/>
    <w:rsid w:val="00907496"/>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547"/>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3DE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4"/>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342A"/>
    <w:rsid w:val="00B2574C"/>
    <w:rsid w:val="00B309A3"/>
    <w:rsid w:val="00B30B4C"/>
    <w:rsid w:val="00B31202"/>
    <w:rsid w:val="00B31B45"/>
    <w:rsid w:val="00B32A86"/>
    <w:rsid w:val="00B34300"/>
    <w:rsid w:val="00B36291"/>
    <w:rsid w:val="00B37FEF"/>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5DA"/>
    <w:rsid w:val="00CE662E"/>
    <w:rsid w:val="00CE66F3"/>
    <w:rsid w:val="00CE6F5F"/>
    <w:rsid w:val="00CF07EC"/>
    <w:rsid w:val="00CF0B54"/>
    <w:rsid w:val="00CF11B9"/>
    <w:rsid w:val="00CF2987"/>
    <w:rsid w:val="00CF3FB9"/>
    <w:rsid w:val="00CF47B6"/>
    <w:rsid w:val="00CF55D1"/>
    <w:rsid w:val="00CF5944"/>
    <w:rsid w:val="00CF5EF6"/>
    <w:rsid w:val="00CF7453"/>
    <w:rsid w:val="00D0214A"/>
    <w:rsid w:val="00D0280A"/>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752"/>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904"/>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2A0"/>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3C8C"/>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5FB3"/>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631F"/>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C3F"/>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0944"/>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5852951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pn/ug_gniewkowo"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g_gniewkow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s://platformazakupowa.pl/pn/ug_gniewkowo"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E5A4-C028-4598-96C4-C1E7BFDA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34</Pages>
  <Words>12676</Words>
  <Characters>76062</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88561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233</cp:revision>
  <cp:lastPrinted>2022-01-17T09:11:00Z</cp:lastPrinted>
  <dcterms:created xsi:type="dcterms:W3CDTF">2021-08-10T09:38:00Z</dcterms:created>
  <dcterms:modified xsi:type="dcterms:W3CDTF">2022-10-11T13:16:00Z</dcterms:modified>
</cp:coreProperties>
</file>