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993" w:rsidRPr="00031993" w:rsidRDefault="00031993" w:rsidP="00031993">
      <w:pPr>
        <w:jc w:val="right"/>
        <w:rPr>
          <w:rFonts w:ascii="Times New Roman" w:hAnsi="Times New Roman" w:cs="Times New Roman"/>
          <w:b/>
          <w:sz w:val="20"/>
          <w:lang w:eastAsia="zh-CN"/>
        </w:rPr>
      </w:pPr>
      <w:r w:rsidRPr="00031993">
        <w:rPr>
          <w:rFonts w:ascii="Times New Roman" w:hAnsi="Times New Roman" w:cs="Times New Roman"/>
          <w:b/>
          <w:sz w:val="20"/>
          <w:lang w:eastAsia="zh-CN"/>
        </w:rPr>
        <w:t>Załącznik nr 1A do SWZ</w:t>
      </w:r>
    </w:p>
    <w:p w:rsidR="00031993" w:rsidRDefault="00031993" w:rsidP="00031993">
      <w:pPr>
        <w:jc w:val="center"/>
        <w:rPr>
          <w:rFonts w:ascii="Times New Roman" w:hAnsi="Times New Roman" w:cs="Times New Roman"/>
          <w:sz w:val="20"/>
          <w:lang w:eastAsia="zh-CN"/>
        </w:rPr>
      </w:pPr>
      <w:r w:rsidRPr="009B27EF">
        <w:rPr>
          <w:rFonts w:ascii="Times New Roman" w:hAnsi="Times New Roman" w:cs="Times New Roman"/>
          <w:b/>
          <w:sz w:val="20"/>
          <w:szCs w:val="20"/>
        </w:rPr>
        <w:t>OPIS PRZEDMIOTU ZAMÓWIENIA</w:t>
      </w:r>
    </w:p>
    <w:p w:rsidR="008508C6" w:rsidRPr="00031993" w:rsidRDefault="008508C6" w:rsidP="008508C6">
      <w:pPr>
        <w:jc w:val="both"/>
        <w:rPr>
          <w:rFonts w:ascii="Times New Roman" w:hAnsi="Times New Roman" w:cs="Times New Roman"/>
          <w:sz w:val="20"/>
        </w:rPr>
      </w:pPr>
      <w:r w:rsidRPr="00031993">
        <w:rPr>
          <w:rFonts w:ascii="Times New Roman" w:hAnsi="Times New Roman" w:cs="Times New Roman"/>
          <w:sz w:val="20"/>
          <w:lang w:eastAsia="zh-CN"/>
        </w:rPr>
        <w:t>Wykonawca zobowiązany jest do jednoznacznego określenia zaoferowanych w ofercie</w:t>
      </w:r>
      <w:r w:rsidRPr="00031993">
        <w:rPr>
          <w:rFonts w:ascii="Times New Roman" w:hAnsi="Times New Roman" w:cs="Times New Roman"/>
          <w:b/>
          <w:sz w:val="20"/>
          <w:lang w:eastAsia="zh-CN"/>
        </w:rPr>
        <w:t xml:space="preserve"> produktów, charakteryzując je poprzez wskazanie na konkretny wyrób (producent, model).</w:t>
      </w:r>
    </w:p>
    <w:p w:rsidR="008508C6" w:rsidRDefault="008508C6" w:rsidP="008508C6">
      <w:pPr>
        <w:spacing w:after="0"/>
        <w:jc w:val="both"/>
        <w:rPr>
          <w:rFonts w:ascii="Times New Roman" w:hAnsi="Times New Roman" w:cs="Times New Roman"/>
          <w:sz w:val="20"/>
        </w:rPr>
      </w:pPr>
      <w:r w:rsidRPr="00031993">
        <w:rPr>
          <w:rFonts w:ascii="Times New Roman" w:hAnsi="Times New Roman" w:cs="Times New Roman"/>
          <w:sz w:val="20"/>
        </w:rPr>
        <w:t>Zamawiający  wymaga,  aby  sprzęt  dostarczony  w  ramach realizacji  umowy  był  sprzętem  zakupionym  w  oficjalnym  kanale  sprzedaży  producenta. Oznacza  to,  że  będzie  sprzętem fabrycznie  nowym  i  posiadającym  stosowny  pakiet  usług  gwarancyjnych  kierowanych do użytkowników z obszaru Rzeczpospolitej Polskiej.</w:t>
      </w:r>
    </w:p>
    <w:p w:rsidR="006D473C" w:rsidRPr="006D473C" w:rsidRDefault="00031993" w:rsidP="00031993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F315B">
        <w:rPr>
          <w:rFonts w:ascii="Times New Roman" w:hAnsi="Times New Roman" w:cs="Times New Roman"/>
          <w:color w:val="FF0000"/>
          <w:sz w:val="20"/>
          <w:szCs w:val="20"/>
        </w:rPr>
        <w:t xml:space="preserve">Uwaga! Wykonawca </w:t>
      </w:r>
      <w:r w:rsidRPr="00363C8D">
        <w:rPr>
          <w:rFonts w:ascii="Times New Roman" w:hAnsi="Times New Roman" w:cs="Times New Roman"/>
          <w:color w:val="FF0000"/>
          <w:sz w:val="20"/>
          <w:szCs w:val="20"/>
        </w:rPr>
        <w:t xml:space="preserve">dołącza do oferty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wypełniony i podpisany niniejszy załącznik nr 1A stanowiący przedmiotowy środek dowodowy oraz </w:t>
      </w:r>
      <w:r w:rsidR="006D473C" w:rsidRPr="006D473C">
        <w:rPr>
          <w:rFonts w:ascii="Times New Roman" w:eastAsia="CIDFont+F1" w:hAnsi="Times New Roman" w:cs="Times New Roman"/>
          <w:color w:val="FF0000"/>
          <w:sz w:val="20"/>
          <w:szCs w:val="20"/>
        </w:rPr>
        <w:t>w</w:t>
      </w:r>
      <w:r w:rsidR="006D473C" w:rsidRPr="006D473C">
        <w:rPr>
          <w:rFonts w:ascii="Times New Roman" w:eastAsia="CIDFont+F1" w:hAnsi="Times New Roman" w:cs="Times New Roman"/>
          <w:color w:val="FF0000"/>
          <w:sz w:val="20"/>
          <w:szCs w:val="20"/>
        </w:rPr>
        <w:t>skaz</w:t>
      </w:r>
      <w:r w:rsidR="006D473C" w:rsidRPr="006D473C">
        <w:rPr>
          <w:rFonts w:ascii="Times New Roman" w:eastAsia="CIDFont+F1" w:hAnsi="Times New Roman" w:cs="Times New Roman"/>
          <w:color w:val="FF0000"/>
          <w:sz w:val="20"/>
          <w:szCs w:val="20"/>
        </w:rPr>
        <w:t>uje</w:t>
      </w:r>
      <w:r w:rsidR="006D473C" w:rsidRPr="006D473C">
        <w:rPr>
          <w:rFonts w:ascii="Times New Roman" w:eastAsia="CIDFont+F1" w:hAnsi="Times New Roman" w:cs="Times New Roman"/>
          <w:color w:val="FF0000"/>
          <w:sz w:val="20"/>
          <w:szCs w:val="20"/>
        </w:rPr>
        <w:t xml:space="preserve"> w</w:t>
      </w:r>
      <w:r w:rsidR="006D473C">
        <w:rPr>
          <w:rFonts w:ascii="Times New Roman" w:eastAsia="CIDFont+F1" w:hAnsi="Times New Roman" w:cs="Times New Roman"/>
          <w:color w:val="FF0000"/>
          <w:sz w:val="20"/>
          <w:szCs w:val="20"/>
        </w:rPr>
        <w:t xml:space="preserve"> niniejszym</w:t>
      </w:r>
      <w:r w:rsidR="006D473C" w:rsidRPr="006D473C">
        <w:rPr>
          <w:rFonts w:ascii="Times New Roman" w:eastAsia="CIDFont+F1" w:hAnsi="Times New Roman" w:cs="Times New Roman"/>
          <w:color w:val="FF0000"/>
          <w:sz w:val="20"/>
          <w:szCs w:val="20"/>
        </w:rPr>
        <w:t xml:space="preserve"> załączniku 1A do SWZ miejsca w dokumentacji (</w:t>
      </w:r>
      <w:r w:rsidR="006D473C" w:rsidRPr="006D473C">
        <w:rPr>
          <w:rFonts w:ascii="Times New Roman" w:eastAsia="CIDFont+F1" w:hAnsi="Times New Roman" w:cs="Times New Roman"/>
          <w:color w:val="FF0000"/>
          <w:sz w:val="20"/>
          <w:szCs w:val="20"/>
          <w:u w:val="single"/>
        </w:rPr>
        <w:t>publicznie i powszechnie dostępnej na stronach www producenta sprzętu,</w:t>
      </w:r>
      <w:r w:rsidR="006D473C" w:rsidRPr="006D473C">
        <w:rPr>
          <w:rFonts w:ascii="Times New Roman" w:eastAsia="CIDFont+F1" w:hAnsi="Times New Roman" w:cs="Times New Roman"/>
          <w:color w:val="FF0000"/>
          <w:sz w:val="20"/>
          <w:szCs w:val="20"/>
        </w:rPr>
        <w:t xml:space="preserve"> w którym znajduje się potwierdzenie spełnienia danego wymagania </w:t>
      </w:r>
      <w:r w:rsidR="006D473C">
        <w:rPr>
          <w:rFonts w:ascii="Times New Roman" w:eastAsia="CIDFont+F1" w:hAnsi="Times New Roman" w:cs="Times New Roman"/>
          <w:color w:val="FF0000"/>
          <w:sz w:val="20"/>
          <w:szCs w:val="20"/>
        </w:rPr>
        <w:t xml:space="preserve">- </w:t>
      </w:r>
      <w:r w:rsidR="006D473C" w:rsidRPr="006D473C">
        <w:rPr>
          <w:rFonts w:ascii="Times New Roman" w:eastAsia="CIDFont+F1" w:hAnsi="Times New Roman" w:cs="Times New Roman"/>
          <w:color w:val="FF0000"/>
          <w:sz w:val="20"/>
          <w:szCs w:val="20"/>
        </w:rPr>
        <w:t xml:space="preserve">nazwa dokumentu, numer strony dokumentu, pkt, etc. </w:t>
      </w:r>
      <w:r w:rsidR="006D473C" w:rsidRPr="006D473C">
        <w:rPr>
          <w:rFonts w:ascii="Times New Roman" w:eastAsia="CIDFont+F1" w:hAnsi="Times New Roman" w:cs="Times New Roman"/>
          <w:color w:val="FF0000"/>
          <w:sz w:val="20"/>
          <w:szCs w:val="20"/>
          <w:u w:val="single"/>
        </w:rPr>
        <w:t>oraz adres strony www pod którym dokument jest opublikowany</w:t>
      </w:r>
      <w:r w:rsidR="006D473C" w:rsidRPr="006D473C">
        <w:rPr>
          <w:rFonts w:ascii="Times New Roman" w:eastAsia="CIDFont+F1" w:hAnsi="Times New Roman" w:cs="Times New Roman"/>
          <w:color w:val="FF0000"/>
          <w:sz w:val="20"/>
          <w:szCs w:val="20"/>
        </w:rPr>
        <w:t xml:space="preserve">, a także publicznie i powszechnie dostępny bez konieczności logowania). W przypadku jeśli wskazanie opisanego wyżej miejsca nie jest możliwe lub nie jest wystarczające, wykonawca powinien opisać sposób spełnienia danego wymagania dołączając </w:t>
      </w:r>
      <w:r w:rsidR="006D473C">
        <w:rPr>
          <w:rFonts w:ascii="Times New Roman" w:eastAsia="CIDFont+F1" w:hAnsi="Times New Roman" w:cs="Times New Roman"/>
          <w:color w:val="FF0000"/>
          <w:sz w:val="20"/>
          <w:szCs w:val="20"/>
        </w:rPr>
        <w:t xml:space="preserve">do oferty </w:t>
      </w:r>
      <w:r w:rsidR="006D473C" w:rsidRPr="006D473C">
        <w:rPr>
          <w:rFonts w:ascii="Times New Roman" w:eastAsia="CIDFont+F1" w:hAnsi="Times New Roman" w:cs="Times New Roman"/>
          <w:color w:val="FF0000"/>
          <w:sz w:val="20"/>
          <w:szCs w:val="20"/>
        </w:rPr>
        <w:t>inne przedmiotowe środki dowodowe na potwierdzenie spełnienia danego wymagania (np. zrzut ekranu konfiguracji/testu, karta katalogowa, specyfikacja techniczna, dokumentacja licencyjna) lub przedstawić oświadczenie producenta sprzętu, z którego wynika sposób spełnienia danego wymagania;</w:t>
      </w:r>
      <w:r w:rsidR="006D473C">
        <w:rPr>
          <w:rFonts w:ascii="Times New Roman" w:eastAsia="CIDFont+F1" w:hAnsi="Times New Roman" w:cs="Times New Roman"/>
          <w:color w:val="FF0000"/>
          <w:sz w:val="20"/>
          <w:szCs w:val="20"/>
        </w:rPr>
        <w:t xml:space="preserve"> Dalsze informacje dot. składania przedmiotowych środków dowodowych zawiera rodz. IV SWZ.</w:t>
      </w:r>
      <w:bookmarkStart w:id="0" w:name="_GoBack"/>
      <w:bookmarkEnd w:id="0"/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6095"/>
        <w:gridCol w:w="4224"/>
      </w:tblGrid>
      <w:tr w:rsidR="00031993" w:rsidRPr="00031993" w:rsidTr="006B19A1">
        <w:tc>
          <w:tcPr>
            <w:tcW w:w="10319" w:type="dxa"/>
            <w:gridSpan w:val="2"/>
          </w:tcPr>
          <w:p w:rsidR="00031993" w:rsidRPr="00031993" w:rsidRDefault="00031993" w:rsidP="00901F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993">
              <w:rPr>
                <w:rFonts w:ascii="Times New Roman" w:hAnsi="Times New Roman" w:cs="Times New Roman"/>
                <w:b/>
                <w:sz w:val="20"/>
                <w:szCs w:val="20"/>
              </w:rPr>
              <w:t>Zestaw projekcyjny – 1 szt.</w:t>
            </w:r>
          </w:p>
        </w:tc>
      </w:tr>
      <w:tr w:rsidR="00C77D89" w:rsidRPr="00031993" w:rsidTr="006D473C">
        <w:tc>
          <w:tcPr>
            <w:tcW w:w="6095" w:type="dxa"/>
          </w:tcPr>
          <w:p w:rsidR="00C77D89" w:rsidRPr="006D473C" w:rsidRDefault="00C77D89" w:rsidP="006D473C">
            <w:pPr>
              <w:pStyle w:val="Akapitzli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9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Opis i minimalne parametry techniczne </w:t>
            </w:r>
            <w:r w:rsidR="006D47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D473C">
              <w:rPr>
                <w:rFonts w:ascii="Times New Roman" w:hAnsi="Times New Roman" w:cs="Times New Roman"/>
                <w:b/>
                <w:sz w:val="18"/>
                <w:szCs w:val="18"/>
              </w:rPr>
              <w:t>wymagane przez Zamawiającego</w:t>
            </w:r>
          </w:p>
        </w:tc>
        <w:tc>
          <w:tcPr>
            <w:tcW w:w="4224" w:type="dxa"/>
          </w:tcPr>
          <w:p w:rsidR="00C77D89" w:rsidRPr="00031993" w:rsidRDefault="00C77D89" w:rsidP="00901F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9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Opis/nazwa i parametry techniczne </w:t>
            </w:r>
          </w:p>
          <w:p w:rsidR="00C77D89" w:rsidRPr="00031993" w:rsidRDefault="00C77D89" w:rsidP="00901F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993">
              <w:rPr>
                <w:rFonts w:ascii="Times New Roman" w:hAnsi="Times New Roman" w:cs="Times New Roman"/>
                <w:b/>
                <w:sz w:val="18"/>
                <w:szCs w:val="18"/>
              </w:rPr>
              <w:t>oferowane przez Wykonawcę</w:t>
            </w:r>
            <w:r w:rsidR="000319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31993" w:rsidRPr="00031993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>(wypełnia Wykonawca)</w:t>
            </w:r>
          </w:p>
        </w:tc>
      </w:tr>
      <w:tr w:rsidR="00C77D89" w:rsidRPr="00031993" w:rsidTr="006D473C">
        <w:tc>
          <w:tcPr>
            <w:tcW w:w="6095" w:type="dxa"/>
          </w:tcPr>
          <w:p w:rsidR="00833BD7" w:rsidRPr="00031993" w:rsidRDefault="00833BD7" w:rsidP="00901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Projektor krótkodystansowy o rozdzielczości co najmniej XGA z co najmniej 3 wejściami HDMI wraz z zestawem montażu naściennego (nad ekranem) oraz ramowym ekranem do zawieszenia na ścianie. Przekątna ekranu zgodna z rozdzielczością projektora i proporcjami wyświetlanego przez projektor obrazu. Obraz z projektora musi wypełniać w całości ekran jednocześnie na długość i szerokość. Przekątna ekranu pomiędzy 90 a 120 cali.</w:t>
            </w:r>
          </w:p>
          <w:p w:rsidR="00C77D89" w:rsidRPr="00031993" w:rsidRDefault="00C77D89" w:rsidP="00C77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993">
              <w:rPr>
                <w:rFonts w:ascii="Times New Roman" w:hAnsi="Times New Roman" w:cs="Times New Roman"/>
                <w:sz w:val="18"/>
                <w:szCs w:val="18"/>
              </w:rPr>
              <w:t xml:space="preserve">Projektor: </w:t>
            </w:r>
          </w:p>
          <w:p w:rsidR="00C77D89" w:rsidRPr="00031993" w:rsidRDefault="00C77D89" w:rsidP="00C77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system projekcyjny: Technologia 3LCD, Ciekłokrystaliczna migawka RGB, Źródło światła: Laser</w:t>
            </w:r>
          </w:p>
          <w:p w:rsidR="00C77D89" w:rsidRPr="00031993" w:rsidRDefault="00C77D89" w:rsidP="00C77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Natężenie światła barwnego: 3.800 lumen- 2.660 lumen (tryb ekonomiczny) zgodne z normą IDMS15.4</w:t>
            </w:r>
          </w:p>
          <w:p w:rsidR="00C77D89" w:rsidRPr="00031993" w:rsidRDefault="00C77D89" w:rsidP="00C77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Natężenie światła białego: 3.800 lumen - 2.660 lumen (tryb ekonomiczny) zgodne z normą ISO 21118:2012</w:t>
            </w:r>
          </w:p>
          <w:p w:rsidR="00C77D89" w:rsidRPr="00031993" w:rsidRDefault="00C77D89" w:rsidP="00C77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Rozdzielczość: XGA, 1024 x 768</w:t>
            </w:r>
          </w:p>
          <w:p w:rsidR="00C77D89" w:rsidRPr="00031993" w:rsidRDefault="00C77D89" w:rsidP="00C77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Współczynnik proporcji obrazu: 4:3</w:t>
            </w:r>
          </w:p>
          <w:p w:rsidR="00C77D89" w:rsidRPr="00031993" w:rsidRDefault="00C77D89" w:rsidP="00C77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Stosunek kontrastu: 2.500.000 : 1</w:t>
            </w:r>
          </w:p>
          <w:p w:rsidR="00C77D89" w:rsidRPr="00031993" w:rsidRDefault="00C77D89" w:rsidP="00C77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993">
              <w:rPr>
                <w:rFonts w:ascii="Times New Roman" w:hAnsi="Times New Roman" w:cs="Times New Roman"/>
                <w:sz w:val="18"/>
                <w:szCs w:val="18"/>
              </w:rPr>
              <w:t xml:space="preserve">Częstotliwość odświeżania pionowego 2D: 100 </w:t>
            </w:r>
            <w:proofErr w:type="spellStart"/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Hz</w:t>
            </w:r>
            <w:proofErr w:type="spellEnd"/>
            <w:r w:rsidRPr="00031993">
              <w:rPr>
                <w:rFonts w:ascii="Times New Roman" w:hAnsi="Times New Roman" w:cs="Times New Roman"/>
                <w:sz w:val="18"/>
                <w:szCs w:val="18"/>
              </w:rPr>
              <w:t xml:space="preserve"> - 120 </w:t>
            </w:r>
            <w:proofErr w:type="spellStart"/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Hz</w:t>
            </w:r>
            <w:proofErr w:type="spellEnd"/>
          </w:p>
          <w:p w:rsidR="00C77D89" w:rsidRPr="00031993" w:rsidRDefault="00C77D89" w:rsidP="00C77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Odwzorowanie kolorów: do 1,07 mld kolorów</w:t>
            </w:r>
          </w:p>
          <w:p w:rsidR="00C77D89" w:rsidRPr="00031993" w:rsidRDefault="00C77D89" w:rsidP="00C77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Stosunek projekcji: 0,32 - 0,43:1</w:t>
            </w:r>
          </w:p>
          <w:p w:rsidR="00C77D89" w:rsidRPr="00031993" w:rsidRDefault="00C77D89" w:rsidP="00C77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993">
              <w:rPr>
                <w:rFonts w:ascii="Times New Roman" w:hAnsi="Times New Roman" w:cs="Times New Roman"/>
                <w:sz w:val="18"/>
                <w:szCs w:val="18"/>
              </w:rPr>
              <w:t xml:space="preserve">Zoom: Digital, </w:t>
            </w:r>
            <w:proofErr w:type="spellStart"/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Factor</w:t>
            </w:r>
            <w:proofErr w:type="spellEnd"/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: 1 - 1,35</w:t>
            </w:r>
          </w:p>
          <w:p w:rsidR="00C77D89" w:rsidRPr="00031993" w:rsidRDefault="00C77D89" w:rsidP="00C77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Obiektyw: Optyczny</w:t>
            </w:r>
          </w:p>
          <w:p w:rsidR="00C77D89" w:rsidRPr="00031993" w:rsidRDefault="00C77D89" w:rsidP="00C77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Rozmiar projekcji: 65 cale - 110 cale</w:t>
            </w:r>
          </w:p>
          <w:p w:rsidR="00C77D89" w:rsidRPr="00031993" w:rsidRDefault="00C77D89" w:rsidP="00C77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Wartość przesłony obiektywu projekcyjnego: 1,6</w:t>
            </w:r>
          </w:p>
          <w:p w:rsidR="00C77D89" w:rsidRPr="00031993" w:rsidRDefault="00C77D89" w:rsidP="00C77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Odległość ogniskowa: 3,7 mm</w:t>
            </w:r>
          </w:p>
          <w:p w:rsidR="00C77D89" w:rsidRPr="00031993" w:rsidRDefault="00C77D89" w:rsidP="00C77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Przyłącza: Złącze USB 2.0 typu A (2x), Złącze USB 2.0 typu B, RS-232C, Interfejs Ethernet (1000 Base-T/ 100-Base TX/ 10-Base-T), Bezprzewodowa sieć LAN IEEE 802.11a/b/g/n/</w:t>
            </w:r>
            <w:proofErr w:type="spellStart"/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  <w:proofErr w:type="spellEnd"/>
            <w:r w:rsidRPr="0003199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WiFi</w:t>
            </w:r>
            <w:proofErr w:type="spellEnd"/>
            <w:r w:rsidRPr="00031993">
              <w:rPr>
                <w:rFonts w:ascii="Times New Roman" w:hAnsi="Times New Roman" w:cs="Times New Roman"/>
                <w:sz w:val="18"/>
                <w:szCs w:val="18"/>
              </w:rPr>
              <w:t xml:space="preserve"> 5), Wi-Fi Direct, Wejście VGA (2x), Wyjście VGA, Wejście HDMI (3x), </w:t>
            </w:r>
            <w:proofErr w:type="spellStart"/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Miracast</w:t>
            </w:r>
            <w:proofErr w:type="spellEnd"/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, Stereofoniczne wyjście audio mini-</w:t>
            </w:r>
            <w:proofErr w:type="spellStart"/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jack</w:t>
            </w:r>
            <w:proofErr w:type="spellEnd"/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, Stereofoniczne wejście audio mini-</w:t>
            </w:r>
            <w:proofErr w:type="spellStart"/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jack</w:t>
            </w:r>
            <w:proofErr w:type="spellEnd"/>
            <w:r w:rsidRPr="00031993">
              <w:rPr>
                <w:rFonts w:ascii="Times New Roman" w:hAnsi="Times New Roman" w:cs="Times New Roman"/>
                <w:sz w:val="18"/>
                <w:szCs w:val="18"/>
              </w:rPr>
              <w:t xml:space="preserve"> (3x), wejście mikrofonu</w:t>
            </w:r>
          </w:p>
          <w:p w:rsidR="00C77D89" w:rsidRPr="00031993" w:rsidRDefault="005E5074" w:rsidP="005E5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Waga projektora do 6 kg</w:t>
            </w:r>
          </w:p>
          <w:p w:rsidR="005E5074" w:rsidRPr="00031993" w:rsidRDefault="005E5074" w:rsidP="005E5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993">
              <w:rPr>
                <w:rFonts w:ascii="Times New Roman" w:hAnsi="Times New Roman" w:cs="Times New Roman"/>
                <w:sz w:val="18"/>
                <w:szCs w:val="18"/>
              </w:rPr>
              <w:t xml:space="preserve">Poziom hałasu: Tryb normalny: 36 </w:t>
            </w:r>
            <w:proofErr w:type="spellStart"/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031993">
              <w:rPr>
                <w:rFonts w:ascii="Times New Roman" w:hAnsi="Times New Roman" w:cs="Times New Roman"/>
                <w:sz w:val="18"/>
                <w:szCs w:val="18"/>
              </w:rPr>
              <w:t xml:space="preserve"> (A) - Tryb ekonomiczny: 26 </w:t>
            </w:r>
            <w:proofErr w:type="spellStart"/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031993">
              <w:rPr>
                <w:rFonts w:ascii="Times New Roman" w:hAnsi="Times New Roman" w:cs="Times New Roman"/>
                <w:sz w:val="18"/>
                <w:szCs w:val="18"/>
              </w:rPr>
              <w:t xml:space="preserve"> (A)</w:t>
            </w:r>
          </w:p>
          <w:p w:rsidR="005E5074" w:rsidRPr="00031993" w:rsidRDefault="005E5074" w:rsidP="005E5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Wbudowane głośniki: 16 W</w:t>
            </w:r>
          </w:p>
          <w:p w:rsidR="001B5F80" w:rsidRPr="00031993" w:rsidRDefault="001B5F80" w:rsidP="005E5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Model wzorcowy projektora: Epson EB-720</w:t>
            </w:r>
          </w:p>
          <w:p w:rsidR="000D3E63" w:rsidRPr="00031993" w:rsidRDefault="000D3E63" w:rsidP="005E5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Uchwyt: dedykowany do projektora uchwyt pozwalający na zamontowanie projektora bezpośrednio nad ekranem. Model wzorcowy uchwytu: Epson Wall Mount - ELPMB62</w:t>
            </w:r>
          </w:p>
          <w:p w:rsidR="00833BD7" w:rsidRPr="00031993" w:rsidRDefault="00833BD7" w:rsidP="005E5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993">
              <w:rPr>
                <w:rFonts w:ascii="Times New Roman" w:hAnsi="Times New Roman" w:cs="Times New Roman"/>
                <w:sz w:val="18"/>
                <w:szCs w:val="18"/>
              </w:rPr>
              <w:t xml:space="preserve">Ekran: – Ramowy ekran projekcyjny dostosowany do projektora i sposobu jego montażu. Model wzorcowy ekranu: AVERS Nimbus </w:t>
            </w:r>
            <w:proofErr w:type="spellStart"/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Frame</w:t>
            </w:r>
            <w:proofErr w:type="spellEnd"/>
            <w:r w:rsidRPr="00031993">
              <w:rPr>
                <w:rFonts w:ascii="Times New Roman" w:hAnsi="Times New Roman" w:cs="Times New Roman"/>
                <w:sz w:val="18"/>
                <w:szCs w:val="18"/>
              </w:rPr>
              <w:t xml:space="preserve"> 200/150</w:t>
            </w:r>
          </w:p>
          <w:p w:rsidR="005E5074" w:rsidRPr="00031993" w:rsidRDefault="000D3E63" w:rsidP="005E5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Dodatkowo: kable (5m) do połączenia projektor</w:t>
            </w:r>
            <w:r w:rsidR="00833BD7" w:rsidRPr="00031993">
              <w:rPr>
                <w:rFonts w:ascii="Times New Roman" w:hAnsi="Times New Roman" w:cs="Times New Roman"/>
                <w:sz w:val="18"/>
                <w:szCs w:val="18"/>
              </w:rPr>
              <w:t xml:space="preserve">a z komputerem (VGA 1 szt., HDMI 2 </w:t>
            </w:r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r w:rsidR="00833BD7" w:rsidRPr="0003199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33BD7" w:rsidRPr="00031993" w:rsidRDefault="00833BD7" w:rsidP="005E5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Dodatkowo usługa montażu w budynku zamawiającego w Krakowie, konfiguracji i uruchomienia zestawu.</w:t>
            </w:r>
          </w:p>
          <w:p w:rsidR="00C77D89" w:rsidRPr="00031993" w:rsidRDefault="00C77D89" w:rsidP="00901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993">
              <w:rPr>
                <w:rFonts w:ascii="Times New Roman" w:hAnsi="Times New Roman" w:cs="Times New Roman"/>
                <w:sz w:val="18"/>
                <w:szCs w:val="18"/>
              </w:rPr>
              <w:t>Gwarancja: 24 miesiące.</w:t>
            </w:r>
          </w:p>
        </w:tc>
        <w:tc>
          <w:tcPr>
            <w:tcW w:w="4224" w:type="dxa"/>
          </w:tcPr>
          <w:p w:rsidR="00C77D89" w:rsidRPr="00031993" w:rsidRDefault="00C77D89" w:rsidP="00901F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A4368" w:rsidRPr="00031993" w:rsidRDefault="000A4368" w:rsidP="00A2475E">
      <w:pPr>
        <w:rPr>
          <w:rFonts w:ascii="Times New Roman" w:hAnsi="Times New Roman" w:cs="Times New Roman"/>
        </w:rPr>
      </w:pPr>
    </w:p>
    <w:sectPr w:rsidR="000A4368" w:rsidRPr="00031993" w:rsidSect="008508C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E0E" w:rsidRDefault="00D12E0E" w:rsidP="00C87F84">
      <w:pPr>
        <w:spacing w:after="0" w:line="240" w:lineRule="auto"/>
      </w:pPr>
      <w:r>
        <w:separator/>
      </w:r>
    </w:p>
  </w:endnote>
  <w:endnote w:type="continuationSeparator" w:id="0">
    <w:p w:rsidR="00D12E0E" w:rsidRDefault="00D12E0E" w:rsidP="00C8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E0E" w:rsidRDefault="00D12E0E" w:rsidP="00C87F84">
      <w:pPr>
        <w:spacing w:after="0" w:line="240" w:lineRule="auto"/>
      </w:pPr>
      <w:r>
        <w:separator/>
      </w:r>
    </w:p>
  </w:footnote>
  <w:footnote w:type="continuationSeparator" w:id="0">
    <w:p w:rsidR="00D12E0E" w:rsidRDefault="00D12E0E" w:rsidP="00C87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F84" w:rsidRPr="00C87F84" w:rsidRDefault="00C87F84" w:rsidP="00031993">
    <w:pPr>
      <w:pStyle w:val="Nagwek"/>
      <w:rPr>
        <w:sz w:val="14"/>
      </w:rPr>
    </w:pPr>
  </w:p>
  <w:p w:rsidR="00C87F84" w:rsidRDefault="00C87F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4594"/>
    <w:multiLevelType w:val="hybridMultilevel"/>
    <w:tmpl w:val="78D88D88"/>
    <w:lvl w:ilvl="0" w:tplc="3B4AFB12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05F664E1"/>
    <w:multiLevelType w:val="hybridMultilevel"/>
    <w:tmpl w:val="78D88D88"/>
    <w:lvl w:ilvl="0" w:tplc="3B4AFB12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6F1B3E16"/>
    <w:multiLevelType w:val="hybridMultilevel"/>
    <w:tmpl w:val="23221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8C6"/>
    <w:rsid w:val="00031993"/>
    <w:rsid w:val="00044C8C"/>
    <w:rsid w:val="000A4368"/>
    <w:rsid w:val="000D17BC"/>
    <w:rsid w:val="000D3E63"/>
    <w:rsid w:val="001A2A49"/>
    <w:rsid w:val="001B5F80"/>
    <w:rsid w:val="00310C70"/>
    <w:rsid w:val="003119BD"/>
    <w:rsid w:val="00312F60"/>
    <w:rsid w:val="00382450"/>
    <w:rsid w:val="005E5074"/>
    <w:rsid w:val="00651DB6"/>
    <w:rsid w:val="00674825"/>
    <w:rsid w:val="006D473C"/>
    <w:rsid w:val="0070333B"/>
    <w:rsid w:val="00776EFE"/>
    <w:rsid w:val="007A29BC"/>
    <w:rsid w:val="007C4505"/>
    <w:rsid w:val="00833BD7"/>
    <w:rsid w:val="008508C6"/>
    <w:rsid w:val="00853B2F"/>
    <w:rsid w:val="008E2F8D"/>
    <w:rsid w:val="00A2475E"/>
    <w:rsid w:val="00B371F1"/>
    <w:rsid w:val="00C07826"/>
    <w:rsid w:val="00C77D89"/>
    <w:rsid w:val="00C87F84"/>
    <w:rsid w:val="00D12E0E"/>
    <w:rsid w:val="00D43DB4"/>
    <w:rsid w:val="00EE7F4E"/>
    <w:rsid w:val="00F1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6C328"/>
  <w15:chartTrackingRefBased/>
  <w15:docId w15:val="{1B73D3AE-8D18-422E-8F07-A4AB4796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08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sw tekst,ISCG Numerowanie,lp1,Nagłowek 3,Preambuła,Akapit z listą BS,Kolorowa lista — akcent 11,Dot pt,F5 List Paragraph,Recommendation,List Paragraph11,maz_wyliczenie,opis dzialania,K-P_odwolanie,A_wyliczenie,CW_Lista"/>
    <w:basedOn w:val="Normalny"/>
    <w:link w:val="AkapitzlistZnak"/>
    <w:qFormat/>
    <w:rsid w:val="008508C6"/>
    <w:pPr>
      <w:ind w:left="720"/>
      <w:contextualSpacing/>
    </w:pPr>
  </w:style>
  <w:style w:type="table" w:styleId="Tabela-Siatka">
    <w:name w:val="Table Grid"/>
    <w:basedOn w:val="Standardowy"/>
    <w:uiPriority w:val="39"/>
    <w:rsid w:val="0085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12F6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87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84"/>
  </w:style>
  <w:style w:type="paragraph" w:styleId="Stopka">
    <w:name w:val="footer"/>
    <w:basedOn w:val="Normalny"/>
    <w:link w:val="StopkaZnak"/>
    <w:uiPriority w:val="99"/>
    <w:unhideWhenUsed/>
    <w:rsid w:val="00C87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84"/>
  </w:style>
  <w:style w:type="paragraph" w:styleId="Tekstdymka">
    <w:name w:val="Balloon Text"/>
    <w:basedOn w:val="Normalny"/>
    <w:link w:val="TekstdymkaZnak"/>
    <w:uiPriority w:val="99"/>
    <w:semiHidden/>
    <w:unhideWhenUsed/>
    <w:rsid w:val="001B5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F8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sw tekst Znak,ISCG Numerowanie Znak,lp1 Znak,Nagłowek 3 Znak,Preambuła Znak,Akapit z listą BS Znak,Kolorowa lista — akcent 11 Znak,Dot pt Znak,F5 List Paragraph Znak,Recommendation Znak,List Paragraph11 Znak"/>
    <w:link w:val="Akapitzlist"/>
    <w:qFormat/>
    <w:locked/>
    <w:rsid w:val="006D4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Mikłaszewski</dc:creator>
  <cp:keywords/>
  <dc:description/>
  <cp:lastModifiedBy>Granat Ewelina</cp:lastModifiedBy>
  <cp:revision>12</cp:revision>
  <cp:lastPrinted>2021-11-30T07:10:00Z</cp:lastPrinted>
  <dcterms:created xsi:type="dcterms:W3CDTF">2020-12-14T08:42:00Z</dcterms:created>
  <dcterms:modified xsi:type="dcterms:W3CDTF">2022-02-12T22:16:00Z</dcterms:modified>
</cp:coreProperties>
</file>