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B99" w:rsidRPr="004C7B99" w:rsidRDefault="004C7B99" w:rsidP="004C7B9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bri" w:eastAsia="Times New Roman" w:hAnsi="Calibri" w:cs="Arial"/>
          <w:b/>
          <w:sz w:val="20"/>
          <w:szCs w:val="20"/>
          <w:lang w:eastAsia="pl-PL"/>
        </w:rPr>
      </w:pPr>
      <w:r w:rsidRPr="004C7B99">
        <w:rPr>
          <w:rFonts w:ascii="Times New Roman" w:eastAsia="Times New Roman" w:hAnsi="Times New Roman" w:cs="Times New Roman"/>
          <w:noProof/>
          <w:sz w:val="20"/>
          <w:szCs w:val="20"/>
          <w:lang w:eastAsia="pl-PL"/>
        </w:rPr>
        <w:drawing>
          <wp:inline distT="0" distB="0" distL="0" distR="0">
            <wp:extent cx="5819775" cy="6286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9775" cy="628650"/>
                    </a:xfrm>
                    <a:prstGeom prst="rect">
                      <a:avLst/>
                    </a:prstGeom>
                    <a:noFill/>
                    <a:ln>
                      <a:noFill/>
                    </a:ln>
                  </pic:spPr>
                </pic:pic>
              </a:graphicData>
            </a:graphic>
          </wp:inline>
        </w:drawing>
      </w:r>
    </w:p>
    <w:p w:rsidR="004C7B99" w:rsidRPr="004C7B99" w:rsidRDefault="004C7B99" w:rsidP="004C7B99">
      <w:pPr>
        <w:pBdr>
          <w:top w:val="single" w:sz="4" w:space="1" w:color="auto"/>
          <w:left w:val="single" w:sz="4" w:space="4" w:color="auto"/>
          <w:bottom w:val="single" w:sz="4" w:space="1" w:color="auto"/>
          <w:right w:val="single" w:sz="4" w:space="4" w:color="auto"/>
          <w:between w:val="single" w:sz="4" w:space="1" w:color="auto"/>
        </w:pBdr>
        <w:tabs>
          <w:tab w:val="center" w:pos="4536"/>
          <w:tab w:val="right" w:pos="9072"/>
        </w:tabs>
        <w:spacing w:after="0" w:line="240" w:lineRule="auto"/>
        <w:rPr>
          <w:rFonts w:ascii="Arial" w:eastAsia="Times New Roman" w:hAnsi="Arial" w:cs="Times New Roman"/>
          <w:sz w:val="24"/>
          <w:szCs w:val="20"/>
          <w:lang w:eastAsia="pl-PL"/>
        </w:rPr>
      </w:pPr>
      <w:r w:rsidRPr="004C7B99">
        <w:rPr>
          <w:rFonts w:ascii="Times New Roman" w:eastAsia="Times New Roman" w:hAnsi="Times New Roman" w:cs="Times New Roman"/>
          <w:noProof/>
          <w:sz w:val="20"/>
          <w:szCs w:val="20"/>
          <w:lang w:eastAsia="pl-PL"/>
        </w:rPr>
        <w:drawing>
          <wp:inline distT="0" distB="0" distL="0" distR="0">
            <wp:extent cx="1266825" cy="6096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09600"/>
                    </a:xfrm>
                    <a:prstGeom prst="rect">
                      <a:avLst/>
                    </a:prstGeom>
                    <a:noFill/>
                    <a:ln>
                      <a:noFill/>
                    </a:ln>
                  </pic:spPr>
                </pic:pic>
              </a:graphicData>
            </a:graphic>
          </wp:inline>
        </w:drawing>
      </w:r>
      <w:r w:rsidRPr="004C7B99">
        <w:rPr>
          <w:rFonts w:ascii="Times New Roman" w:eastAsia="Times New Roman" w:hAnsi="Times New Roman" w:cs="Times New Roman"/>
          <w:noProof/>
          <w:sz w:val="20"/>
          <w:szCs w:val="20"/>
          <w:lang w:eastAsia="pl-PL"/>
        </w:rPr>
        <w:t xml:space="preserve">                             </w:t>
      </w:r>
      <w:r w:rsidRPr="004C7B99">
        <w:rPr>
          <w:rFonts w:ascii="Arial" w:eastAsia="Times New Roman" w:hAnsi="Arial" w:cs="Times New Roman"/>
          <w:noProof/>
          <w:sz w:val="24"/>
          <w:szCs w:val="20"/>
          <w:lang w:eastAsia="pl-PL"/>
        </w:rPr>
        <w:drawing>
          <wp:inline distT="0" distB="0" distL="0" distR="0">
            <wp:extent cx="7715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r w:rsidRPr="004C7B99">
        <w:rPr>
          <w:rFonts w:ascii="Times New Roman" w:eastAsia="Times New Roman" w:hAnsi="Times New Roman" w:cs="Times New Roman"/>
          <w:noProof/>
          <w:sz w:val="20"/>
          <w:szCs w:val="20"/>
          <w:lang w:eastAsia="pl-PL"/>
        </w:rPr>
        <w:t xml:space="preserve">                                             </w:t>
      </w:r>
      <w:r w:rsidRPr="004C7B99">
        <w:rPr>
          <w:rFonts w:ascii="Times New Roman" w:eastAsia="Times New Roman" w:hAnsi="Times New Roman" w:cs="Times New Roman"/>
          <w:noProof/>
          <w:sz w:val="20"/>
          <w:szCs w:val="20"/>
          <w:lang w:eastAsia="pl-PL"/>
        </w:rPr>
        <w:drawing>
          <wp:inline distT="0" distB="0" distL="0" distR="0">
            <wp:extent cx="1333500" cy="590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590550"/>
                    </a:xfrm>
                    <a:prstGeom prst="rect">
                      <a:avLst/>
                    </a:prstGeom>
                    <a:noFill/>
                  </pic:spPr>
                </pic:pic>
              </a:graphicData>
            </a:graphic>
          </wp:inline>
        </w:drawing>
      </w:r>
      <w:r w:rsidRPr="004C7B99">
        <w:rPr>
          <w:rFonts w:ascii="Times New Roman" w:eastAsia="Times New Roman" w:hAnsi="Times New Roman" w:cs="Times New Roman"/>
          <w:noProof/>
          <w:sz w:val="20"/>
          <w:szCs w:val="20"/>
          <w:lang w:eastAsia="pl-PL"/>
        </w:rPr>
        <w:t xml:space="preserve">                   </w:t>
      </w:r>
    </w:p>
    <w:p w:rsidR="004C7B99" w:rsidRPr="004C7B99" w:rsidRDefault="004C7B99" w:rsidP="004C7B99">
      <w:pPr>
        <w:spacing w:after="0" w:line="240" w:lineRule="auto"/>
        <w:rPr>
          <w:rFonts w:ascii="Calibri" w:eastAsia="Times New Roman" w:hAnsi="Calibri" w:cs="Arial"/>
          <w:b/>
          <w:sz w:val="20"/>
          <w:szCs w:val="20"/>
          <w:lang w:eastAsia="pl-PL"/>
        </w:rPr>
      </w:pPr>
      <w:r w:rsidRPr="004C7B99">
        <w:rPr>
          <w:rFonts w:ascii="Calibri" w:eastAsia="Times New Roman" w:hAnsi="Calibri" w:cs="Arial"/>
          <w:b/>
          <w:sz w:val="20"/>
          <w:szCs w:val="20"/>
          <w:lang w:eastAsia="pl-PL"/>
        </w:rPr>
        <w:t xml:space="preserve">                                    </w:t>
      </w:r>
    </w:p>
    <w:p w:rsidR="004C7B99" w:rsidRPr="004C7B99" w:rsidRDefault="004C7B99" w:rsidP="004C7B99">
      <w:pPr>
        <w:spacing w:after="0" w:line="240" w:lineRule="auto"/>
        <w:rPr>
          <w:rFonts w:ascii="Times New Roman" w:eastAsia="Times New Roman" w:hAnsi="Times New Roman" w:cs="Times New Roman"/>
          <w:sz w:val="20"/>
          <w:szCs w:val="20"/>
          <w:lang w:eastAsia="pl-PL"/>
        </w:rPr>
      </w:pPr>
    </w:p>
    <w:p w:rsidR="002268C3" w:rsidRDefault="002268C3" w:rsidP="002268C3">
      <w:pPr>
        <w:tabs>
          <w:tab w:val="num" w:pos="1070"/>
          <w:tab w:val="left" w:pos="1418"/>
          <w:tab w:val="left" w:pos="1701"/>
          <w:tab w:val="left" w:pos="1985"/>
          <w:tab w:val="left" w:pos="2268"/>
        </w:tabs>
        <w:spacing w:after="0" w:line="240" w:lineRule="auto"/>
        <w:ind w:left="1065" w:right="-11" w:hanging="1065"/>
        <w:jc w:val="both"/>
        <w:rPr>
          <w:rFonts w:ascii="Calibri" w:eastAsia="Times New Roman" w:hAnsi="Calibri" w:cs="Calibri"/>
          <w:lang w:eastAsia="pl-PL"/>
        </w:rPr>
      </w:pPr>
    </w:p>
    <w:p w:rsidR="006541F4" w:rsidRDefault="002268C3" w:rsidP="002268C3">
      <w:pPr>
        <w:spacing w:after="200" w:line="276" w:lineRule="auto"/>
        <w:jc w:val="right"/>
        <w:rPr>
          <w:rFonts w:ascii="Calibri" w:eastAsia="Times New Roman" w:hAnsi="Calibri" w:cs="Calibri"/>
          <w:b/>
          <w:lang w:eastAsia="pl-PL"/>
        </w:rPr>
      </w:pPr>
      <w:r>
        <w:rPr>
          <w:rFonts w:ascii="Calibri" w:eastAsia="Times New Roman" w:hAnsi="Calibri" w:cs="Calibri"/>
          <w:b/>
          <w:lang w:eastAsia="pl-PL"/>
        </w:rPr>
        <w:t xml:space="preserve">                   </w:t>
      </w:r>
    </w:p>
    <w:p w:rsidR="002268C3" w:rsidRPr="009D4918" w:rsidRDefault="002268C3" w:rsidP="002268C3">
      <w:pPr>
        <w:spacing w:after="200" w:line="276" w:lineRule="auto"/>
        <w:jc w:val="right"/>
        <w:rPr>
          <w:rFonts w:ascii="Calibri" w:eastAsia="Times New Roman" w:hAnsi="Calibri" w:cs="Calibri"/>
          <w:b/>
          <w:lang w:eastAsia="pl-PL"/>
        </w:rPr>
      </w:pPr>
      <w:r>
        <w:rPr>
          <w:rFonts w:ascii="Calibri" w:eastAsia="Times New Roman" w:hAnsi="Calibri" w:cs="Calibri"/>
          <w:b/>
          <w:lang w:eastAsia="pl-PL"/>
        </w:rPr>
        <w:t xml:space="preserve"> </w:t>
      </w:r>
      <w:r w:rsidRPr="009D4918">
        <w:rPr>
          <w:rFonts w:ascii="Calibri" w:eastAsia="Times New Roman" w:hAnsi="Calibri" w:cs="Calibri"/>
          <w:b/>
          <w:lang w:eastAsia="pl-PL"/>
        </w:rPr>
        <w:t xml:space="preserve">Gdańsk, dnia </w:t>
      </w:r>
      <w:r w:rsidR="004C7B99">
        <w:rPr>
          <w:rFonts w:ascii="Calibri" w:eastAsia="Times New Roman" w:hAnsi="Calibri" w:cs="Calibri"/>
          <w:b/>
          <w:lang w:eastAsia="pl-PL"/>
        </w:rPr>
        <w:t>07</w:t>
      </w:r>
      <w:r w:rsidRPr="009D4918">
        <w:rPr>
          <w:rFonts w:ascii="Calibri" w:eastAsia="Times New Roman" w:hAnsi="Calibri" w:cs="Calibri"/>
          <w:b/>
          <w:lang w:eastAsia="pl-PL"/>
        </w:rPr>
        <w:t>.0</w:t>
      </w:r>
      <w:r w:rsidR="004C7B99">
        <w:rPr>
          <w:rFonts w:ascii="Calibri" w:eastAsia="Times New Roman" w:hAnsi="Calibri" w:cs="Calibri"/>
          <w:b/>
          <w:lang w:eastAsia="pl-PL"/>
        </w:rPr>
        <w:t>7</w:t>
      </w:r>
      <w:r w:rsidRPr="009D4918">
        <w:rPr>
          <w:rFonts w:ascii="Calibri" w:eastAsia="Times New Roman" w:hAnsi="Calibri" w:cs="Calibri"/>
          <w:b/>
          <w:lang w:eastAsia="pl-PL"/>
        </w:rPr>
        <w:t>.2020 r.</w:t>
      </w:r>
    </w:p>
    <w:p w:rsidR="002268C3" w:rsidRDefault="002268C3" w:rsidP="002268C3">
      <w:pPr>
        <w:tabs>
          <w:tab w:val="num" w:pos="1070"/>
          <w:tab w:val="left" w:pos="1418"/>
          <w:tab w:val="left" w:pos="1701"/>
          <w:tab w:val="left" w:pos="1985"/>
          <w:tab w:val="left" w:pos="2268"/>
        </w:tabs>
        <w:spacing w:after="0" w:line="240" w:lineRule="auto"/>
        <w:ind w:left="1065" w:right="-11" w:hanging="1065"/>
        <w:jc w:val="both"/>
        <w:rPr>
          <w:rFonts w:ascii="Calibri" w:eastAsia="Times New Roman" w:hAnsi="Calibri" w:cs="Calibri"/>
          <w:b/>
          <w:lang w:eastAsia="pl-PL"/>
        </w:rPr>
      </w:pPr>
      <w:r>
        <w:rPr>
          <w:rFonts w:ascii="Calibri" w:eastAsia="Times New Roman" w:hAnsi="Calibri" w:cs="Calibri"/>
          <w:b/>
          <w:lang w:eastAsia="pl-PL"/>
        </w:rPr>
        <w:t xml:space="preserve">                                  </w:t>
      </w:r>
    </w:p>
    <w:p w:rsidR="002268C3" w:rsidRPr="002268C3" w:rsidRDefault="002268C3" w:rsidP="002268C3">
      <w:pPr>
        <w:tabs>
          <w:tab w:val="num" w:pos="1070"/>
          <w:tab w:val="left" w:pos="1418"/>
          <w:tab w:val="left" w:pos="1701"/>
          <w:tab w:val="left" w:pos="1985"/>
          <w:tab w:val="left" w:pos="2268"/>
        </w:tabs>
        <w:spacing w:after="0" w:line="240" w:lineRule="auto"/>
        <w:ind w:left="1065" w:right="-11" w:hanging="1065"/>
        <w:jc w:val="both"/>
        <w:rPr>
          <w:rFonts w:ascii="Calibri" w:eastAsia="Times New Roman" w:hAnsi="Calibri" w:cs="Calibri"/>
          <w:b/>
          <w:lang w:eastAsia="pl-PL"/>
        </w:rPr>
      </w:pPr>
      <w:r>
        <w:rPr>
          <w:rFonts w:ascii="Calibri" w:eastAsia="Times New Roman" w:hAnsi="Calibri" w:cs="Calibri"/>
          <w:b/>
          <w:lang w:eastAsia="pl-PL"/>
        </w:rPr>
        <w:t xml:space="preserve">                                                          </w:t>
      </w:r>
      <w:r w:rsidRPr="002268C3">
        <w:rPr>
          <w:rFonts w:ascii="Calibri" w:eastAsia="Times New Roman" w:hAnsi="Calibri" w:cs="Calibri"/>
          <w:b/>
          <w:lang w:eastAsia="pl-PL"/>
        </w:rPr>
        <w:t>Do uczestników postępowania</w:t>
      </w:r>
    </w:p>
    <w:p w:rsidR="002268C3" w:rsidRDefault="002268C3" w:rsidP="002268C3">
      <w:pPr>
        <w:tabs>
          <w:tab w:val="num" w:pos="1070"/>
          <w:tab w:val="left" w:pos="1418"/>
          <w:tab w:val="left" w:pos="1701"/>
          <w:tab w:val="left" w:pos="1985"/>
          <w:tab w:val="left" w:pos="2268"/>
        </w:tabs>
        <w:spacing w:after="0" w:line="240" w:lineRule="auto"/>
        <w:ind w:left="1065" w:right="-11" w:hanging="1065"/>
        <w:jc w:val="both"/>
        <w:rPr>
          <w:rFonts w:ascii="Calibri" w:eastAsia="Times New Roman" w:hAnsi="Calibri" w:cs="Calibri"/>
          <w:lang w:eastAsia="pl-PL"/>
        </w:rPr>
      </w:pPr>
    </w:p>
    <w:p w:rsidR="002268C3" w:rsidRDefault="002268C3" w:rsidP="002268C3">
      <w:pPr>
        <w:tabs>
          <w:tab w:val="num" w:pos="1070"/>
          <w:tab w:val="left" w:pos="1418"/>
          <w:tab w:val="left" w:pos="1701"/>
          <w:tab w:val="left" w:pos="1985"/>
          <w:tab w:val="left" w:pos="2268"/>
        </w:tabs>
        <w:spacing w:after="0" w:line="240" w:lineRule="auto"/>
        <w:ind w:left="1065" w:right="-11" w:hanging="1065"/>
        <w:jc w:val="both"/>
        <w:rPr>
          <w:rFonts w:ascii="Calibri" w:eastAsia="Times New Roman" w:hAnsi="Calibri" w:cs="Calibri"/>
          <w:lang w:eastAsia="pl-PL"/>
        </w:rPr>
      </w:pPr>
    </w:p>
    <w:p w:rsidR="002268C3" w:rsidRPr="004C7B99" w:rsidRDefault="002268C3" w:rsidP="004C7B99">
      <w:pPr>
        <w:autoSpaceDE w:val="0"/>
        <w:autoSpaceDN w:val="0"/>
        <w:adjustRightInd w:val="0"/>
        <w:spacing w:after="120" w:line="360" w:lineRule="auto"/>
        <w:ind w:left="993" w:right="-28" w:hanging="993"/>
        <w:jc w:val="both"/>
        <w:rPr>
          <w:rFonts w:ascii="Calibri" w:eastAsia="Times New Roman" w:hAnsi="Calibri" w:cs="Calibri"/>
          <w:b/>
          <w:i/>
          <w:color w:val="000000"/>
          <w:sz w:val="20"/>
          <w:szCs w:val="20"/>
          <w:lang w:eastAsia="pl-PL"/>
        </w:rPr>
      </w:pPr>
      <w:r w:rsidRPr="002268C3">
        <w:rPr>
          <w:rFonts w:ascii="Calibri" w:eastAsia="Times New Roman" w:hAnsi="Calibri" w:cs="Calibri"/>
          <w:b/>
          <w:lang w:eastAsia="pl-PL"/>
        </w:rPr>
        <w:t>Dotyczy</w:t>
      </w:r>
      <w:r w:rsidRPr="002268C3">
        <w:rPr>
          <w:rFonts w:ascii="Calibri" w:eastAsia="Times New Roman" w:hAnsi="Calibri" w:cs="Calibri"/>
          <w:lang w:eastAsia="pl-PL"/>
        </w:rPr>
        <w:t xml:space="preserve">: </w:t>
      </w:r>
      <w:r w:rsidRPr="002268C3">
        <w:rPr>
          <w:rFonts w:ascii="Calibri" w:eastAsia="Times New Roman" w:hAnsi="Calibri" w:cs="Calibri"/>
          <w:lang w:eastAsia="pl-PL"/>
        </w:rPr>
        <w:tab/>
        <w:t xml:space="preserve">postępowania o udzielenie zamówienia publicznego nr </w:t>
      </w:r>
      <w:r w:rsidRPr="002268C3">
        <w:rPr>
          <w:rFonts w:ascii="Calibri" w:eastAsia="Times New Roman" w:hAnsi="Calibri" w:cs="Calibri"/>
          <w:b/>
          <w:lang w:eastAsia="pl-PL"/>
        </w:rPr>
        <w:t>ZP/</w:t>
      </w:r>
      <w:r w:rsidR="004C7B99">
        <w:rPr>
          <w:rFonts w:ascii="Calibri" w:eastAsia="Times New Roman" w:hAnsi="Calibri" w:cs="Calibri"/>
          <w:b/>
          <w:lang w:eastAsia="pl-PL"/>
        </w:rPr>
        <w:t>51</w:t>
      </w:r>
      <w:r w:rsidRPr="002268C3">
        <w:rPr>
          <w:rFonts w:ascii="Calibri" w:eastAsia="Times New Roman" w:hAnsi="Calibri" w:cs="Calibri"/>
          <w:b/>
          <w:lang w:eastAsia="pl-PL"/>
        </w:rPr>
        <w:t>/2020</w:t>
      </w:r>
      <w:r w:rsidRPr="002268C3">
        <w:rPr>
          <w:rFonts w:ascii="Calibri" w:eastAsia="Times New Roman" w:hAnsi="Calibri" w:cs="Calibri"/>
          <w:lang w:eastAsia="pl-PL"/>
        </w:rPr>
        <w:t>–</w:t>
      </w:r>
      <w:r w:rsidRPr="002268C3">
        <w:rPr>
          <w:rFonts w:ascii="Calibri" w:eastAsia="Times New Roman" w:hAnsi="Calibri" w:cs="Calibri"/>
          <w:color w:val="000000"/>
          <w:lang w:eastAsia="pl-PL"/>
        </w:rPr>
        <w:t xml:space="preserve"> </w:t>
      </w:r>
      <w:r w:rsidR="006541F4" w:rsidRPr="009D4918">
        <w:rPr>
          <w:rFonts w:ascii="Calibri" w:eastAsia="Times New Roman" w:hAnsi="Calibri" w:cs="Calibri"/>
          <w:b/>
          <w:color w:val="000000"/>
          <w:lang w:eastAsia="pl-PL"/>
        </w:rPr>
        <w:t xml:space="preserve">Dostawa </w:t>
      </w:r>
      <w:r w:rsidR="004C7B99">
        <w:rPr>
          <w:rFonts w:ascii="Calibri" w:eastAsia="Times New Roman" w:hAnsi="Calibri" w:cs="Calibri"/>
          <w:b/>
          <w:color w:val="000000"/>
          <w:lang w:eastAsia="pl-PL"/>
        </w:rPr>
        <w:t xml:space="preserve">odczynników w 5 pakietach </w:t>
      </w:r>
      <w:r w:rsidR="009D4918">
        <w:rPr>
          <w:rFonts w:ascii="Calibri" w:eastAsia="Times New Roman" w:hAnsi="Calibri" w:cs="Calibri"/>
          <w:color w:val="000000"/>
          <w:lang w:eastAsia="pl-PL"/>
        </w:rPr>
        <w:t>dla Gdańskiego Uniwersytetu Medycznego w ramach</w:t>
      </w:r>
      <w:r w:rsidR="004C7B99" w:rsidRPr="004C7B99">
        <w:rPr>
          <w:rFonts w:ascii="Calibri" w:eastAsia="Times New Roman" w:hAnsi="Calibri" w:cs="Calibri"/>
          <w:color w:val="000000"/>
          <w:sz w:val="20"/>
          <w:szCs w:val="20"/>
          <w:lang w:eastAsia="pl-PL"/>
        </w:rPr>
        <w:t xml:space="preserve">; </w:t>
      </w:r>
      <w:r w:rsidR="004C7B99" w:rsidRPr="004C7B99">
        <w:rPr>
          <w:rFonts w:ascii="Calibri" w:eastAsia="Times New Roman" w:hAnsi="Calibri" w:cs="Calibri"/>
          <w:b/>
          <w:i/>
          <w:color w:val="000000"/>
          <w:sz w:val="20"/>
          <w:szCs w:val="20"/>
          <w:lang w:eastAsia="pl-PL"/>
        </w:rPr>
        <w:t xml:space="preserve">MOST DANYCH. </w:t>
      </w:r>
      <w:proofErr w:type="spellStart"/>
      <w:r w:rsidR="004C7B99" w:rsidRPr="004C7B99">
        <w:rPr>
          <w:rFonts w:ascii="Calibri" w:eastAsia="Times New Roman" w:hAnsi="Calibri" w:cs="Calibri"/>
          <w:b/>
          <w:i/>
          <w:color w:val="000000"/>
          <w:sz w:val="20"/>
          <w:szCs w:val="20"/>
          <w:lang w:eastAsia="pl-PL"/>
        </w:rPr>
        <w:t>Multidyscyplinarny</w:t>
      </w:r>
      <w:proofErr w:type="spellEnd"/>
      <w:r w:rsidR="004C7B99" w:rsidRPr="004C7B99">
        <w:rPr>
          <w:rFonts w:ascii="Calibri" w:eastAsia="Times New Roman" w:hAnsi="Calibri" w:cs="Calibri"/>
          <w:b/>
          <w:i/>
          <w:color w:val="000000"/>
          <w:sz w:val="20"/>
          <w:szCs w:val="20"/>
          <w:lang w:eastAsia="pl-PL"/>
        </w:rPr>
        <w:t xml:space="preserve"> Otwarty System Transferu Wiedzy – etap II: Open </w:t>
      </w:r>
      <w:proofErr w:type="spellStart"/>
      <w:r w:rsidR="004C7B99" w:rsidRPr="004C7B99">
        <w:rPr>
          <w:rFonts w:ascii="Calibri" w:eastAsia="Times New Roman" w:hAnsi="Calibri" w:cs="Calibri"/>
          <w:b/>
          <w:i/>
          <w:color w:val="000000"/>
          <w:sz w:val="20"/>
          <w:szCs w:val="20"/>
          <w:lang w:eastAsia="pl-PL"/>
        </w:rPr>
        <w:t>Research</w:t>
      </w:r>
      <w:proofErr w:type="spellEnd"/>
      <w:r w:rsidR="004C7B99" w:rsidRPr="004C7B99">
        <w:rPr>
          <w:rFonts w:ascii="Calibri" w:eastAsia="Times New Roman" w:hAnsi="Calibri" w:cs="Calibri"/>
          <w:b/>
          <w:i/>
          <w:color w:val="000000"/>
          <w:sz w:val="20"/>
          <w:szCs w:val="20"/>
          <w:lang w:eastAsia="pl-PL"/>
        </w:rPr>
        <w:t xml:space="preserve"> Data”, "Utworzenia Sieci </w:t>
      </w:r>
      <w:proofErr w:type="spellStart"/>
      <w:r w:rsidR="004C7B99" w:rsidRPr="004C7B99">
        <w:rPr>
          <w:rFonts w:ascii="Calibri" w:eastAsia="Times New Roman" w:hAnsi="Calibri" w:cs="Calibri"/>
          <w:b/>
          <w:i/>
          <w:color w:val="000000"/>
          <w:sz w:val="20"/>
          <w:szCs w:val="20"/>
          <w:lang w:eastAsia="pl-PL"/>
        </w:rPr>
        <w:t>Biobanków</w:t>
      </w:r>
      <w:proofErr w:type="spellEnd"/>
      <w:r w:rsidR="004C7B99" w:rsidRPr="004C7B99">
        <w:rPr>
          <w:rFonts w:ascii="Calibri" w:eastAsia="Times New Roman" w:hAnsi="Calibri" w:cs="Calibri"/>
          <w:b/>
          <w:i/>
          <w:color w:val="000000"/>
          <w:sz w:val="20"/>
          <w:szCs w:val="20"/>
          <w:lang w:eastAsia="pl-PL"/>
        </w:rPr>
        <w:t xml:space="preserve"> w Polsce w obrębie Infrastruktury Badawczej </w:t>
      </w:r>
      <w:proofErr w:type="spellStart"/>
      <w:r w:rsidR="004C7B99" w:rsidRPr="004C7B99">
        <w:rPr>
          <w:rFonts w:ascii="Calibri" w:eastAsia="Times New Roman" w:hAnsi="Calibri" w:cs="Calibri"/>
          <w:b/>
          <w:i/>
          <w:color w:val="000000"/>
          <w:sz w:val="20"/>
          <w:szCs w:val="20"/>
          <w:lang w:eastAsia="pl-PL"/>
        </w:rPr>
        <w:t>Biobanków</w:t>
      </w:r>
      <w:proofErr w:type="spellEnd"/>
      <w:r w:rsidR="004C7B99" w:rsidRPr="004C7B99">
        <w:rPr>
          <w:rFonts w:ascii="Calibri" w:eastAsia="Times New Roman" w:hAnsi="Calibri" w:cs="Calibri"/>
          <w:b/>
          <w:i/>
          <w:color w:val="000000"/>
          <w:sz w:val="20"/>
          <w:szCs w:val="20"/>
          <w:lang w:eastAsia="pl-PL"/>
        </w:rPr>
        <w:t xml:space="preserve"> i Zasobów </w:t>
      </w:r>
      <w:proofErr w:type="spellStart"/>
      <w:r w:rsidR="004C7B99" w:rsidRPr="004C7B99">
        <w:rPr>
          <w:rFonts w:ascii="Calibri" w:eastAsia="Times New Roman" w:hAnsi="Calibri" w:cs="Calibri"/>
          <w:b/>
          <w:i/>
          <w:color w:val="000000"/>
          <w:sz w:val="20"/>
          <w:szCs w:val="20"/>
          <w:lang w:eastAsia="pl-PL"/>
        </w:rPr>
        <w:t>Biomolekularnych</w:t>
      </w:r>
      <w:proofErr w:type="spellEnd"/>
      <w:r w:rsidR="004C7B99" w:rsidRPr="004C7B99">
        <w:rPr>
          <w:rFonts w:ascii="Calibri" w:eastAsia="Times New Roman" w:hAnsi="Calibri" w:cs="Calibri"/>
          <w:b/>
          <w:i/>
          <w:color w:val="000000"/>
          <w:sz w:val="20"/>
          <w:szCs w:val="20"/>
          <w:lang w:eastAsia="pl-PL"/>
        </w:rPr>
        <w:t xml:space="preserve"> BBMRI-ERIC" oraz „POWER. Międzynarodowe Studia Doktoranckie WF z OML GUMed ukierunkowane na transfer wiedzy do przemysłu” POWR.03.02.00-00-I014/17-00</w:t>
      </w:r>
      <w:r w:rsidR="004C7B99">
        <w:rPr>
          <w:rFonts w:ascii="Calibri" w:eastAsia="Times New Roman" w:hAnsi="Calibri" w:cs="Calibri"/>
          <w:b/>
          <w:i/>
          <w:color w:val="000000"/>
          <w:sz w:val="20"/>
          <w:szCs w:val="20"/>
          <w:lang w:eastAsia="pl-PL"/>
        </w:rPr>
        <w:t>.</w:t>
      </w:r>
    </w:p>
    <w:p w:rsidR="002268C3" w:rsidRPr="002268C3" w:rsidRDefault="002268C3" w:rsidP="002268C3">
      <w:pPr>
        <w:spacing w:after="0" w:line="288" w:lineRule="auto"/>
        <w:jc w:val="both"/>
        <w:rPr>
          <w:rFonts w:ascii="Calibri" w:eastAsia="Times New Roman" w:hAnsi="Calibri" w:cs="Calibri"/>
          <w:lang w:eastAsia="pl-PL"/>
        </w:rPr>
      </w:pPr>
    </w:p>
    <w:p w:rsidR="002268C3" w:rsidRPr="002268C3" w:rsidRDefault="002268C3" w:rsidP="002268C3">
      <w:pPr>
        <w:tabs>
          <w:tab w:val="num" w:pos="0"/>
          <w:tab w:val="left" w:pos="1418"/>
          <w:tab w:val="left" w:pos="1701"/>
          <w:tab w:val="left" w:pos="1985"/>
          <w:tab w:val="left" w:pos="2268"/>
        </w:tabs>
        <w:spacing w:after="0" w:line="240" w:lineRule="auto"/>
        <w:ind w:right="-11"/>
        <w:jc w:val="both"/>
        <w:rPr>
          <w:rFonts w:ascii="Calibri" w:eastAsia="Times New Roman" w:hAnsi="Calibri" w:cs="Calibri"/>
          <w:i/>
          <w:color w:val="000000"/>
          <w:lang w:eastAsia="pl-PL"/>
        </w:rPr>
      </w:pPr>
      <w:r w:rsidRPr="002268C3">
        <w:rPr>
          <w:rFonts w:ascii="Calibri" w:eastAsia="Times New Roman" w:hAnsi="Calibri" w:cs="Calibri"/>
          <w:color w:val="000000"/>
          <w:lang w:eastAsia="pl-PL"/>
        </w:rPr>
        <w:t>Gdański Uniwersytet Medyczny zawiadamia, iż na zgłoszone pisemnie pytania udziela odpowiedzi w oparciu o art. 38 ust. 1 i 2 ustawy Prawo zamówień publicznych jak niżej:</w:t>
      </w:r>
      <w:r w:rsidRPr="002268C3">
        <w:rPr>
          <w:rFonts w:ascii="Calibri" w:eastAsia="Times New Roman" w:hAnsi="Calibri" w:cs="Calibri"/>
          <w:i/>
          <w:color w:val="000000"/>
          <w:lang w:eastAsia="pl-PL"/>
        </w:rPr>
        <w:tab/>
      </w:r>
    </w:p>
    <w:p w:rsidR="002268C3" w:rsidRPr="002268C3" w:rsidRDefault="002268C3" w:rsidP="002268C3">
      <w:pPr>
        <w:tabs>
          <w:tab w:val="num" w:pos="0"/>
          <w:tab w:val="left" w:pos="1418"/>
          <w:tab w:val="left" w:pos="1701"/>
          <w:tab w:val="left" w:pos="1985"/>
          <w:tab w:val="left" w:pos="2268"/>
        </w:tabs>
        <w:spacing w:after="0" w:line="240" w:lineRule="auto"/>
        <w:ind w:right="-11"/>
        <w:jc w:val="both"/>
        <w:rPr>
          <w:rFonts w:ascii="Calibri" w:eastAsia="Times New Roman" w:hAnsi="Calibri" w:cs="Calibri"/>
          <w:color w:val="000000"/>
          <w:lang w:eastAsia="pl-PL"/>
        </w:rPr>
      </w:pPr>
    </w:p>
    <w:p w:rsidR="004D31E5" w:rsidRDefault="004D31E5" w:rsidP="002268C3">
      <w:pPr>
        <w:spacing w:after="0" w:line="240" w:lineRule="auto"/>
        <w:ind w:left="1416" w:hanging="1416"/>
        <w:jc w:val="both"/>
        <w:rPr>
          <w:rFonts w:ascii="Calibri" w:eastAsia="Times New Roman" w:hAnsi="Calibri" w:cs="Calibri"/>
          <w:lang w:eastAsia="pl-PL"/>
        </w:rPr>
      </w:pPr>
    </w:p>
    <w:p w:rsidR="004C7B99" w:rsidRPr="004C7B99" w:rsidRDefault="004D31E5" w:rsidP="004C7B99">
      <w:pPr>
        <w:tabs>
          <w:tab w:val="center" w:pos="1134"/>
        </w:tabs>
        <w:spacing w:after="0" w:line="360" w:lineRule="auto"/>
        <w:ind w:left="1134" w:hanging="1134"/>
        <w:jc w:val="both"/>
        <w:rPr>
          <w:rFonts w:ascii="Calibri" w:eastAsia="Times New Roman" w:hAnsi="Calibri" w:cs="Calibri"/>
          <w:lang w:eastAsia="pl-PL"/>
        </w:rPr>
      </w:pPr>
      <w:r w:rsidRPr="004D31E5">
        <w:rPr>
          <w:rFonts w:ascii="Calibri" w:eastAsia="Times New Roman" w:hAnsi="Calibri" w:cs="Calibri"/>
          <w:b/>
          <w:lang w:eastAsia="pl-PL"/>
        </w:rPr>
        <w:t xml:space="preserve">Pytanie </w:t>
      </w:r>
      <w:r w:rsidR="008E23AC">
        <w:rPr>
          <w:rFonts w:ascii="Calibri" w:eastAsia="Times New Roman" w:hAnsi="Calibri" w:cs="Calibri"/>
          <w:b/>
          <w:lang w:eastAsia="pl-PL"/>
        </w:rPr>
        <w:t>1</w:t>
      </w:r>
      <w:r w:rsidRPr="004D31E5">
        <w:rPr>
          <w:rFonts w:ascii="Calibri" w:eastAsia="Times New Roman" w:hAnsi="Calibri" w:cs="Calibri"/>
          <w:b/>
          <w:lang w:eastAsia="pl-PL"/>
        </w:rPr>
        <w:t>:</w:t>
      </w:r>
      <w:r>
        <w:rPr>
          <w:rFonts w:ascii="Calibri" w:eastAsia="Times New Roman" w:hAnsi="Calibri" w:cs="Calibri"/>
          <w:lang w:eastAsia="pl-PL"/>
        </w:rPr>
        <w:t xml:space="preserve">  </w:t>
      </w:r>
      <w:r w:rsidR="004C7B99" w:rsidRPr="004C7B99">
        <w:rPr>
          <w:rFonts w:ascii="Calibri" w:eastAsia="Times New Roman" w:hAnsi="Calibri" w:cs="Calibri"/>
          <w:lang w:eastAsia="pl-PL"/>
        </w:rPr>
        <w:t xml:space="preserve">Czy prawidłowo Wykonawca rozumie „dni robocze”, o których mowa m. in. w §3 ust.                    7 wzoru umowy, jako dni od poniedziałku do piątku z wyłączeniem dni ustawowo wolnych od pracy ? </w:t>
      </w:r>
    </w:p>
    <w:p w:rsidR="008E23AC" w:rsidRDefault="008E23AC" w:rsidP="004C7B99">
      <w:pPr>
        <w:spacing w:after="0" w:line="240" w:lineRule="auto"/>
        <w:jc w:val="both"/>
        <w:rPr>
          <w:rFonts w:ascii="Calibri" w:eastAsia="Times New Roman" w:hAnsi="Calibri" w:cs="Calibri"/>
          <w:lang w:eastAsia="pl-PL"/>
        </w:rPr>
      </w:pPr>
    </w:p>
    <w:p w:rsidR="005F1D51" w:rsidRDefault="005F1D51" w:rsidP="004D31E5">
      <w:pPr>
        <w:spacing w:after="0" w:line="240" w:lineRule="auto"/>
        <w:ind w:left="1412" w:hanging="1412"/>
        <w:jc w:val="both"/>
        <w:rPr>
          <w:rFonts w:ascii="Calibri" w:eastAsia="Times New Roman" w:hAnsi="Calibri" w:cs="Calibri"/>
          <w:lang w:eastAsia="pl-PL"/>
        </w:rPr>
      </w:pPr>
      <w:r w:rsidRPr="005F1D51">
        <w:rPr>
          <w:rFonts w:ascii="Calibri" w:eastAsia="Times New Roman" w:hAnsi="Calibri" w:cs="Calibri"/>
          <w:b/>
          <w:lang w:eastAsia="pl-PL"/>
        </w:rPr>
        <w:t>Odpowiedź:</w:t>
      </w:r>
      <w:r w:rsidR="008E23AC">
        <w:rPr>
          <w:rFonts w:ascii="Calibri" w:eastAsia="Times New Roman" w:hAnsi="Calibri" w:cs="Calibri"/>
          <w:b/>
          <w:lang w:eastAsia="pl-PL"/>
        </w:rPr>
        <w:t xml:space="preserve"> </w:t>
      </w:r>
      <w:r w:rsidR="004C7B99">
        <w:rPr>
          <w:rFonts w:ascii="Calibri" w:eastAsia="Times New Roman" w:hAnsi="Calibri" w:cs="Calibri"/>
          <w:lang w:eastAsia="pl-PL"/>
        </w:rPr>
        <w:t>Tak</w:t>
      </w:r>
    </w:p>
    <w:p w:rsidR="004C7B99" w:rsidRDefault="004C7B99" w:rsidP="004D31E5">
      <w:pPr>
        <w:spacing w:after="0" w:line="240" w:lineRule="auto"/>
        <w:ind w:left="1412" w:hanging="1412"/>
        <w:jc w:val="both"/>
        <w:rPr>
          <w:rFonts w:ascii="Calibri" w:eastAsia="Times New Roman" w:hAnsi="Calibri" w:cs="Calibri"/>
          <w:b/>
          <w:lang w:eastAsia="pl-PL"/>
        </w:rPr>
      </w:pPr>
    </w:p>
    <w:p w:rsidR="004C7B99" w:rsidRPr="004C7B99" w:rsidRDefault="004C7B99" w:rsidP="004C7B99">
      <w:pPr>
        <w:spacing w:after="0" w:line="360" w:lineRule="auto"/>
        <w:ind w:left="992" w:hanging="992"/>
        <w:jc w:val="both"/>
        <w:rPr>
          <w:rFonts w:ascii="Calibri" w:eastAsia="Times New Roman" w:hAnsi="Calibri" w:cs="Calibri"/>
          <w:b/>
          <w:lang w:eastAsia="pl-PL"/>
        </w:rPr>
      </w:pPr>
      <w:r>
        <w:rPr>
          <w:rFonts w:ascii="Calibri" w:eastAsia="Times New Roman" w:hAnsi="Calibri" w:cs="Calibri"/>
          <w:b/>
          <w:lang w:eastAsia="pl-PL"/>
        </w:rPr>
        <w:t xml:space="preserve">Pytanie 2:   </w:t>
      </w:r>
      <w:r w:rsidRPr="004C7B99">
        <w:rPr>
          <w:rFonts w:ascii="Calibri" w:eastAsia="Times New Roman" w:hAnsi="Calibri" w:cs="Calibri"/>
          <w:lang w:eastAsia="pl-PL"/>
        </w:rPr>
        <w:t>Wykonawca zwraca się z prośbą o modyfikację zapisów §4 wzoru umowy w ten sposób, że</w:t>
      </w:r>
      <w:r>
        <w:rPr>
          <w:rFonts w:ascii="Calibri" w:eastAsia="Times New Roman" w:hAnsi="Calibri" w:cs="Calibri"/>
          <w:lang w:eastAsia="pl-PL"/>
        </w:rPr>
        <w:t xml:space="preserve"> </w:t>
      </w:r>
      <w:r w:rsidRPr="004C7B99">
        <w:rPr>
          <w:rFonts w:ascii="Calibri" w:eastAsia="Times New Roman" w:hAnsi="Calibri" w:cs="Calibri"/>
          <w:lang w:eastAsia="pl-PL"/>
        </w:rPr>
        <w:t xml:space="preserve">kara umowna będzie naliczana od wartości netto a nie brutto. Podatek </w:t>
      </w:r>
      <w:bookmarkStart w:id="0" w:name="_Hlk39666485"/>
      <w:r w:rsidRPr="004C7B99">
        <w:rPr>
          <w:rFonts w:ascii="Calibri" w:eastAsia="Times New Roman" w:hAnsi="Calibri" w:cs="Calibri"/>
          <w:lang w:eastAsia="pl-PL"/>
        </w:rPr>
        <w:t xml:space="preserve">VAT jako należność publicznoprawna jest odprowadzany przez Wykonawcę do urzędu skarbowego i nie prowadzi do powstania po stronie Wykonawcy jakiegokolwiek przysporzenia </w:t>
      </w:r>
      <w:bookmarkEnd w:id="0"/>
      <w:r w:rsidRPr="004C7B99">
        <w:rPr>
          <w:rFonts w:ascii="Calibri" w:eastAsia="Times New Roman" w:hAnsi="Calibri" w:cs="Calibri"/>
          <w:lang w:eastAsia="pl-PL"/>
        </w:rPr>
        <w:t>majątkowego.</w:t>
      </w:r>
    </w:p>
    <w:p w:rsidR="004C7B99" w:rsidRDefault="004C7B99" w:rsidP="004D31E5">
      <w:pPr>
        <w:spacing w:after="0" w:line="240" w:lineRule="auto"/>
        <w:ind w:left="1412" w:hanging="1412"/>
        <w:jc w:val="both"/>
        <w:rPr>
          <w:rFonts w:ascii="Calibri" w:eastAsia="Times New Roman" w:hAnsi="Calibri" w:cs="Calibri"/>
          <w:b/>
          <w:lang w:eastAsia="pl-PL"/>
        </w:rPr>
      </w:pPr>
    </w:p>
    <w:p w:rsidR="005F1D51" w:rsidRDefault="004C7B99" w:rsidP="004C7B99">
      <w:pPr>
        <w:spacing w:after="0" w:line="240" w:lineRule="auto"/>
        <w:jc w:val="both"/>
        <w:rPr>
          <w:rFonts w:ascii="Calibri" w:eastAsia="Times New Roman" w:hAnsi="Calibri" w:cs="Calibri"/>
          <w:b/>
          <w:lang w:eastAsia="pl-PL"/>
        </w:rPr>
      </w:pPr>
      <w:r>
        <w:rPr>
          <w:rFonts w:ascii="Calibri" w:eastAsia="Times New Roman" w:hAnsi="Calibri" w:cs="Calibri"/>
          <w:b/>
          <w:lang w:eastAsia="pl-PL"/>
        </w:rPr>
        <w:t xml:space="preserve">Odpowiedź: </w:t>
      </w:r>
      <w:r w:rsidRPr="004C7B99">
        <w:rPr>
          <w:rFonts w:ascii="Calibri" w:eastAsia="Times New Roman" w:hAnsi="Calibri" w:cs="Calibri"/>
          <w:lang w:eastAsia="pl-PL"/>
        </w:rPr>
        <w:t>Zamawiający nie wyraża zgody.</w:t>
      </w:r>
      <w:r>
        <w:rPr>
          <w:rFonts w:ascii="Calibri" w:eastAsia="Times New Roman" w:hAnsi="Calibri" w:cs="Calibri"/>
          <w:b/>
          <w:lang w:eastAsia="pl-PL"/>
        </w:rPr>
        <w:t xml:space="preserve"> </w:t>
      </w:r>
    </w:p>
    <w:p w:rsidR="00344D09" w:rsidRDefault="00344D09" w:rsidP="004C7B99">
      <w:pPr>
        <w:spacing w:after="0" w:line="240" w:lineRule="auto"/>
        <w:jc w:val="both"/>
        <w:rPr>
          <w:rFonts w:ascii="Calibri" w:eastAsia="Times New Roman" w:hAnsi="Calibri" w:cs="Calibri"/>
          <w:b/>
          <w:lang w:eastAsia="pl-PL"/>
        </w:rPr>
      </w:pPr>
    </w:p>
    <w:p w:rsidR="00344D09" w:rsidRPr="00344D09" w:rsidRDefault="00344D09" w:rsidP="00344D09">
      <w:pPr>
        <w:spacing w:after="0" w:line="360" w:lineRule="auto"/>
        <w:ind w:left="993" w:hanging="993"/>
        <w:jc w:val="both"/>
        <w:rPr>
          <w:rFonts w:ascii="Calibri" w:eastAsia="Times New Roman" w:hAnsi="Calibri" w:cs="Calibri"/>
          <w:lang w:eastAsia="pl-PL"/>
        </w:rPr>
      </w:pPr>
      <w:r>
        <w:rPr>
          <w:rFonts w:ascii="Calibri" w:eastAsia="Times New Roman" w:hAnsi="Calibri" w:cs="Calibri"/>
          <w:b/>
          <w:lang w:eastAsia="pl-PL"/>
        </w:rPr>
        <w:lastRenderedPageBreak/>
        <w:t xml:space="preserve">Pytanie 3: </w:t>
      </w:r>
      <w:r w:rsidRPr="00344D09">
        <w:rPr>
          <w:rFonts w:ascii="Calibri" w:eastAsia="Times New Roman" w:hAnsi="Calibri" w:cs="Calibri"/>
          <w:lang w:eastAsia="pl-PL"/>
        </w:rPr>
        <w:t>Czy Zamawiający wyrazi zgodę na dodanie do wzoru umowy klauzuli wyłączającej odpowiedzialność Stron na wypadek wystąpienia tzw. siły wyższej?</w:t>
      </w:r>
    </w:p>
    <w:p w:rsidR="00344D09" w:rsidRPr="00344D09" w:rsidRDefault="00344D09" w:rsidP="00344D09">
      <w:pPr>
        <w:spacing w:after="0" w:line="360" w:lineRule="auto"/>
        <w:ind w:left="993"/>
        <w:jc w:val="both"/>
        <w:rPr>
          <w:rFonts w:ascii="Calibri" w:eastAsia="Times New Roman" w:hAnsi="Calibri" w:cs="Calibri"/>
          <w:lang w:eastAsia="pl-PL"/>
        </w:rPr>
      </w:pPr>
      <w:r w:rsidRPr="00344D09">
        <w:rPr>
          <w:rFonts w:ascii="Calibri" w:eastAsia="Times New Roman" w:hAnsi="Calibri" w:cs="Calibri"/>
          <w:lang w:eastAsia="pl-PL"/>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344D09" w:rsidRDefault="00344D09" w:rsidP="004C7B99">
      <w:pPr>
        <w:spacing w:after="0" w:line="240" w:lineRule="auto"/>
        <w:jc w:val="both"/>
        <w:rPr>
          <w:rFonts w:ascii="Calibri" w:eastAsia="Times New Roman" w:hAnsi="Calibri" w:cs="Calibri"/>
          <w:b/>
          <w:lang w:eastAsia="pl-PL"/>
        </w:rPr>
      </w:pPr>
    </w:p>
    <w:p w:rsidR="002268C3" w:rsidRDefault="00344D09" w:rsidP="002268C3">
      <w:r w:rsidRPr="00344D09">
        <w:rPr>
          <w:b/>
        </w:rPr>
        <w:t xml:space="preserve">Odpowiedź: </w:t>
      </w:r>
      <w:r w:rsidRPr="00344D09">
        <w:t>Zamawiający nie wyraża zgody.</w:t>
      </w:r>
    </w:p>
    <w:p w:rsidR="00344D09" w:rsidRDefault="00344D09" w:rsidP="002268C3"/>
    <w:p w:rsidR="00344D09" w:rsidRPr="00344D09" w:rsidRDefault="00344D09" w:rsidP="00344D09">
      <w:pPr>
        <w:spacing w:line="360" w:lineRule="auto"/>
        <w:ind w:left="993" w:hanging="993"/>
        <w:jc w:val="both"/>
      </w:pPr>
      <w:r w:rsidRPr="00344D09">
        <w:rPr>
          <w:b/>
        </w:rPr>
        <w:t>Pytanie 4:</w:t>
      </w:r>
      <w:r>
        <w:t xml:space="preserve"> </w:t>
      </w:r>
      <w:r w:rsidRPr="00344D09">
        <w:t>Niezależnie od powyższego pytania, Wykonawca zwraca się z prośbą o wprowadzenie w ramach zapisu §7 ust. 1 lit.</w:t>
      </w:r>
      <w:r>
        <w:t xml:space="preserve"> </w:t>
      </w:r>
      <w:r w:rsidRPr="00344D09">
        <w:t>b wzoru umowy przykładowego katalogu zdarzeń rozumianych przez strony jako przejaw wystąpienia siły wyższej. Wykonawca proponuje następujące brzmienie zdania trzeciego ww. zapisu: „Za siłę wyższą uważa się w szczególności klęski żywiołowe, katastrofy, mobilizację, embargo, zamknięcie granic, wojnę, strajki, ataki terrorystyczne, zdarzenia medyczne</w:t>
      </w:r>
      <w:r>
        <w:t xml:space="preserve"> </w:t>
      </w:r>
      <w:r w:rsidRPr="00344D09">
        <w:t>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344D09" w:rsidRPr="00344D09" w:rsidRDefault="00344D09" w:rsidP="00344D09">
      <w:r w:rsidRPr="00344D09">
        <w:rPr>
          <w:b/>
        </w:rPr>
        <w:t xml:space="preserve">Odpowiedź: </w:t>
      </w:r>
      <w:r w:rsidRPr="00344D09">
        <w:t>Zamawiający nie wyraża zgody.</w:t>
      </w:r>
    </w:p>
    <w:p w:rsidR="00344D09" w:rsidRDefault="00344D09" w:rsidP="002268C3"/>
    <w:p w:rsidR="00344D09" w:rsidRPr="00344D09" w:rsidRDefault="00344D09" w:rsidP="00344D09">
      <w:pPr>
        <w:spacing w:line="360" w:lineRule="auto"/>
      </w:pPr>
      <w:r w:rsidRPr="00344D09">
        <w:rPr>
          <w:b/>
        </w:rPr>
        <w:t>Pytanie 5:</w:t>
      </w:r>
      <w:r>
        <w:t xml:space="preserve">  </w:t>
      </w:r>
      <w:r w:rsidRPr="00344D09">
        <w:t>Wykonawca zwraca się z prośbą o modyfikację:</w:t>
      </w:r>
    </w:p>
    <w:p w:rsidR="00344D09" w:rsidRPr="00344D09" w:rsidRDefault="00344D09" w:rsidP="00344D09">
      <w:pPr>
        <w:numPr>
          <w:ilvl w:val="0"/>
          <w:numId w:val="1"/>
        </w:numPr>
        <w:spacing w:line="360" w:lineRule="auto"/>
        <w:jc w:val="both"/>
      </w:pPr>
      <w:r w:rsidRPr="00344D09">
        <w:t>zapisu §4 ust. 1 lit. a i lit. b wzoru umowy poprzez miarkowanie wysokości kary umownej do poziomu 0,1% wartości netto niedostarczonego w terminie towaru lub towaru wadliwego;</w:t>
      </w:r>
    </w:p>
    <w:p w:rsidR="00344D09" w:rsidRPr="00344D09" w:rsidRDefault="00344D09" w:rsidP="00344D09">
      <w:pPr>
        <w:numPr>
          <w:ilvl w:val="0"/>
          <w:numId w:val="1"/>
        </w:numPr>
        <w:spacing w:line="360" w:lineRule="auto"/>
        <w:jc w:val="both"/>
      </w:pPr>
      <w:r w:rsidRPr="00344D09">
        <w:t>zapisu §4 ust. 1 lit. c wzoru umowy poprzez naliczanie kary od wartości netto niezrealizowanej części umowy, w jakiej nastąpiło odstąpienie</w:t>
      </w:r>
    </w:p>
    <w:p w:rsidR="00344D09" w:rsidRDefault="00344D09" w:rsidP="00344D09">
      <w:pPr>
        <w:spacing w:line="360" w:lineRule="auto"/>
      </w:pPr>
      <w:r w:rsidRPr="00344D09">
        <w:rPr>
          <w:b/>
        </w:rPr>
        <w:t>Odpowiedź:</w:t>
      </w:r>
      <w:r w:rsidRPr="00344D09">
        <w:t xml:space="preserve"> Zamawiający nie wyraża zgody</w:t>
      </w:r>
      <w:r>
        <w:t xml:space="preserve"> w zakresie pytania a i b. </w:t>
      </w:r>
    </w:p>
    <w:p w:rsidR="00344D09" w:rsidRPr="00344D09" w:rsidRDefault="00344D09" w:rsidP="00E4720C">
      <w:pPr>
        <w:spacing w:line="360" w:lineRule="auto"/>
        <w:ind w:left="851" w:hanging="851"/>
        <w:jc w:val="both"/>
      </w:pPr>
      <w:r w:rsidRPr="00344D09">
        <w:rPr>
          <w:b/>
        </w:rPr>
        <w:lastRenderedPageBreak/>
        <w:t>Pytanie 6</w:t>
      </w:r>
      <w:r>
        <w:t xml:space="preserve">: </w:t>
      </w:r>
      <w:r w:rsidRPr="00344D09">
        <w:t xml:space="preserve">Wykonawca zwraca się z prośbą o modyfikację zapisów §4 ust. 1 lit. a, lit. b  wzoru umowy w ten sposób, aby kary umowne były naliczane w związku z wystąpieniem zwłoki, a nie opóźnienia realizacji przedmiotu umowy. Zamawiający uregulował obowiązek zapłaty kar umownych w przypadku </w:t>
      </w:r>
      <w:r w:rsidRPr="00344D09">
        <w:rPr>
          <w:i/>
          <w:iCs/>
        </w:rPr>
        <w:t xml:space="preserve">opóźnienia </w:t>
      </w:r>
      <w:r w:rsidRPr="00344D09">
        <w:rPr>
          <w:iCs/>
        </w:rPr>
        <w:t>Wykonawcy</w:t>
      </w:r>
      <w:r w:rsidRPr="00344D09">
        <w:rPr>
          <w:i/>
          <w:iCs/>
        </w:rPr>
        <w:t xml:space="preserve">. </w:t>
      </w:r>
      <w:r w:rsidRPr="00344D09">
        <w:t xml:space="preserve">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 związku z art. 5 k.c. </w:t>
      </w:r>
    </w:p>
    <w:p w:rsidR="00344D09" w:rsidRPr="00344D09" w:rsidRDefault="00344D09" w:rsidP="00344D09">
      <w:pPr>
        <w:spacing w:line="360" w:lineRule="auto"/>
      </w:pPr>
      <w:r w:rsidRPr="00344D09">
        <w:rPr>
          <w:b/>
        </w:rPr>
        <w:t xml:space="preserve">Odpowiedź: </w:t>
      </w:r>
      <w:r w:rsidRPr="00344D09">
        <w:t>Zamawiający nie wyraża zgody.</w:t>
      </w:r>
    </w:p>
    <w:p w:rsidR="00344D09" w:rsidRPr="002268C3" w:rsidRDefault="00344D09" w:rsidP="00344D09">
      <w:pPr>
        <w:spacing w:line="360" w:lineRule="auto"/>
      </w:pPr>
    </w:p>
    <w:p w:rsidR="008E23AC" w:rsidRPr="008D4092" w:rsidRDefault="008E23AC" w:rsidP="004C7B99">
      <w:pPr>
        <w:spacing w:after="0" w:line="240" w:lineRule="auto"/>
        <w:rPr>
          <w:sz w:val="20"/>
          <w:szCs w:val="20"/>
        </w:rPr>
      </w:pPr>
      <w:r>
        <w:t xml:space="preserve">                                                           </w:t>
      </w:r>
    </w:p>
    <w:p w:rsidR="008E23AC" w:rsidRPr="00E4720C" w:rsidRDefault="008E23AC" w:rsidP="00E4720C">
      <w:pPr>
        <w:spacing w:after="0" w:line="240" w:lineRule="auto"/>
        <w:rPr>
          <w:sz w:val="20"/>
          <w:szCs w:val="20"/>
        </w:rPr>
      </w:pPr>
      <w:r w:rsidRPr="008D4092">
        <w:rPr>
          <w:sz w:val="20"/>
          <w:szCs w:val="20"/>
        </w:rPr>
        <w:t xml:space="preserve">                                                                                                                                   </w:t>
      </w:r>
      <w:r w:rsidR="008D4092">
        <w:rPr>
          <w:sz w:val="20"/>
          <w:szCs w:val="20"/>
        </w:rPr>
        <w:t xml:space="preserve">                </w:t>
      </w:r>
    </w:p>
    <w:p w:rsidR="008E23AC" w:rsidRDefault="008E23AC" w:rsidP="008E23AC"/>
    <w:p w:rsidR="00E4720C" w:rsidRPr="00E4720C" w:rsidRDefault="00E4720C" w:rsidP="00E4720C">
      <w:pPr>
        <w:rPr>
          <w:i/>
        </w:rPr>
      </w:pPr>
      <w:r w:rsidRPr="00E4720C">
        <w:rPr>
          <w:i/>
        </w:rPr>
        <w:t xml:space="preserve">                                                                                                                  </w:t>
      </w:r>
      <w:r>
        <w:rPr>
          <w:i/>
        </w:rPr>
        <w:t xml:space="preserve">                           </w:t>
      </w:r>
      <w:r w:rsidRPr="00E4720C">
        <w:rPr>
          <w:i/>
        </w:rPr>
        <w:t xml:space="preserve">Kanclerz                </w:t>
      </w:r>
    </w:p>
    <w:p w:rsidR="00E4720C" w:rsidRPr="00E4720C" w:rsidRDefault="00E4720C" w:rsidP="00E4720C">
      <w:pPr>
        <w:rPr>
          <w:i/>
        </w:rPr>
      </w:pPr>
      <w:r w:rsidRPr="00E4720C">
        <w:rPr>
          <w:i/>
        </w:rPr>
        <w:tab/>
      </w:r>
      <w:r w:rsidRPr="00E4720C">
        <w:rPr>
          <w:i/>
        </w:rPr>
        <w:tab/>
      </w:r>
      <w:r w:rsidRPr="00E4720C">
        <w:rPr>
          <w:i/>
        </w:rPr>
        <w:tab/>
      </w:r>
      <w:r w:rsidRPr="00E4720C">
        <w:rPr>
          <w:i/>
        </w:rPr>
        <w:tab/>
      </w:r>
      <w:r w:rsidRPr="00E4720C">
        <w:rPr>
          <w:i/>
        </w:rPr>
        <w:tab/>
      </w:r>
      <w:r w:rsidRPr="00E4720C">
        <w:rPr>
          <w:i/>
        </w:rPr>
        <w:tab/>
      </w:r>
      <w:r w:rsidRPr="00E4720C">
        <w:rPr>
          <w:i/>
        </w:rPr>
        <w:tab/>
      </w:r>
      <w:r w:rsidRPr="00E4720C">
        <w:rPr>
          <w:i/>
        </w:rPr>
        <w:tab/>
      </w:r>
      <w:r w:rsidRPr="00E4720C">
        <w:rPr>
          <w:i/>
        </w:rPr>
        <w:tab/>
      </w:r>
      <w:r w:rsidRPr="00E4720C">
        <w:rPr>
          <w:i/>
        </w:rPr>
        <w:tab/>
      </w:r>
      <w:r w:rsidR="00E360CA">
        <w:rPr>
          <w:i/>
        </w:rPr>
        <w:t xml:space="preserve">  </w:t>
      </w:r>
      <w:bookmarkStart w:id="1" w:name="_GoBack"/>
      <w:bookmarkEnd w:id="1"/>
      <w:r w:rsidR="00E360CA">
        <w:rPr>
          <w:i/>
        </w:rPr>
        <w:t>/-/</w:t>
      </w:r>
    </w:p>
    <w:p w:rsidR="00E4720C" w:rsidRPr="00E4720C" w:rsidRDefault="00E4720C" w:rsidP="00E4720C">
      <w:r w:rsidRPr="00E4720C">
        <w:rPr>
          <w:i/>
        </w:rPr>
        <w:t xml:space="preserve">                                                                                                                                       Marek Langowski                                       </w:t>
      </w:r>
    </w:p>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344D09" w:rsidRDefault="00344D09" w:rsidP="008E23AC"/>
    <w:p w:rsidR="00B72373" w:rsidRPr="008E23AC" w:rsidRDefault="008E23AC" w:rsidP="008E23AC">
      <w:r>
        <w:t>Sprawę prowadzi: Paulina Kowalska</w:t>
      </w:r>
      <w:r>
        <w:tab/>
      </w:r>
    </w:p>
    <w:sectPr w:rsidR="00B72373" w:rsidRPr="008E23AC" w:rsidSect="004C7B99">
      <w:footerReference w:type="default" r:id="rId1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D58" w:rsidRDefault="008F0D58">
      <w:pPr>
        <w:spacing w:after="0" w:line="240" w:lineRule="auto"/>
      </w:pPr>
      <w:r>
        <w:separator/>
      </w:r>
    </w:p>
  </w:endnote>
  <w:endnote w:type="continuationSeparator" w:id="0">
    <w:p w:rsidR="008F0D58" w:rsidRDefault="008F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18" w:rsidRDefault="009D4918" w:rsidP="009D4918">
    <w:pPr>
      <w:pStyle w:val="Stopka"/>
    </w:pPr>
    <w:r>
      <w:rPr>
        <w:noProof/>
      </w:rPr>
      <mc:AlternateContent>
        <mc:Choice Requires="wps">
          <w:drawing>
            <wp:anchor distT="45720" distB="45720" distL="114300" distR="114300" simplePos="0" relativeHeight="251659264" behindDoc="0" locked="0" layoutInCell="1" allowOverlap="1" wp14:anchorId="6D3B4547" wp14:editId="15DDAC02">
              <wp:simplePos x="0" y="0"/>
              <wp:positionH relativeFrom="column">
                <wp:posOffset>2508250</wp:posOffset>
              </wp:positionH>
              <wp:positionV relativeFrom="paragraph">
                <wp:posOffset>-209550</wp:posOffset>
              </wp:positionV>
              <wp:extent cx="1609090" cy="1404620"/>
              <wp:effectExtent l="0" t="0" r="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404620"/>
                      </a:xfrm>
                      <a:prstGeom prst="rect">
                        <a:avLst/>
                      </a:prstGeom>
                      <a:solidFill>
                        <a:srgbClr val="FFFFFF"/>
                      </a:solidFill>
                      <a:ln w="9525">
                        <a:noFill/>
                        <a:miter lim="800000"/>
                        <a:headEnd/>
                        <a:tailEnd/>
                      </a:ln>
                    </wps:spPr>
                    <wps:txbx>
                      <w:txbxContent>
                        <w:p w:rsidR="009D4918" w:rsidRPr="00F909BE" w:rsidRDefault="009D4918" w:rsidP="009D4918">
                          <w:pPr>
                            <w:spacing w:after="0" w:line="240" w:lineRule="auto"/>
                            <w:rPr>
                              <w:rFonts w:ascii="Arial" w:hAnsi="Arial" w:cs="Arial"/>
                              <w:color w:val="000000"/>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B4547" id="_x0000_t202" coordsize="21600,21600" o:spt="202" path="m,l,21600r21600,l21600,xe">
              <v:stroke joinstyle="miter"/>
              <v:path gradientshapeok="t" o:connecttype="rect"/>
            </v:shapetype>
            <v:shape id="Pole tekstowe 2" o:spid="_x0000_s1026" type="#_x0000_t202" style="position:absolute;margin-left:197.5pt;margin-top:-16.5pt;width:126.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" stroked="f">
              <v:textbox style="mso-fit-shape-to-text:t">
                <w:txbxContent>
                  <w:p w:rsidR="009D4918" w:rsidRPr="00F909BE" w:rsidRDefault="009D4918" w:rsidP="009D4918">
                    <w:pPr>
                      <w:spacing w:after="0" w:line="240" w:lineRule="auto"/>
                      <w:rPr>
                        <w:rFonts w:ascii="Arial" w:hAnsi="Arial" w:cs="Arial"/>
                        <w:color w:val="000000"/>
                        <w:sz w:val="14"/>
                        <w:szCs w:val="14"/>
                      </w:rPr>
                    </w:pP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41C7BE6" wp14:editId="03CA2915">
              <wp:simplePos x="0" y="0"/>
              <wp:positionH relativeFrom="column">
                <wp:posOffset>4281170</wp:posOffset>
              </wp:positionH>
              <wp:positionV relativeFrom="paragraph">
                <wp:posOffset>-209550</wp:posOffset>
              </wp:positionV>
              <wp:extent cx="1476375" cy="1404620"/>
              <wp:effectExtent l="0" t="0" r="9525" b="508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rsidR="009D4918" w:rsidRPr="003D4911" w:rsidRDefault="009D4918" w:rsidP="009D4918">
                          <w:pPr>
                            <w:spacing w:after="0" w:line="240" w:lineRule="auto"/>
                            <w:rPr>
                              <w:rFonts w:ascii="Arial" w:hAnsi="Arial" w:cs="Arial"/>
                              <w:color w:val="000000"/>
                              <w:sz w:val="14"/>
                              <w:szCs w:val="14"/>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C7BE6" id="_x0000_s1027" type="#_x0000_t202" style="position:absolute;margin-left:337.1pt;margin-top:-16.5pt;width:11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" stroked="f">
              <v:textbox style="mso-fit-shape-to-text:t">
                <w:txbxContent>
                  <w:p w:rsidR="009D4918" w:rsidRPr="003D4911" w:rsidRDefault="009D4918" w:rsidP="009D4918">
                    <w:pPr>
                      <w:spacing w:after="0" w:line="240" w:lineRule="auto"/>
                      <w:rPr>
                        <w:rFonts w:ascii="Arial" w:hAnsi="Arial" w:cs="Arial"/>
                        <w:color w:val="000000"/>
                        <w:sz w:val="14"/>
                        <w:szCs w:val="14"/>
                        <w:lang w:val="en-GB"/>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257175</wp:posOffset>
              </wp:positionH>
              <wp:positionV relativeFrom="page">
                <wp:posOffset>9972675</wp:posOffset>
              </wp:positionV>
              <wp:extent cx="6972300" cy="53975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39750"/>
                      </a:xfrm>
                      <a:prstGeom prst="rect">
                        <a:avLst/>
                      </a:prstGeom>
                      <a:solidFill>
                        <a:srgbClr val="FFFFFF"/>
                      </a:solidFill>
                      <a:ln w="9525">
                        <a:noFill/>
                        <a:miter lim="800000"/>
                        <a:headEnd/>
                        <a:tailEnd/>
                      </a:ln>
                    </wps:spPr>
                    <wps:txbx>
                      <w:txbxContent>
                        <w:p w:rsidR="009D4918" w:rsidRPr="00E600A0" w:rsidRDefault="004C7B99" w:rsidP="009D4918">
                          <w:pPr>
                            <w:jc w:val="center"/>
                          </w:pPr>
                          <w:r w:rsidRPr="004C7B99">
                            <w:drawing>
                              <wp:inline distT="0" distB="0" distL="0" distR="0">
                                <wp:extent cx="5762625" cy="5143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r w:rsidR="009D4918">
                            <w:rPr>
                              <w:rFonts w:ascii="Century Gothic" w:hAnsi="Century Gothi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margin-left:20.25pt;margin-top:785.25pt;width:549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" stroked="f">
              <v:textbox>
                <w:txbxContent>
                  <w:p w:rsidR="009D4918" w:rsidRPr="00E600A0" w:rsidRDefault="004C7B99" w:rsidP="009D4918">
                    <w:pPr>
                      <w:jc w:val="center"/>
                    </w:pPr>
                    <w:r w:rsidRPr="004C7B99">
                      <w:drawing>
                        <wp:inline distT="0" distB="0" distL="0" distR="0">
                          <wp:extent cx="5762625" cy="5143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r w:rsidR="009D4918">
                      <w:rPr>
                        <w:rFonts w:ascii="Century Gothic" w:hAnsi="Century Gothic"/>
                        <w:sz w:val="16"/>
                        <w:szCs w:val="16"/>
                      </w:rPr>
                      <w:t xml:space="preserve"> </w:t>
                    </w:r>
                  </w:p>
                </w:txbxContent>
              </v:textbox>
              <w10:wrap anchorx="page" anchory="page"/>
            </v:shape>
          </w:pict>
        </mc:Fallback>
      </mc:AlternateContent>
    </w:r>
  </w:p>
  <w:p w:rsidR="009D4918" w:rsidRDefault="009D4918" w:rsidP="009D4918">
    <w:pPr>
      <w:pStyle w:val="Stopka"/>
    </w:pPr>
  </w:p>
  <w:p w:rsidR="009D4918" w:rsidRDefault="009D4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D58" w:rsidRDefault="008F0D58">
      <w:pPr>
        <w:spacing w:after="0" w:line="240" w:lineRule="auto"/>
      </w:pPr>
      <w:r>
        <w:separator/>
      </w:r>
    </w:p>
  </w:footnote>
  <w:footnote w:type="continuationSeparator" w:id="0">
    <w:p w:rsidR="008F0D58" w:rsidRDefault="008F0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1329E"/>
    <w:multiLevelType w:val="hybridMultilevel"/>
    <w:tmpl w:val="B4048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C3"/>
    <w:rsid w:val="000C07DD"/>
    <w:rsid w:val="002268C3"/>
    <w:rsid w:val="00344D09"/>
    <w:rsid w:val="004C7B99"/>
    <w:rsid w:val="004D31E5"/>
    <w:rsid w:val="005F1D51"/>
    <w:rsid w:val="006541F4"/>
    <w:rsid w:val="006554AF"/>
    <w:rsid w:val="006A6946"/>
    <w:rsid w:val="00840E1F"/>
    <w:rsid w:val="008D4092"/>
    <w:rsid w:val="008E23AC"/>
    <w:rsid w:val="008F0D58"/>
    <w:rsid w:val="009D4918"/>
    <w:rsid w:val="00B72373"/>
    <w:rsid w:val="00BE54AC"/>
    <w:rsid w:val="00E360CA"/>
    <w:rsid w:val="00E4720C"/>
    <w:rsid w:val="00E56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B433"/>
  <w15:chartTrackingRefBased/>
  <w15:docId w15:val="{D3C6735D-7D11-4C34-8756-665437D8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268C3"/>
    <w:pPr>
      <w:tabs>
        <w:tab w:val="center" w:pos="4536"/>
        <w:tab w:val="right" w:pos="9072"/>
      </w:tabs>
      <w:spacing w:after="0" w:line="240" w:lineRule="auto"/>
    </w:pPr>
    <w:rPr>
      <w:rFonts w:ascii="Times New Roman" w:eastAsia="Times New Roman" w:hAnsi="Times New Roman" w:cs="Times New Roman"/>
      <w:sz w:val="26"/>
      <w:szCs w:val="20"/>
      <w:lang w:val="x-none" w:eastAsia="x-none"/>
    </w:rPr>
  </w:style>
  <w:style w:type="character" w:customStyle="1" w:styleId="StopkaZnak">
    <w:name w:val="Stopka Znak"/>
    <w:basedOn w:val="Domylnaczcionkaakapitu"/>
    <w:link w:val="Stopka"/>
    <w:uiPriority w:val="99"/>
    <w:rsid w:val="002268C3"/>
    <w:rPr>
      <w:rFonts w:ascii="Times New Roman" w:eastAsia="Times New Roman" w:hAnsi="Times New Roman" w:cs="Times New Roman"/>
      <w:sz w:val="26"/>
      <w:szCs w:val="20"/>
      <w:lang w:val="x-none" w:eastAsia="x-none"/>
    </w:rPr>
  </w:style>
  <w:style w:type="paragraph" w:styleId="Nagwek">
    <w:name w:val="header"/>
    <w:basedOn w:val="Normalny"/>
    <w:link w:val="NagwekZnak"/>
    <w:uiPriority w:val="99"/>
    <w:unhideWhenUsed/>
    <w:rsid w:val="009D4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918"/>
  </w:style>
  <w:style w:type="character" w:styleId="Hipercze">
    <w:name w:val="Hyperlink"/>
    <w:uiPriority w:val="99"/>
    <w:rsid w:val="009D4918"/>
    <w:rPr>
      <w:color w:val="0000FF"/>
      <w:u w:val="single"/>
    </w:rPr>
  </w:style>
  <w:style w:type="character" w:styleId="Nierozpoznanawzmianka">
    <w:name w:val="Unresolved Mention"/>
    <w:basedOn w:val="Domylnaczcionkaakapitu"/>
    <w:uiPriority w:val="99"/>
    <w:semiHidden/>
    <w:unhideWhenUsed/>
    <w:rsid w:val="00344D09"/>
    <w:rPr>
      <w:color w:val="605E5C"/>
      <w:shd w:val="clear" w:color="auto" w:fill="E1DFDD"/>
    </w:rPr>
  </w:style>
  <w:style w:type="paragraph" w:styleId="Tekstdymka">
    <w:name w:val="Balloon Text"/>
    <w:basedOn w:val="Normalny"/>
    <w:link w:val="TekstdymkaZnak"/>
    <w:uiPriority w:val="99"/>
    <w:semiHidden/>
    <w:unhideWhenUsed/>
    <w:rsid w:val="00E47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4463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GUMed</dc:creator>
  <cp:keywords/>
  <dc:description/>
  <cp:lastModifiedBy>GUMed</cp:lastModifiedBy>
  <cp:revision>2</cp:revision>
  <cp:lastPrinted>2020-07-07T07:09:00Z</cp:lastPrinted>
  <dcterms:created xsi:type="dcterms:W3CDTF">2020-07-07T07:12:00Z</dcterms:created>
  <dcterms:modified xsi:type="dcterms:W3CDTF">2020-07-07T07:12:00Z</dcterms:modified>
</cp:coreProperties>
</file>