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0829826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5C3D9D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698177F0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bookmarkStart w:id="0" w:name="_Hlk75262822"/>
      <w:r w:rsidR="005C3D9D">
        <w:rPr>
          <w:rFonts w:ascii="Verdana" w:hAnsi="Verdana" w:cs="Times New Roman"/>
          <w:b/>
          <w:sz w:val="18"/>
          <w:szCs w:val="18"/>
        </w:rPr>
        <w:t>Doczyszczanie odpadów</w:t>
      </w:r>
      <w:r w:rsidR="00497C2F">
        <w:rPr>
          <w:rFonts w:ascii="Verdana" w:hAnsi="Verdana" w:cs="Times New Roman"/>
          <w:b/>
          <w:sz w:val="18"/>
          <w:szCs w:val="18"/>
        </w:rPr>
        <w:t xml:space="preserve"> - Gotartów</w:t>
      </w:r>
      <w:r w:rsidR="005C3D9D">
        <w:rPr>
          <w:rFonts w:ascii="Verdana" w:hAnsi="Verdana" w:cs="Times New Roman"/>
          <w:b/>
          <w:sz w:val="18"/>
          <w:szCs w:val="18"/>
        </w:rPr>
        <w:t>/ 2021</w:t>
      </w:r>
      <w:bookmarkEnd w:id="0"/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497C2F">
        <w:rPr>
          <w:rFonts w:ascii="Verdana" w:hAnsi="Verdana" w:cstheme="minorHAnsi"/>
          <w:sz w:val="20"/>
          <w:szCs w:val="20"/>
        </w:rPr>
        <w:t xml:space="preserve"> z późn.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5C3D9D">
        <w:rPr>
          <w:rFonts w:ascii="Verdana" w:hAnsi="Verdana" w:cstheme="minorHAnsi"/>
          <w:sz w:val="20"/>
          <w:szCs w:val="20"/>
        </w:rPr>
        <w:t xml:space="preserve"> sp. z o.o.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1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1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497C2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497C2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26E3322B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497C2F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97C2F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3D9D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13</cp:revision>
  <cp:lastPrinted>2021-06-24T08:47:00Z</cp:lastPrinted>
  <dcterms:created xsi:type="dcterms:W3CDTF">2021-02-19T13:15:00Z</dcterms:created>
  <dcterms:modified xsi:type="dcterms:W3CDTF">2021-10-14T07:29:00Z</dcterms:modified>
</cp:coreProperties>
</file>