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942C2D" w:rsidRDefault="00DE75FD" w:rsidP="006B644B">
      <w:pPr>
        <w:spacing w:after="0" w:line="240" w:lineRule="auto"/>
        <w:jc w:val="right"/>
        <w:rPr>
          <w:rFonts w:ascii="Garamond" w:eastAsia="Times New Roman" w:hAnsi="Garamond" w:cs="Times New Roman"/>
          <w:lang w:eastAsia="pl-PL"/>
        </w:rPr>
      </w:pPr>
      <w:r w:rsidRPr="00942C2D">
        <w:rPr>
          <w:rFonts w:ascii="Garamond" w:eastAsia="Times New Roman" w:hAnsi="Garamond" w:cs="Times New Roman"/>
          <w:lang w:eastAsia="pl-PL"/>
        </w:rPr>
        <w:t xml:space="preserve">    Kraków, dnia </w:t>
      </w:r>
      <w:r w:rsidR="00563796">
        <w:rPr>
          <w:rFonts w:ascii="Garamond" w:eastAsia="Times New Roman" w:hAnsi="Garamond" w:cs="Times New Roman"/>
          <w:lang w:eastAsia="pl-PL"/>
        </w:rPr>
        <w:t>10</w:t>
      </w:r>
      <w:r w:rsidR="00C4068D" w:rsidRPr="00942C2D">
        <w:rPr>
          <w:rFonts w:ascii="Garamond" w:eastAsia="Times New Roman" w:hAnsi="Garamond" w:cs="Times New Roman"/>
          <w:lang w:eastAsia="pl-PL"/>
        </w:rPr>
        <w:t>.</w:t>
      </w:r>
      <w:r w:rsidR="00847B5E" w:rsidRPr="00942C2D">
        <w:rPr>
          <w:rFonts w:ascii="Garamond" w:eastAsia="Times New Roman" w:hAnsi="Garamond" w:cs="Times New Roman"/>
          <w:lang w:eastAsia="pl-PL"/>
        </w:rPr>
        <w:t>0</w:t>
      </w:r>
      <w:r w:rsidR="00ED77E7">
        <w:rPr>
          <w:rFonts w:ascii="Garamond" w:eastAsia="Times New Roman" w:hAnsi="Garamond" w:cs="Times New Roman"/>
          <w:lang w:eastAsia="pl-PL"/>
        </w:rPr>
        <w:t>5</w:t>
      </w:r>
      <w:r w:rsidR="00F47622"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w:t>
      </w:r>
      <w:r w:rsidRPr="00942C2D">
        <w:rPr>
          <w:rFonts w:ascii="Garamond" w:eastAsia="Times New Roman" w:hAnsi="Garamond" w:cs="Times New Roman"/>
          <w:lang w:eastAsia="pl-PL"/>
        </w:rPr>
        <w:t xml:space="preserve"> r.</w:t>
      </w:r>
    </w:p>
    <w:p w:rsidR="00DE75FD" w:rsidRPr="00942C2D" w:rsidRDefault="003536B2" w:rsidP="006B644B">
      <w:pPr>
        <w:spacing w:after="0" w:line="240" w:lineRule="auto"/>
        <w:rPr>
          <w:rFonts w:ascii="Garamond" w:eastAsia="Times New Roman" w:hAnsi="Garamond" w:cs="Times New Roman"/>
          <w:lang w:eastAsia="pl-PL"/>
        </w:rPr>
      </w:pPr>
      <w:r w:rsidRPr="00942C2D">
        <w:rPr>
          <w:rFonts w:ascii="Garamond" w:eastAsia="Times New Roman" w:hAnsi="Garamond" w:cs="Times New Roman"/>
          <w:lang w:eastAsia="pl-PL"/>
        </w:rPr>
        <w:t>Nr sprawy: DFP.271.</w:t>
      </w:r>
      <w:r w:rsidR="00ED77E7">
        <w:rPr>
          <w:rFonts w:ascii="Garamond" w:eastAsia="Times New Roman" w:hAnsi="Garamond" w:cs="Times New Roman"/>
          <w:lang w:eastAsia="pl-PL"/>
        </w:rPr>
        <w:t>51</w:t>
      </w:r>
      <w:r w:rsidR="006E59CC"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2.LS</w:t>
      </w:r>
    </w:p>
    <w:p w:rsidR="00DE75FD" w:rsidRPr="00942C2D" w:rsidRDefault="00DE75FD" w:rsidP="006B644B">
      <w:pPr>
        <w:spacing w:after="0" w:line="240" w:lineRule="auto"/>
        <w:jc w:val="both"/>
        <w:rPr>
          <w:rFonts w:ascii="Garamond" w:eastAsia="Times New Roman" w:hAnsi="Garamond" w:cs="Times New Roman"/>
          <w:lang w:eastAsia="pl-PL"/>
        </w:rPr>
      </w:pPr>
    </w:p>
    <w:p w:rsidR="00DB5A02" w:rsidRPr="00942C2D" w:rsidRDefault="00DB5A02" w:rsidP="006B644B">
      <w:pPr>
        <w:spacing w:after="0" w:line="240" w:lineRule="auto"/>
        <w:jc w:val="both"/>
        <w:rPr>
          <w:rFonts w:ascii="Garamond" w:eastAsia="Times New Roman" w:hAnsi="Garamond" w:cs="Times New Roman"/>
          <w:lang w:eastAsia="pl-PL"/>
        </w:rPr>
      </w:pPr>
    </w:p>
    <w:p w:rsidR="00DE75FD" w:rsidRPr="00942C2D" w:rsidRDefault="00DE75FD" w:rsidP="006B644B">
      <w:pPr>
        <w:spacing w:after="0" w:line="240" w:lineRule="auto"/>
        <w:jc w:val="right"/>
        <w:rPr>
          <w:rFonts w:ascii="Garamond" w:eastAsia="Times New Roman" w:hAnsi="Garamond" w:cs="Times New Roman"/>
          <w:b/>
          <w:bCs/>
          <w:lang w:eastAsia="pl-PL"/>
        </w:rPr>
      </w:pPr>
      <w:r w:rsidRPr="00942C2D">
        <w:rPr>
          <w:rFonts w:ascii="Garamond" w:eastAsia="Times New Roman" w:hAnsi="Garamond" w:cs="Times New Roman"/>
          <w:b/>
          <w:bCs/>
          <w:lang w:eastAsia="pl-PL"/>
        </w:rPr>
        <w:t>Do wszystkich Wykonawców biorących udział w postępowaniu</w:t>
      </w:r>
    </w:p>
    <w:p w:rsidR="006E59CC" w:rsidRPr="00942C2D" w:rsidRDefault="006E59CC" w:rsidP="006B644B">
      <w:pPr>
        <w:spacing w:after="0" w:line="240" w:lineRule="auto"/>
        <w:rPr>
          <w:rFonts w:ascii="Garamond" w:eastAsia="Times New Roman" w:hAnsi="Garamond" w:cs="Times New Roman"/>
          <w:b/>
          <w:bCs/>
          <w:lang w:eastAsia="pl-PL"/>
        </w:rPr>
      </w:pPr>
    </w:p>
    <w:p w:rsidR="00DB5A02" w:rsidRPr="00942C2D" w:rsidRDefault="00DB5A02" w:rsidP="006B644B">
      <w:pPr>
        <w:spacing w:after="0" w:line="240" w:lineRule="auto"/>
        <w:ind w:left="851" w:hanging="851"/>
        <w:jc w:val="both"/>
        <w:rPr>
          <w:rFonts w:ascii="Garamond" w:eastAsia="Times New Roman" w:hAnsi="Garamond" w:cs="Times New Roman"/>
          <w:bCs/>
          <w:lang w:eastAsia="pl-PL"/>
        </w:rPr>
      </w:pPr>
    </w:p>
    <w:p w:rsidR="00DA5168" w:rsidRPr="00942C2D" w:rsidRDefault="00DE75FD" w:rsidP="006B644B">
      <w:pPr>
        <w:spacing w:after="0" w:line="240" w:lineRule="auto"/>
        <w:ind w:left="851" w:hanging="851"/>
        <w:jc w:val="both"/>
        <w:rPr>
          <w:rFonts w:ascii="Garamond" w:eastAsia="Times New Roman" w:hAnsi="Garamond" w:cs="Times New Roman"/>
          <w:b/>
          <w:bCs/>
          <w:iCs/>
          <w:lang w:eastAsia="pl-PL"/>
        </w:rPr>
      </w:pPr>
      <w:r w:rsidRPr="00942C2D">
        <w:rPr>
          <w:rFonts w:ascii="Garamond" w:eastAsia="Times New Roman" w:hAnsi="Garamond" w:cs="Times New Roman"/>
          <w:bCs/>
          <w:lang w:eastAsia="pl-PL"/>
        </w:rPr>
        <w:t>Dotyczy:</w:t>
      </w:r>
      <w:r w:rsidR="00473431" w:rsidRPr="00942C2D">
        <w:rPr>
          <w:rFonts w:ascii="Garamond" w:eastAsia="Times New Roman" w:hAnsi="Garamond" w:cs="Times New Roman"/>
          <w:bCs/>
          <w:lang w:eastAsia="pl-PL"/>
        </w:rPr>
        <w:tab/>
      </w:r>
      <w:r w:rsidRPr="00942C2D">
        <w:rPr>
          <w:rFonts w:ascii="Garamond" w:eastAsia="Times New Roman" w:hAnsi="Garamond" w:cs="Times New Roman"/>
          <w:lang w:eastAsia="pl-PL"/>
        </w:rPr>
        <w:t xml:space="preserve">postępowania o udzielenie zamówienia publicznego na </w:t>
      </w:r>
      <w:r w:rsidR="003536B2" w:rsidRPr="00942C2D">
        <w:rPr>
          <w:rFonts w:ascii="Garamond" w:eastAsia="Times New Roman" w:hAnsi="Garamond" w:cs="Times New Roman"/>
          <w:bCs/>
          <w:iCs/>
          <w:lang w:eastAsia="pl-PL"/>
        </w:rPr>
        <w:t xml:space="preserve">dostawę </w:t>
      </w:r>
      <w:r w:rsidR="00ED77E7" w:rsidRPr="00ED77E7">
        <w:rPr>
          <w:rFonts w:ascii="Garamond" w:eastAsia="Times New Roman" w:hAnsi="Garamond" w:cs="Times New Roman"/>
          <w:bCs/>
          <w:iCs/>
          <w:lang w:eastAsia="pl-PL"/>
        </w:rPr>
        <w:t>produktów leczniczych i dietetycznych środków spożywczych specjalnego przeznaczenia medycznego do Apteki Szpitala Uniwersyteckiego w Krakowie</w:t>
      </w:r>
      <w:r w:rsidR="00056A8A">
        <w:rPr>
          <w:rFonts w:ascii="Garamond" w:eastAsia="Times New Roman" w:hAnsi="Garamond" w:cs="Times New Roman"/>
          <w:bCs/>
          <w:iCs/>
          <w:lang w:eastAsia="pl-PL"/>
        </w:rPr>
        <w:t>.</w:t>
      </w:r>
    </w:p>
    <w:p w:rsidR="00DB5A02" w:rsidRPr="00942C2D" w:rsidRDefault="00DB5A02" w:rsidP="00A26A30">
      <w:pPr>
        <w:tabs>
          <w:tab w:val="left" w:pos="2467"/>
        </w:tabs>
        <w:spacing w:after="0" w:line="240" w:lineRule="auto"/>
        <w:jc w:val="both"/>
        <w:rPr>
          <w:rFonts w:ascii="Garamond" w:eastAsia="Times New Roman" w:hAnsi="Garamond" w:cs="Times New Roman"/>
          <w:lang w:eastAsia="pl-PL"/>
        </w:rPr>
      </w:pPr>
    </w:p>
    <w:p w:rsidR="00A70379" w:rsidRPr="00942C2D" w:rsidRDefault="00951156" w:rsidP="00A26A30">
      <w:pPr>
        <w:tabs>
          <w:tab w:val="left" w:pos="2467"/>
        </w:tabs>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ab/>
      </w:r>
    </w:p>
    <w:p w:rsidR="00056A8A" w:rsidRPr="00056A8A" w:rsidRDefault="00056A8A" w:rsidP="00056A8A">
      <w:pPr>
        <w:spacing w:after="0" w:line="240" w:lineRule="auto"/>
        <w:ind w:firstLine="708"/>
        <w:jc w:val="both"/>
        <w:rPr>
          <w:rFonts w:ascii="Garamond" w:eastAsia="Times New Roman" w:hAnsi="Garamond" w:cs="Times New Roman"/>
          <w:lang w:eastAsia="pl-PL"/>
        </w:rPr>
      </w:pPr>
      <w:r w:rsidRPr="00056A8A">
        <w:rPr>
          <w:rFonts w:ascii="Garamond" w:eastAsia="Times New Roman" w:hAnsi="Garamond"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Pr="00942C2D" w:rsidRDefault="002E1600" w:rsidP="009219C1">
      <w:pPr>
        <w:spacing w:after="0" w:line="240" w:lineRule="auto"/>
        <w:rPr>
          <w:rFonts w:ascii="Garamond" w:eastAsia="Times New Roman" w:hAnsi="Garamond" w:cs="Times New Roman"/>
          <w:lang w:eastAsia="pl-PL"/>
        </w:rPr>
      </w:pPr>
    </w:p>
    <w:p w:rsidR="002E1600" w:rsidRPr="00942C2D" w:rsidRDefault="002E1600" w:rsidP="009219C1">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w:t>
      </w:r>
    </w:p>
    <w:p w:rsidR="00444438" w:rsidRDefault="00444438" w:rsidP="00ED77E7">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nr 1</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Dotyczy zapisów wzoru umowy</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 xml:space="preserve">Proszę o wyjaśnienie czy w razie wystąpienia braku statusu refundacyjnego leku, wstrzymania lub wycofania produktu leczniczego z obrotu decyzją Głównego Inspektora Farmaceutycznego oraz zaprzestania produkcji, skutkujących uniemożliwieniem realizacji umowy przez Wykonawcę, przy jednoczesnym udokumentowanym braku możliwości dostarczenia przez Wykonawcę towaru równoważnego/odpowiednika, Zamawiający dopuszcza rozwiązanie umowy za porozumieniem stron (bez naliczenia kar umownych) w zakresie w/w produktu z uwagi na niemożność spełnienia świadczenia zgodnie z przepisami KC? </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w:t>
      </w:r>
      <w:r w:rsidR="00BE49BF">
        <w:rPr>
          <w:rFonts w:ascii="Garamond" w:eastAsia="Times New Roman" w:hAnsi="Garamond" w:cs="Times New Roman"/>
          <w:lang w:eastAsia="pl-PL"/>
        </w:rPr>
        <w:t xml:space="preserve">podtrzymuje </w:t>
      </w:r>
      <w:r w:rsidR="00444438">
        <w:rPr>
          <w:rFonts w:ascii="Garamond" w:eastAsia="Times New Roman" w:hAnsi="Garamond" w:cs="Times New Roman"/>
          <w:lang w:eastAsia="pl-PL"/>
        </w:rPr>
        <w:t xml:space="preserve">dotychczasowe postanowienia SWZ 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2</w:t>
      </w:r>
    </w:p>
    <w:p w:rsidR="00444438" w:rsidRDefault="00444438" w:rsidP="00ED77E7">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nr 1</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Dotyczy pkt. 3.10 SWZ oraz § 3 ust. 5 wzoru umowy – termin ważności</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Czy Zamawiający zgodzi się na skrócenie minimalnego terminu ważności dostarczanych produktów leczniczych w części nr 1 do 6 miesięcy?</w:t>
      </w:r>
    </w:p>
    <w:p w:rsidR="00C61919" w:rsidRPr="00C61919"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Biorąc pod uwagę fakt, że Zamawiający przewiduje dostawy sukcesywnie, zgodne z bieżącym zapotrzebowaniem i Szpital nie buduje sobie zapasów, 6 miesięczny termin ważności wydaje się być wystarczający.</w:t>
      </w:r>
    </w:p>
    <w:p w:rsidR="00BE49BF" w:rsidRDefault="00BE49BF" w:rsidP="00BE49B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Default="00ED77E7" w:rsidP="00C61919">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3</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w:t>
      </w:r>
      <w:r w:rsidRPr="00ED77E7">
        <w:rPr>
          <w:rFonts w:ascii="Garamond" w:eastAsia="Times New Roman" w:hAnsi="Garamond" w:cs="Times New Roman"/>
          <w:lang w:eastAsia="pl-PL"/>
        </w:rPr>
        <w:lastRenderedPageBreak/>
        <w:t>dopisanie do §3 ust. 5 projektu umowy następującej treści: "... Dostawy produktów z krótszym terminem ważności mogą być dopuszczone w wyjątkowych sytuacjach i każdorazowo zgodę na nie musi wyrazić upoważniony przedstawiciel Zamawiającego.".</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4</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5</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§3 ust. 7 wzoru umowy. Czy Zamawiający wyrazi zgodę na rezygnację z realizacji dostawy w trybie zwykłym również w soboty?</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6</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8731AE" w:rsidRPr="005B6105">
        <w:rPr>
          <w:rFonts w:ascii="Garamond" w:eastAsia="Times New Roman" w:hAnsi="Garamond" w:cs="Times New Roman"/>
          <w:lang w:eastAsia="pl-PL"/>
        </w:rPr>
        <w:t>Zamawiający pozostawia wzór umowy bez zmian.</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7</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§4 ust. 7 wzoru umowy. Ponieważ Wykonawca zamówienia publicznego nie jest stroną umowy SU DOP wskazanej w §4 ust. 7 projektu umowy to prosimy o wyjaśnienie, dlaczego ma podawać numer tej umowy w specyfikacji do faktury.</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B6105" w:rsidRPr="005B6105">
        <w:rPr>
          <w:rFonts w:ascii="Garamond" w:eastAsia="Times New Roman" w:hAnsi="Garamond" w:cs="Times New Roman"/>
          <w:lang w:eastAsia="pl-PL"/>
        </w:rPr>
        <w:t>Zamawiający informuje, że każdej umowie zawartej z Wykonawcą nadawany jest numer ewidencyjny SU DOP. Numer ten zostanie nadany umowie zawartej w wyniku rozstrzygnięcia przetargu i Wykonawca jest zobowiązany wskazać go na fakturach dotyczących zamówień reali</w:t>
      </w:r>
      <w:r w:rsidR="005B6105">
        <w:rPr>
          <w:rFonts w:ascii="Garamond" w:eastAsia="Times New Roman" w:hAnsi="Garamond" w:cs="Times New Roman"/>
          <w:lang w:eastAsia="pl-PL"/>
        </w:rPr>
        <w:t>zowanych na podstawie tej umowy.</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8</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 xml:space="preserve">Do §7 ust. 1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w trakcie 18 miesięcy wykonywania kontraktu, a także umożliwiając Zamawiającemu do dowolnego ograniczenia wielkości zamówienia, z pominięciem zasady wyrażonej w art. 433 pkt 4) ustawy z dnia 11 września 2019 r. Prawo Zamówień Publicznych (tj. Dz. U. z 2021 poz. 1129 z </w:t>
      </w:r>
      <w:proofErr w:type="spellStart"/>
      <w:r w:rsidRPr="00ED77E7">
        <w:rPr>
          <w:rFonts w:ascii="Garamond" w:eastAsia="Times New Roman" w:hAnsi="Garamond" w:cs="Times New Roman"/>
          <w:lang w:eastAsia="pl-PL"/>
        </w:rPr>
        <w:t>późn</w:t>
      </w:r>
      <w:proofErr w:type="spellEnd"/>
      <w:r w:rsidRPr="00ED77E7">
        <w:rPr>
          <w:rFonts w:ascii="Garamond" w:eastAsia="Times New Roman" w:hAnsi="Garamond" w:cs="Times New Roman"/>
          <w:lang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B6105" w:rsidRPr="005B6105">
        <w:rPr>
          <w:rFonts w:ascii="Garamond" w:eastAsia="Times New Roman" w:hAnsi="Garamond" w:cs="Times New Roman"/>
          <w:lang w:eastAsia="pl-PL"/>
        </w:rPr>
        <w:t>Zamawiający pozostawia wzór umowy bez zmian.</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Pr>
          <w:rFonts w:ascii="Garamond" w:eastAsia="Times New Roman" w:hAnsi="Garamond" w:cs="Times New Roman"/>
          <w:b/>
          <w:bCs/>
          <w:lang w:eastAsia="pl-PL"/>
        </w:rPr>
        <w:t>9</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0</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§8 ust. 2 wzoru umowy: Czy Zamawiający wyrazi zgodę na zmianę postanowień §8 ust. 2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B6105" w:rsidRPr="005B6105">
        <w:rPr>
          <w:rFonts w:ascii="Garamond" w:eastAsia="Times New Roman" w:hAnsi="Garamond" w:cs="Times New Roman"/>
          <w:lang w:eastAsia="pl-PL"/>
        </w:rPr>
        <w:t>Zamawiający pozostawia wzór umowy bez zmian.</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1</w:t>
      </w:r>
    </w:p>
    <w:p w:rsidR="00ED77E7" w:rsidRPr="00ED77E7"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§8 ust. 3 wzoru umowy. Czy Zamawiający wyrazi zgodę na naliczanie ewentualnej kary umownej za odstąpienie od umowy w wysokości 10% wartości brutto niezrealizowanej części umowy?</w:t>
      </w:r>
    </w:p>
    <w:p w:rsidR="00ED77E7" w:rsidRDefault="00ED77E7" w:rsidP="00ED77E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B6105" w:rsidRPr="005B6105">
        <w:rPr>
          <w:rFonts w:ascii="Garamond" w:eastAsia="Times New Roman" w:hAnsi="Garamond" w:cs="Times New Roman"/>
          <w:lang w:eastAsia="pl-PL"/>
        </w:rPr>
        <w:t>Zamawiający pozostawia wzór umowy bez zmian.</w:t>
      </w:r>
    </w:p>
    <w:p w:rsidR="00ED77E7" w:rsidRPr="00ED77E7" w:rsidRDefault="00ED77E7" w:rsidP="00ED77E7">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2</w:t>
      </w:r>
    </w:p>
    <w:p w:rsidR="00ED77E7" w:rsidRPr="00942C2D" w:rsidRDefault="00ED77E7" w:rsidP="00ED77E7">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rsidR="00C61919" w:rsidRDefault="00ED77E7" w:rsidP="00C6191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B6105" w:rsidRPr="005B6105">
        <w:rPr>
          <w:rFonts w:ascii="Garamond" w:eastAsia="Times New Roman" w:hAnsi="Garamond" w:cs="Times New Roman"/>
          <w:lang w:eastAsia="pl-PL"/>
        </w:rPr>
        <w:t>Zamawiający pozostawia wzór umowy bez zmian.</w:t>
      </w:r>
    </w:p>
    <w:p w:rsidR="005B6105" w:rsidRDefault="005B6105" w:rsidP="00C61919">
      <w:pPr>
        <w:spacing w:after="0" w:line="240" w:lineRule="auto"/>
        <w:jc w:val="both"/>
        <w:rPr>
          <w:rFonts w:ascii="Garamond" w:eastAsia="Times New Roman" w:hAnsi="Garamond" w:cs="Times New Roman"/>
          <w:lang w:eastAsia="pl-PL"/>
        </w:rPr>
      </w:pPr>
    </w:p>
    <w:p w:rsidR="00ED77E7" w:rsidRPr="00942C2D" w:rsidRDefault="00ED77E7" w:rsidP="00ED77E7">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3</w:t>
      </w:r>
    </w:p>
    <w:p w:rsidR="00ED77E7" w:rsidRDefault="00ED77E7" w:rsidP="00C61919">
      <w:pPr>
        <w:spacing w:after="0" w:line="240" w:lineRule="auto"/>
        <w:jc w:val="both"/>
        <w:rPr>
          <w:rFonts w:ascii="Garamond" w:eastAsia="Times New Roman" w:hAnsi="Garamond" w:cs="Times New Roman"/>
          <w:lang w:eastAsia="pl-PL"/>
        </w:rPr>
      </w:pPr>
      <w:r w:rsidRPr="00ED77E7">
        <w:rPr>
          <w:rFonts w:ascii="Garamond" w:eastAsia="Times New Roman" w:hAnsi="Garamond" w:cs="Times New Roman"/>
          <w:lang w:eastAsia="pl-PL"/>
        </w:rPr>
        <w:t>Z uwagi na przedmiot zamówienia, jego ilość i ewentualną prognozowaną wysoką wartość kontraktów dla poszczególnych Pakietów zwracamy się do Zamawiającego z prośbą o wyrażenie zgody na zmniejszenie kary za odstąpienie od umowy dla Pakietów nr 2, 4 z „…20% wartości niezrealizowanej części umowy…” do „... 5% wartości niezrealizowanej części umowy...”; pozostały zapis bez zmian. Obecna kara umowna jest rażąco wygórowana dla Wykonawcy.</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C66224" w:rsidRDefault="00C66224" w:rsidP="00ED77E7">
      <w:pPr>
        <w:spacing w:after="0" w:line="240" w:lineRule="auto"/>
        <w:jc w:val="both"/>
        <w:rPr>
          <w:rFonts w:ascii="Garamond" w:eastAsia="Times New Roman" w:hAnsi="Garamond" w:cs="Times New Roman"/>
          <w:lang w:eastAsia="pl-PL"/>
        </w:rPr>
      </w:pPr>
    </w:p>
    <w:p w:rsidR="00BE49BF" w:rsidRPr="00942C2D" w:rsidRDefault="00BE49BF" w:rsidP="00BE49BF">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4</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lang w:eastAsia="pl-PL"/>
        </w:rPr>
        <w:t xml:space="preserve">Dotyczy § 3 ust. 5 wzoru umowy w zakresie Części 17 </w:t>
      </w:r>
    </w:p>
    <w:p w:rsidR="00BE49BF" w:rsidRPr="00BE49BF" w:rsidRDefault="00BE49BF" w:rsidP="00BE49BF">
      <w:pPr>
        <w:spacing w:after="0" w:line="240" w:lineRule="auto"/>
        <w:jc w:val="both"/>
        <w:rPr>
          <w:rFonts w:ascii="Garamond" w:eastAsia="Times New Roman" w:hAnsi="Garamond" w:cs="Times New Roman"/>
          <w:bCs/>
          <w:lang w:eastAsia="pl-PL"/>
        </w:rPr>
      </w:pPr>
      <w:r w:rsidRPr="00BE49BF">
        <w:rPr>
          <w:rFonts w:ascii="Garamond" w:eastAsia="Times New Roman" w:hAnsi="Garamond" w:cs="Times New Roman"/>
          <w:lang w:eastAsia="pl-PL"/>
        </w:rPr>
        <w:t xml:space="preserve">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w:t>
      </w:r>
      <w:r w:rsidRPr="00BE49BF">
        <w:rPr>
          <w:rFonts w:ascii="Garamond" w:eastAsia="Times New Roman" w:hAnsi="Garamond" w:cs="Times New Roman"/>
          <w:lang w:eastAsia="pl-PL"/>
        </w:rPr>
        <w:lastRenderedPageBreak/>
        <w:t>dostawy produktów do żywienia dojelitowego z terminem ważności nie krótszym niż połowa terminu ważności dla danego produktu?</w:t>
      </w:r>
    </w:p>
    <w:p w:rsidR="00B104B5" w:rsidRPr="00B104B5" w:rsidRDefault="00B104B5" w:rsidP="00B104B5">
      <w:pPr>
        <w:spacing w:after="0" w:line="240" w:lineRule="auto"/>
        <w:jc w:val="both"/>
        <w:rPr>
          <w:rFonts w:ascii="Garamond" w:eastAsia="Times New Roman" w:hAnsi="Garamond" w:cs="Times New Roman"/>
          <w:lang w:eastAsia="pl-PL"/>
        </w:rPr>
      </w:pPr>
      <w:r w:rsidRPr="00B104B5">
        <w:rPr>
          <w:rFonts w:ascii="Garamond" w:eastAsia="Times New Roman" w:hAnsi="Garamond" w:cs="Times New Roman"/>
          <w:b/>
          <w:lang w:eastAsia="pl-PL"/>
        </w:rPr>
        <w:t xml:space="preserve">Odpowiedź: </w:t>
      </w:r>
      <w:r w:rsidRPr="00B104B5">
        <w:rPr>
          <w:rFonts w:ascii="Garamond" w:eastAsia="Times New Roman" w:hAnsi="Garamond" w:cs="Times New Roman"/>
          <w:lang w:eastAsia="pl-PL"/>
        </w:rPr>
        <w:t>Zamawiający nie wyraża zgody na propozycję wskazaną w powyższym pytaniu. Zamawiający j</w:t>
      </w:r>
      <w:r w:rsidR="00DD258D">
        <w:rPr>
          <w:rFonts w:ascii="Garamond" w:eastAsia="Times New Roman" w:hAnsi="Garamond" w:cs="Times New Roman"/>
          <w:lang w:eastAsia="pl-PL"/>
        </w:rPr>
        <w:t>ednocześnie modyfikuje pkt. 3.10</w:t>
      </w:r>
      <w:r w:rsidRPr="00B104B5">
        <w:rPr>
          <w:rFonts w:ascii="Garamond" w:eastAsia="Times New Roman" w:hAnsi="Garamond" w:cs="Times New Roman"/>
          <w:lang w:eastAsia="pl-PL"/>
        </w:rPr>
        <w:t xml:space="preserve"> SWZ, który otrzymuje nowe następujące brzmienie:</w:t>
      </w:r>
    </w:p>
    <w:p w:rsidR="00DD258D" w:rsidRPr="00DD258D" w:rsidRDefault="00DD258D" w:rsidP="00DD258D">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„3.10</w:t>
      </w:r>
      <w:r w:rsidR="00B104B5" w:rsidRPr="00B104B5">
        <w:rPr>
          <w:rFonts w:ascii="Garamond" w:eastAsia="Times New Roman" w:hAnsi="Garamond" w:cs="Times New Roman"/>
          <w:lang w:eastAsia="pl-PL"/>
        </w:rPr>
        <w:t xml:space="preserve">. </w:t>
      </w:r>
      <w:r w:rsidRPr="00DD258D">
        <w:rPr>
          <w:rFonts w:ascii="Garamond" w:eastAsia="Times New Roman" w:hAnsi="Garamond" w:cs="Times New Roman"/>
          <w:lang w:eastAsia="pl-PL"/>
        </w:rPr>
        <w:t>Dotyczy części 1-16: Zamawiający wymaga, aby minimalny termin ważności zaoferowanego asortymentu wynosił co najmniej 12 miesięcy od dnia jego dostawy.</w:t>
      </w:r>
    </w:p>
    <w:p w:rsidR="00BE49BF" w:rsidRDefault="00DD258D" w:rsidP="00DD258D">
      <w:pPr>
        <w:spacing w:after="0" w:line="240" w:lineRule="auto"/>
        <w:jc w:val="both"/>
        <w:rPr>
          <w:rFonts w:ascii="Garamond" w:eastAsia="Times New Roman" w:hAnsi="Garamond" w:cs="Times New Roman"/>
          <w:lang w:eastAsia="pl-PL"/>
        </w:rPr>
      </w:pPr>
      <w:r w:rsidRPr="00DD258D">
        <w:rPr>
          <w:rFonts w:ascii="Garamond" w:eastAsia="Times New Roman" w:hAnsi="Garamond" w:cs="Times New Roman"/>
          <w:lang w:eastAsia="pl-PL"/>
        </w:rPr>
        <w:t>Dotyczy części 17: Zamawiający wymaga, aby minimalny termin ważności zaoferowanego asortymentu wynosił co najmniej 8 miesięcy od dnia jego dostawy.</w:t>
      </w:r>
      <w:r>
        <w:rPr>
          <w:rFonts w:ascii="Garamond" w:eastAsia="Times New Roman" w:hAnsi="Garamond" w:cs="Times New Roman"/>
          <w:lang w:eastAsia="pl-PL"/>
        </w:rPr>
        <w:t>”</w:t>
      </w:r>
    </w:p>
    <w:p w:rsidR="00563796" w:rsidRDefault="00563796" w:rsidP="00DD258D">
      <w:pPr>
        <w:spacing w:after="0" w:line="240" w:lineRule="auto"/>
        <w:jc w:val="both"/>
        <w:rPr>
          <w:rFonts w:ascii="Garamond" w:eastAsia="Times New Roman" w:hAnsi="Garamond" w:cs="Times New Roman"/>
          <w:lang w:eastAsia="pl-PL"/>
        </w:rPr>
      </w:pPr>
    </w:p>
    <w:p w:rsidR="000932C3" w:rsidRDefault="000932C3" w:rsidP="000932C3">
      <w:pPr>
        <w:spacing w:after="0" w:line="240" w:lineRule="auto"/>
        <w:jc w:val="both"/>
        <w:rPr>
          <w:rFonts w:ascii="Garamond" w:eastAsia="Times New Roman" w:hAnsi="Garamond" w:cs="Times New Roman"/>
          <w:lang w:eastAsia="pl-PL"/>
        </w:rPr>
      </w:pPr>
      <w:r w:rsidRPr="000932C3">
        <w:rPr>
          <w:rFonts w:ascii="Garamond" w:eastAsia="Times New Roman" w:hAnsi="Garamond" w:cs="Times New Roman"/>
          <w:lang w:eastAsia="pl-PL"/>
        </w:rPr>
        <w:t>W związku z powyższym, zmianie ulega wzór umowy, w taki sposób, że § 3 ust. 5 i 6 otrzymują brzmienie:</w:t>
      </w:r>
    </w:p>
    <w:p w:rsidR="00444438" w:rsidRPr="000932C3" w:rsidRDefault="00444438" w:rsidP="000932C3">
      <w:pPr>
        <w:spacing w:after="0" w:line="240" w:lineRule="auto"/>
        <w:jc w:val="both"/>
        <w:rPr>
          <w:rFonts w:ascii="Garamond" w:eastAsia="Times New Roman" w:hAnsi="Garamond" w:cs="Times New Roman"/>
          <w:lang w:eastAsia="pl-PL"/>
        </w:rPr>
      </w:pPr>
    </w:p>
    <w:p w:rsidR="000932C3" w:rsidRPr="00444438" w:rsidRDefault="00444438" w:rsidP="00444438">
      <w:pPr>
        <w:spacing w:after="0" w:line="240" w:lineRule="auto"/>
        <w:ind w:left="142"/>
        <w:jc w:val="both"/>
        <w:rPr>
          <w:rFonts w:ascii="Garamond" w:eastAsia="Times New Roman" w:hAnsi="Garamond" w:cs="Times New Roman"/>
          <w:lang w:eastAsia="pl-PL"/>
        </w:rPr>
      </w:pPr>
      <w:r>
        <w:rPr>
          <w:rFonts w:ascii="Garamond" w:eastAsia="Times New Roman" w:hAnsi="Garamond" w:cs="Times New Roman"/>
          <w:lang w:eastAsia="pl-PL"/>
        </w:rPr>
        <w:t>„</w:t>
      </w:r>
      <w:r w:rsidR="000932C3" w:rsidRPr="00444438">
        <w:rPr>
          <w:rFonts w:ascii="Garamond" w:eastAsia="Times New Roman" w:hAnsi="Garamond" w:cs="Times New Roman"/>
          <w:lang w:eastAsia="pl-PL"/>
        </w:rPr>
        <w:t>5. Wykonawca oświadcza, iż dostarczone produkty posiadają okres ważności nie krótszy niż 12</w:t>
      </w:r>
      <w:r w:rsidR="000932C3" w:rsidRPr="00444438">
        <w:rPr>
          <w:rStyle w:val="Odwoanieprzypisudolnego"/>
          <w:rFonts w:ascii="Garamond" w:eastAsia="Times New Roman" w:hAnsi="Garamond" w:cs="Times New Roman"/>
          <w:lang w:eastAsia="pl-PL"/>
        </w:rPr>
        <w:footnoteReference w:id="1"/>
      </w:r>
      <w:r w:rsidR="000932C3" w:rsidRPr="00444438">
        <w:rPr>
          <w:rFonts w:ascii="Garamond" w:eastAsia="Times New Roman" w:hAnsi="Garamond" w:cs="Times New Roman"/>
          <w:lang w:eastAsia="pl-PL"/>
        </w:rPr>
        <w:t>/8</w:t>
      </w:r>
      <w:r w:rsidR="00C5234E" w:rsidRPr="00444438">
        <w:rPr>
          <w:rStyle w:val="Odwoanieprzypisudolnego"/>
          <w:rFonts w:ascii="Garamond" w:eastAsia="Times New Roman" w:hAnsi="Garamond" w:cs="Times New Roman"/>
          <w:lang w:eastAsia="pl-PL"/>
        </w:rPr>
        <w:footnoteReference w:id="2"/>
      </w:r>
      <w:r w:rsidR="000932C3" w:rsidRPr="00444438">
        <w:rPr>
          <w:rFonts w:ascii="Garamond" w:eastAsia="Times New Roman" w:hAnsi="Garamond" w:cs="Times New Roman"/>
          <w:lang w:eastAsia="pl-PL"/>
        </w:rPr>
        <w:t xml:space="preserve">  miesięcy od dnia jego dostawy.</w:t>
      </w:r>
    </w:p>
    <w:p w:rsidR="00BE49BF" w:rsidRPr="00444438" w:rsidRDefault="000932C3" w:rsidP="00444438">
      <w:pPr>
        <w:spacing w:after="0" w:line="240" w:lineRule="auto"/>
        <w:ind w:left="142"/>
        <w:jc w:val="both"/>
        <w:rPr>
          <w:rFonts w:ascii="Garamond" w:eastAsia="Times New Roman" w:hAnsi="Garamond" w:cs="Times New Roman"/>
          <w:lang w:eastAsia="pl-PL"/>
        </w:rPr>
      </w:pPr>
      <w:r w:rsidRPr="00444438">
        <w:rPr>
          <w:rFonts w:ascii="Garamond" w:eastAsia="Times New Roman" w:hAnsi="Garamond" w:cs="Times New Roman"/>
          <w:lang w:eastAsia="pl-PL"/>
        </w:rPr>
        <w:t>6. W przypadku dostarczenia produktu z te</w:t>
      </w:r>
      <w:r w:rsidR="00C5234E" w:rsidRPr="00444438">
        <w:rPr>
          <w:rFonts w:ascii="Garamond" w:eastAsia="Times New Roman" w:hAnsi="Garamond" w:cs="Times New Roman"/>
          <w:lang w:eastAsia="pl-PL"/>
        </w:rPr>
        <w:t>rminem ważności krótszym niż 12</w:t>
      </w:r>
      <w:r w:rsidR="00C5234E" w:rsidRPr="00444438">
        <w:rPr>
          <w:rStyle w:val="Odwoanieprzypisudolnego"/>
          <w:rFonts w:ascii="Garamond" w:eastAsia="Times New Roman" w:hAnsi="Garamond" w:cs="Times New Roman"/>
          <w:lang w:eastAsia="pl-PL"/>
        </w:rPr>
        <w:footnoteReference w:id="3"/>
      </w:r>
      <w:r w:rsidRPr="00444438">
        <w:rPr>
          <w:rFonts w:ascii="Garamond" w:eastAsia="Times New Roman" w:hAnsi="Garamond" w:cs="Times New Roman"/>
          <w:lang w:eastAsia="pl-PL"/>
        </w:rPr>
        <w:t>/8</w:t>
      </w:r>
      <w:r w:rsidR="00C5234E" w:rsidRPr="00444438">
        <w:rPr>
          <w:rStyle w:val="Odwoanieprzypisudolnego"/>
          <w:rFonts w:ascii="Garamond" w:eastAsia="Times New Roman" w:hAnsi="Garamond" w:cs="Times New Roman"/>
          <w:lang w:eastAsia="pl-PL"/>
        </w:rPr>
        <w:footnoteReference w:id="4"/>
      </w:r>
      <w:r w:rsidRPr="00444438">
        <w:rPr>
          <w:rFonts w:ascii="Garamond" w:eastAsia="Times New Roman" w:hAnsi="Garamond" w:cs="Times New Roman"/>
          <w:lang w:eastAsia="pl-PL"/>
        </w:rPr>
        <w:t xml:space="preserve">  miesięcy Szpital Uniwersytecki zastrzega sobie prawo jego zwrotu na 3 miesiące przed upływem jego terminu ważności.</w:t>
      </w:r>
      <w:r w:rsidR="00444438">
        <w:rPr>
          <w:rFonts w:ascii="Garamond" w:eastAsia="Times New Roman" w:hAnsi="Garamond" w:cs="Times New Roman"/>
          <w:lang w:eastAsia="pl-PL"/>
        </w:rPr>
        <w:t>”</w:t>
      </w:r>
    </w:p>
    <w:p w:rsidR="00444438" w:rsidRDefault="00444438" w:rsidP="00BE49BF">
      <w:pPr>
        <w:spacing w:after="0" w:line="240" w:lineRule="auto"/>
        <w:rPr>
          <w:rFonts w:ascii="Garamond" w:eastAsia="Times New Roman" w:hAnsi="Garamond" w:cs="Times New Roman"/>
          <w:b/>
          <w:bCs/>
          <w:lang w:eastAsia="pl-PL"/>
        </w:rPr>
      </w:pPr>
    </w:p>
    <w:p w:rsidR="00BE49BF" w:rsidRPr="00942C2D" w:rsidRDefault="00BE49BF" w:rsidP="00BE49BF">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5</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lang w:eastAsia="pl-PL"/>
        </w:rPr>
        <w:t>Dotyczy § 4 ust. 11 wzoru umowy</w:t>
      </w:r>
    </w:p>
    <w:p w:rsidR="00BE49BF" w:rsidRPr="00BE49BF" w:rsidRDefault="00BE49BF" w:rsidP="00BE49BF">
      <w:pPr>
        <w:spacing w:after="0" w:line="240" w:lineRule="auto"/>
        <w:jc w:val="both"/>
        <w:rPr>
          <w:rFonts w:ascii="Garamond" w:eastAsia="Times New Roman" w:hAnsi="Garamond" w:cs="Times New Roman"/>
          <w:bCs/>
          <w:lang w:eastAsia="pl-PL"/>
        </w:rPr>
      </w:pPr>
      <w:r w:rsidRPr="00BE49BF">
        <w:rPr>
          <w:rFonts w:ascii="Garamond" w:eastAsia="Times New Roman" w:hAnsi="Garamond" w:cs="Times New Roman"/>
          <w:bCs/>
          <w:lang w:eastAsia="pl-PL"/>
        </w:rPr>
        <w:t>Wnosimy o zmianę zapisu § 4 ust. 11  umowy, tak aby ilość przedmiotu umowy była realizowana minimum na poziomie 50%. Obecny zapis jest dla Wykonawcy wyjątkowo ryzykowny i narusza zasadę równego traktowania stron umowy. Wykonawca zamierzający złożyć ofertę na dany pakiet/pozycję/część,  podczas wyceny bierze pod uwagę przede wszystkim dwa czynniki, tj. ilość danego asortymentu oraz długość trwania kontraktu. Musi skalkulować, czy będzie w stanie zapewnić Szpitalowi wymaganą ilość  produktu, co ma z kolei powiązanie z całym systemem logistyki oraz produkcji. Wykonawca jest zobligowany do wyceny całości, a zapis o prawie Szpitala do wykorzystania tylko 25%, powoduje podniesienie ceny oferty, w celu minimalizacji ryzyka nierentowności kontraktu. Zatem zmiana  § 4 ust. 11 umowy, tak aby ilość przedmiotu umowy była realizowana minimum na poziomie 50% jest też korzystna dla Zamawiającego, ponieważ uzyska on niższą cenę oferty.</w:t>
      </w:r>
    </w:p>
    <w:p w:rsidR="00563796" w:rsidRDefault="00563796" w:rsidP="0056379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w:t>
      </w:r>
      <w:r w:rsidR="00444438">
        <w:rPr>
          <w:rFonts w:ascii="Garamond" w:eastAsia="Times New Roman" w:hAnsi="Garamond" w:cs="Times New Roman"/>
          <w:lang w:eastAsia="pl-PL"/>
        </w:rPr>
        <w:t xml:space="preserve">dotychczasowe postanowienia SWZ </w:t>
      </w:r>
      <w:r w:rsidR="00444438">
        <w:rPr>
          <w:rFonts w:ascii="Garamond" w:eastAsia="Times New Roman" w:hAnsi="Garamond" w:cs="Times New Roman"/>
          <w:lang w:eastAsia="pl-PL"/>
        </w:rPr>
        <w:t xml:space="preserve">i </w:t>
      </w:r>
      <w:r w:rsidR="00444438" w:rsidRPr="00444438">
        <w:rPr>
          <w:rFonts w:ascii="Garamond" w:eastAsia="Times New Roman" w:hAnsi="Garamond" w:cs="Times New Roman"/>
          <w:lang w:eastAsia="pl-PL"/>
        </w:rPr>
        <w:t>pozostawia wzór umowy bez zmian</w:t>
      </w:r>
      <w:r w:rsidR="00444438">
        <w:rPr>
          <w:rFonts w:ascii="Garamond" w:eastAsia="Times New Roman" w:hAnsi="Garamond" w:cs="Times New Roman"/>
          <w:lang w:eastAsia="pl-PL"/>
        </w:rPr>
        <w:t>.</w:t>
      </w:r>
    </w:p>
    <w:p w:rsidR="00BE49BF" w:rsidRPr="00BE49BF" w:rsidRDefault="00BE49BF" w:rsidP="00BE49BF">
      <w:pPr>
        <w:spacing w:after="0" w:line="240" w:lineRule="auto"/>
        <w:jc w:val="both"/>
        <w:rPr>
          <w:rFonts w:ascii="Garamond" w:eastAsia="Times New Roman" w:hAnsi="Garamond" w:cs="Times New Roman"/>
          <w:bCs/>
          <w:lang w:eastAsia="pl-PL"/>
        </w:rPr>
      </w:pPr>
    </w:p>
    <w:p w:rsidR="00BE49BF" w:rsidRPr="00942C2D" w:rsidRDefault="00BE49BF" w:rsidP="00BE49BF">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6</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lang w:eastAsia="pl-PL"/>
        </w:rPr>
        <w:t>Dotyczy Części nr 11</w:t>
      </w:r>
    </w:p>
    <w:p w:rsidR="00BE49BF" w:rsidRPr="00BE49BF" w:rsidRDefault="00BE49BF" w:rsidP="00BE49BF">
      <w:pPr>
        <w:spacing w:after="0" w:line="240" w:lineRule="auto"/>
        <w:jc w:val="both"/>
        <w:rPr>
          <w:rFonts w:ascii="Garamond" w:eastAsia="Times New Roman" w:hAnsi="Garamond" w:cs="Times New Roman"/>
          <w:bCs/>
          <w:lang w:eastAsia="pl-PL"/>
        </w:rPr>
      </w:pPr>
      <w:r w:rsidRPr="00BE49BF">
        <w:rPr>
          <w:rFonts w:ascii="Garamond" w:eastAsia="Times New Roman" w:hAnsi="Garamond" w:cs="Times New Roman"/>
          <w:bCs/>
          <w:lang w:eastAsia="pl-PL"/>
        </w:rPr>
        <w:t>Czy Zamawiający wyrazi zgodę na zaoferowanie produktów leczniczych w pakiecie 11 w opakowaniu typu stojącym wykonanym z polipropylenu z dwoma niezależnymi, różnej wielkości portami oddzielnie otwieranymi, oznaczonymi strzałkami   definiującymi przeznaczenie danego portu do odpowiedniej procedury medycznej – co redukuje ryzyko pomyłki i wyboru niewłaściwego portu – które dodatkowo są jałowe?</w:t>
      </w:r>
    </w:p>
    <w:p w:rsidR="00B104B5" w:rsidRDefault="00B104B5" w:rsidP="00B104B5">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dotychczasowe postanowienia SWZ. Zamawiający potrzebuje mieć możliwość dywersyfikacji dostaw w związku z konfliktem zbrojnym na Ukrainie.</w:t>
      </w:r>
    </w:p>
    <w:p w:rsidR="00BE49BF" w:rsidRDefault="00BE49BF" w:rsidP="00BE49BF">
      <w:pPr>
        <w:spacing w:after="0" w:line="240" w:lineRule="auto"/>
        <w:rPr>
          <w:rFonts w:ascii="Garamond" w:eastAsia="Times New Roman" w:hAnsi="Garamond" w:cs="Times New Roman"/>
          <w:b/>
          <w:bCs/>
          <w:lang w:eastAsia="pl-PL"/>
        </w:rPr>
      </w:pPr>
    </w:p>
    <w:p w:rsidR="00BE49BF" w:rsidRPr="00942C2D" w:rsidRDefault="00BE49BF" w:rsidP="00BE49BF">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7</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lang w:eastAsia="pl-PL"/>
        </w:rPr>
        <w:t>Dotyczy Części nr 11</w:t>
      </w:r>
    </w:p>
    <w:p w:rsidR="00BE49BF" w:rsidRPr="00BE49BF" w:rsidRDefault="00BE49BF" w:rsidP="00BE49BF">
      <w:pPr>
        <w:spacing w:after="0" w:line="240" w:lineRule="auto"/>
        <w:jc w:val="both"/>
        <w:rPr>
          <w:rFonts w:ascii="Garamond" w:eastAsia="Times New Roman" w:hAnsi="Garamond" w:cs="Times New Roman"/>
          <w:bCs/>
          <w:lang w:eastAsia="pl-PL"/>
        </w:rPr>
      </w:pPr>
      <w:r w:rsidRPr="00BE49BF">
        <w:rPr>
          <w:rFonts w:ascii="Garamond" w:eastAsia="Times New Roman" w:hAnsi="Garamond" w:cs="Times New Roman"/>
          <w:bCs/>
          <w:lang w:eastAsia="pl-PL"/>
        </w:rPr>
        <w:t xml:space="preserve">Czy Zamawiający wyrazi zgodę na zaoferowanie produktów leczniczych w opakowaniach posiadających dwa różnej wielkości porty, dzięki czemu ryzyko pomyłki wyboru niewłaściwego portu jest mniejsze niż w przypadku portów tej samej wielkości? Generalnie Zamawiający opisując dwa jednakowej wielkości porty </w:t>
      </w:r>
      <w:r w:rsidRPr="00BE49BF">
        <w:rPr>
          <w:rFonts w:ascii="Garamond" w:eastAsia="Times New Roman" w:hAnsi="Garamond" w:cs="Times New Roman"/>
          <w:bCs/>
          <w:lang w:eastAsia="pl-PL"/>
        </w:rPr>
        <w:lastRenderedPageBreak/>
        <w:t xml:space="preserve">wskazuje na jednego producenta co uniemożliwia złożenie oferty innym producentom. Przy czym wskazanie, że porty mają mieć tę samą wielkość nie jest cechą, która świadczy o bezpieczeństwie terapii infuzyjnej. Nie ma żadnych doniesień w literaturze na temat przewagi portów jednakowej wielkości nad portami różnej wielkości. Jednakże informacje pochodzące od użytkowników wskazują, że porty różnej wielkości minimalizują ryzyko pomyłki </w:t>
      </w:r>
      <w:proofErr w:type="spellStart"/>
      <w:r w:rsidRPr="00BE49BF">
        <w:rPr>
          <w:rFonts w:ascii="Garamond" w:eastAsia="Times New Roman" w:hAnsi="Garamond" w:cs="Times New Roman"/>
          <w:bCs/>
          <w:lang w:eastAsia="pl-PL"/>
        </w:rPr>
        <w:t>dostrzyknięcia</w:t>
      </w:r>
      <w:proofErr w:type="spellEnd"/>
      <w:r w:rsidRPr="00BE49BF">
        <w:rPr>
          <w:rFonts w:ascii="Garamond" w:eastAsia="Times New Roman" w:hAnsi="Garamond" w:cs="Times New Roman"/>
          <w:bCs/>
          <w:lang w:eastAsia="pl-PL"/>
        </w:rPr>
        <w:t xml:space="preserve"> leku przez niewłaściwy port.</w:t>
      </w:r>
    </w:p>
    <w:p w:rsidR="00B104B5" w:rsidRDefault="00B104B5" w:rsidP="00B104B5">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podtrzymuje dotychczasowe postanowienia SWZ. Zamawiający potrzebuje mieć możliwość dywersyfikacji dostaw w związku z konfliktem zbrojnym na Ukrainie.</w:t>
      </w:r>
    </w:p>
    <w:p w:rsidR="00BE49BF" w:rsidRPr="00BE49BF" w:rsidRDefault="00BE49BF" w:rsidP="00BE49BF">
      <w:pPr>
        <w:spacing w:after="0" w:line="240" w:lineRule="auto"/>
        <w:jc w:val="both"/>
        <w:rPr>
          <w:rFonts w:ascii="Garamond" w:eastAsia="Times New Roman" w:hAnsi="Garamond" w:cs="Times New Roman"/>
          <w:bCs/>
          <w:lang w:eastAsia="pl-PL"/>
        </w:rPr>
      </w:pPr>
    </w:p>
    <w:p w:rsidR="00BE49BF" w:rsidRPr="00942C2D" w:rsidRDefault="00BE49BF" w:rsidP="00BE49BF">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Pytanie 1</w:t>
      </w:r>
      <w:r>
        <w:rPr>
          <w:rFonts w:ascii="Garamond" w:eastAsia="Times New Roman" w:hAnsi="Garamond" w:cs="Times New Roman"/>
          <w:b/>
          <w:bCs/>
          <w:lang w:eastAsia="pl-PL"/>
        </w:rPr>
        <w:t>8</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lang w:eastAsia="pl-PL"/>
        </w:rPr>
        <w:t>Dotyczy Części nr 17 poz. 1</w:t>
      </w:r>
    </w:p>
    <w:p w:rsidR="00BE49BF" w:rsidRPr="00BE49BF" w:rsidRDefault="00BE49BF" w:rsidP="00BE49BF">
      <w:pPr>
        <w:spacing w:after="0" w:line="240" w:lineRule="auto"/>
        <w:jc w:val="both"/>
        <w:rPr>
          <w:rFonts w:ascii="Garamond" w:eastAsia="Times New Roman" w:hAnsi="Garamond" w:cs="Times New Roman"/>
          <w:lang w:eastAsia="pl-PL"/>
        </w:rPr>
      </w:pPr>
      <w:r w:rsidRPr="00BE49BF">
        <w:rPr>
          <w:rFonts w:ascii="Garamond" w:eastAsia="Times New Roman" w:hAnsi="Garamond" w:cs="Times New Roman"/>
          <w:bCs/>
          <w:lang w:eastAsia="pl-PL"/>
        </w:rPr>
        <w:t>Czy Zamawiający w pakiecie 17 pozycji 1 dopuści preparat o ilości błonnika od 0 do 0,5 g/100 ml? Pozostałe parametry bez zmian.</w:t>
      </w:r>
    </w:p>
    <w:p w:rsidR="00BE49BF" w:rsidRDefault="00BE49BF" w:rsidP="00BE49B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dopuszcza.</w:t>
      </w:r>
    </w:p>
    <w:p w:rsidR="00BE49BF" w:rsidRDefault="00BE49BF" w:rsidP="00ED77E7">
      <w:pPr>
        <w:spacing w:after="0" w:line="240" w:lineRule="auto"/>
        <w:jc w:val="both"/>
        <w:rPr>
          <w:rFonts w:ascii="Garamond" w:eastAsia="Times New Roman" w:hAnsi="Garamond" w:cs="Times New Roman"/>
          <w:lang w:eastAsia="pl-PL"/>
        </w:rPr>
      </w:pPr>
    </w:p>
    <w:p w:rsidR="003640FA" w:rsidRDefault="003640FA" w:rsidP="00BB5E28">
      <w:pPr>
        <w:spacing w:after="0" w:line="240" w:lineRule="auto"/>
        <w:jc w:val="both"/>
        <w:rPr>
          <w:rFonts w:ascii="Garamond" w:eastAsia="Times New Roman" w:hAnsi="Garamond" w:cs="Times New Roman"/>
          <w:bCs/>
          <w:lang w:eastAsia="pl-PL"/>
        </w:rPr>
      </w:pPr>
    </w:p>
    <w:p w:rsidR="00444438" w:rsidRDefault="00444438" w:rsidP="003640FA">
      <w:pPr>
        <w:spacing w:after="0" w:line="240" w:lineRule="auto"/>
        <w:ind w:firstLine="708"/>
        <w:jc w:val="both"/>
        <w:rPr>
          <w:rFonts w:ascii="Garamond" w:eastAsia="Times New Roman" w:hAnsi="Garamond" w:cs="Times New Roman"/>
          <w:bCs/>
          <w:lang w:eastAsia="pl-PL"/>
        </w:rPr>
      </w:pPr>
    </w:p>
    <w:p w:rsidR="003640FA" w:rsidRPr="003640FA" w:rsidRDefault="003640FA" w:rsidP="003640FA">
      <w:pPr>
        <w:spacing w:after="0" w:line="240" w:lineRule="auto"/>
        <w:ind w:firstLine="708"/>
        <w:jc w:val="both"/>
        <w:rPr>
          <w:rFonts w:ascii="Garamond" w:eastAsia="Times New Roman" w:hAnsi="Garamond" w:cs="Times New Roman"/>
          <w:bCs/>
          <w:lang w:eastAsia="pl-PL"/>
        </w:rPr>
      </w:pPr>
      <w:bookmarkStart w:id="0" w:name="_GoBack"/>
      <w:bookmarkEnd w:id="0"/>
      <w:r w:rsidRPr="003640FA">
        <w:rPr>
          <w:rFonts w:ascii="Garamond" w:eastAsia="Times New Roman" w:hAnsi="Garamond" w:cs="Times New Roman"/>
          <w:bCs/>
          <w:lang w:eastAsia="pl-PL"/>
        </w:rPr>
        <w:t>W załączeniu przekazuję ark</w:t>
      </w:r>
      <w:r w:rsidR="00563796">
        <w:rPr>
          <w:rFonts w:ascii="Garamond" w:eastAsia="Times New Roman" w:hAnsi="Garamond" w:cs="Times New Roman"/>
          <w:bCs/>
          <w:lang w:eastAsia="pl-PL"/>
        </w:rPr>
        <w:t>usz cenowy (zał. nr 1a do SWZ) uwzględniający</w:t>
      </w:r>
      <w:r w:rsidRPr="003640FA">
        <w:rPr>
          <w:rFonts w:ascii="Garamond" w:eastAsia="Times New Roman" w:hAnsi="Garamond" w:cs="Times New Roman"/>
          <w:bCs/>
          <w:lang w:eastAsia="pl-PL"/>
        </w:rPr>
        <w:t xml:space="preserve"> powyżej udzielone odpowiedzi oraz wprowadzone zmiany.</w:t>
      </w:r>
    </w:p>
    <w:p w:rsidR="003640FA" w:rsidRPr="00942C2D" w:rsidRDefault="003640FA" w:rsidP="003640FA">
      <w:pPr>
        <w:spacing w:after="0" w:line="240" w:lineRule="auto"/>
        <w:jc w:val="both"/>
        <w:rPr>
          <w:rFonts w:ascii="Garamond" w:eastAsia="Times New Roman" w:hAnsi="Garamond" w:cs="Times New Roman"/>
          <w:lang w:eastAsia="pl-PL"/>
        </w:rPr>
      </w:pPr>
    </w:p>
    <w:sectPr w:rsidR="003640FA" w:rsidRPr="00942C2D"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24" w:rsidRDefault="00B14324" w:rsidP="00E22E7B">
      <w:pPr>
        <w:spacing w:after="0" w:line="240" w:lineRule="auto"/>
      </w:pPr>
      <w:r>
        <w:separator/>
      </w:r>
    </w:p>
  </w:endnote>
  <w:endnote w:type="continuationSeparator" w:id="0">
    <w:p w:rsidR="00B14324" w:rsidRDefault="00B14324"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24" w:rsidRDefault="00B14324" w:rsidP="00E22E7B">
      <w:pPr>
        <w:spacing w:after="0" w:line="240" w:lineRule="auto"/>
      </w:pPr>
      <w:r>
        <w:separator/>
      </w:r>
    </w:p>
  </w:footnote>
  <w:footnote w:type="continuationSeparator" w:id="0">
    <w:p w:rsidR="00B14324" w:rsidRDefault="00B14324" w:rsidP="00E22E7B">
      <w:pPr>
        <w:spacing w:after="0" w:line="240" w:lineRule="auto"/>
      </w:pPr>
      <w:r>
        <w:continuationSeparator/>
      </w:r>
    </w:p>
  </w:footnote>
  <w:footnote w:id="1">
    <w:p w:rsidR="000932C3" w:rsidRPr="00C5234E" w:rsidRDefault="000932C3">
      <w:pPr>
        <w:pStyle w:val="Tekstprzypisudolnego"/>
        <w:rPr>
          <w:sz w:val="16"/>
          <w:szCs w:val="16"/>
        </w:rPr>
      </w:pPr>
      <w:r w:rsidRPr="00C5234E">
        <w:rPr>
          <w:rStyle w:val="Odwoanieprzypisudolnego"/>
          <w:sz w:val="16"/>
          <w:szCs w:val="16"/>
        </w:rPr>
        <w:footnoteRef/>
      </w:r>
      <w:r w:rsidRPr="00C5234E">
        <w:rPr>
          <w:sz w:val="16"/>
          <w:szCs w:val="16"/>
        </w:rPr>
        <w:t xml:space="preserve"> Dotyczy cz. 1-16</w:t>
      </w:r>
    </w:p>
  </w:footnote>
  <w:footnote w:id="2">
    <w:p w:rsidR="00C5234E" w:rsidRPr="00C5234E" w:rsidRDefault="00C5234E">
      <w:pPr>
        <w:pStyle w:val="Tekstprzypisudolnego"/>
        <w:rPr>
          <w:sz w:val="16"/>
          <w:szCs w:val="16"/>
        </w:rPr>
      </w:pPr>
      <w:r w:rsidRPr="00C5234E">
        <w:rPr>
          <w:rStyle w:val="Odwoanieprzypisudolnego"/>
          <w:sz w:val="16"/>
          <w:szCs w:val="16"/>
        </w:rPr>
        <w:footnoteRef/>
      </w:r>
      <w:r w:rsidRPr="00C5234E">
        <w:rPr>
          <w:sz w:val="16"/>
          <w:szCs w:val="16"/>
        </w:rPr>
        <w:t xml:space="preserve"> Dotyczy cz. 17</w:t>
      </w:r>
    </w:p>
  </w:footnote>
  <w:footnote w:id="3">
    <w:p w:rsidR="00C5234E" w:rsidRPr="00C5234E" w:rsidRDefault="00C5234E">
      <w:pPr>
        <w:pStyle w:val="Tekstprzypisudolnego"/>
        <w:rPr>
          <w:sz w:val="16"/>
          <w:szCs w:val="16"/>
        </w:rPr>
      </w:pPr>
      <w:r w:rsidRPr="00C5234E">
        <w:rPr>
          <w:rStyle w:val="Odwoanieprzypisudolnego"/>
          <w:sz w:val="16"/>
          <w:szCs w:val="16"/>
        </w:rPr>
        <w:footnoteRef/>
      </w:r>
      <w:r w:rsidRPr="00C5234E">
        <w:rPr>
          <w:sz w:val="16"/>
          <w:szCs w:val="16"/>
        </w:rPr>
        <w:t xml:space="preserve"> Dotyczy cz. 1-16</w:t>
      </w:r>
    </w:p>
  </w:footnote>
  <w:footnote w:id="4">
    <w:p w:rsidR="00C5234E" w:rsidRDefault="00C5234E">
      <w:pPr>
        <w:pStyle w:val="Tekstprzypisudolnego"/>
      </w:pPr>
      <w:r w:rsidRPr="00C5234E">
        <w:rPr>
          <w:rStyle w:val="Odwoanieprzypisudolnego"/>
          <w:sz w:val="16"/>
          <w:szCs w:val="16"/>
        </w:rPr>
        <w:footnoteRef/>
      </w:r>
      <w:r w:rsidRPr="00C5234E">
        <w:rPr>
          <w:sz w:val="16"/>
          <w:szCs w:val="16"/>
        </w:rPr>
        <w:t xml:space="preserve"> Dotyczy cz.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5"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3360C"/>
    <w:rsid w:val="000456B6"/>
    <w:rsid w:val="00046AAB"/>
    <w:rsid w:val="0005276B"/>
    <w:rsid w:val="00056A8A"/>
    <w:rsid w:val="00071EB1"/>
    <w:rsid w:val="00073F20"/>
    <w:rsid w:val="00074020"/>
    <w:rsid w:val="000932C3"/>
    <w:rsid w:val="000A2A8A"/>
    <w:rsid w:val="000A351A"/>
    <w:rsid w:val="000A3CFF"/>
    <w:rsid w:val="000A50E1"/>
    <w:rsid w:val="000B2E90"/>
    <w:rsid w:val="000B5FCC"/>
    <w:rsid w:val="000D31F6"/>
    <w:rsid w:val="000D4091"/>
    <w:rsid w:val="000D6E99"/>
    <w:rsid w:val="000E02FC"/>
    <w:rsid w:val="000E361D"/>
    <w:rsid w:val="000E40C0"/>
    <w:rsid w:val="000E40F6"/>
    <w:rsid w:val="000E50E1"/>
    <w:rsid w:val="00100EE6"/>
    <w:rsid w:val="00116188"/>
    <w:rsid w:val="00117D69"/>
    <w:rsid w:val="00131A66"/>
    <w:rsid w:val="001349BE"/>
    <w:rsid w:val="001369B1"/>
    <w:rsid w:val="00142013"/>
    <w:rsid w:val="00150773"/>
    <w:rsid w:val="001514F3"/>
    <w:rsid w:val="00153564"/>
    <w:rsid w:val="00156BB5"/>
    <w:rsid w:val="00160302"/>
    <w:rsid w:val="00165DD2"/>
    <w:rsid w:val="001764D4"/>
    <w:rsid w:val="0018565E"/>
    <w:rsid w:val="0018594C"/>
    <w:rsid w:val="00186736"/>
    <w:rsid w:val="00197F7E"/>
    <w:rsid w:val="001A1E07"/>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2E5D"/>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3686"/>
    <w:rsid w:val="002C6433"/>
    <w:rsid w:val="002D1203"/>
    <w:rsid w:val="002D223F"/>
    <w:rsid w:val="002D3DD3"/>
    <w:rsid w:val="002E1600"/>
    <w:rsid w:val="002E5F39"/>
    <w:rsid w:val="002F30C3"/>
    <w:rsid w:val="002F6AE6"/>
    <w:rsid w:val="002F78B0"/>
    <w:rsid w:val="00301172"/>
    <w:rsid w:val="00304B60"/>
    <w:rsid w:val="00305021"/>
    <w:rsid w:val="00313075"/>
    <w:rsid w:val="00321CB4"/>
    <w:rsid w:val="00323FBC"/>
    <w:rsid w:val="00335AB9"/>
    <w:rsid w:val="00343F02"/>
    <w:rsid w:val="003471AC"/>
    <w:rsid w:val="0034780C"/>
    <w:rsid w:val="00352231"/>
    <w:rsid w:val="003536B2"/>
    <w:rsid w:val="00355107"/>
    <w:rsid w:val="003640FA"/>
    <w:rsid w:val="003652DC"/>
    <w:rsid w:val="003656FF"/>
    <w:rsid w:val="003714B9"/>
    <w:rsid w:val="00375D3E"/>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397A"/>
    <w:rsid w:val="003F12E8"/>
    <w:rsid w:val="003F447D"/>
    <w:rsid w:val="004037D7"/>
    <w:rsid w:val="004070CC"/>
    <w:rsid w:val="00414986"/>
    <w:rsid w:val="004239FA"/>
    <w:rsid w:val="00423A3B"/>
    <w:rsid w:val="004341D7"/>
    <w:rsid w:val="004368FF"/>
    <w:rsid w:val="004415EF"/>
    <w:rsid w:val="00443B98"/>
    <w:rsid w:val="00444438"/>
    <w:rsid w:val="00451107"/>
    <w:rsid w:val="00454A93"/>
    <w:rsid w:val="00456514"/>
    <w:rsid w:val="00456DF0"/>
    <w:rsid w:val="00461ABF"/>
    <w:rsid w:val="004717F1"/>
    <w:rsid w:val="00473431"/>
    <w:rsid w:val="00473F95"/>
    <w:rsid w:val="00481A6E"/>
    <w:rsid w:val="004824AB"/>
    <w:rsid w:val="0048465A"/>
    <w:rsid w:val="0048621A"/>
    <w:rsid w:val="0048696B"/>
    <w:rsid w:val="00491F76"/>
    <w:rsid w:val="00494258"/>
    <w:rsid w:val="004A6908"/>
    <w:rsid w:val="004B6E89"/>
    <w:rsid w:val="004C025C"/>
    <w:rsid w:val="004C0C91"/>
    <w:rsid w:val="004C19BB"/>
    <w:rsid w:val="004C317C"/>
    <w:rsid w:val="004C3EB3"/>
    <w:rsid w:val="004C4CBF"/>
    <w:rsid w:val="004C5879"/>
    <w:rsid w:val="004D094A"/>
    <w:rsid w:val="004D57B8"/>
    <w:rsid w:val="004D7045"/>
    <w:rsid w:val="004E1A5F"/>
    <w:rsid w:val="004E6FEE"/>
    <w:rsid w:val="004F5198"/>
    <w:rsid w:val="005035AD"/>
    <w:rsid w:val="00503BCF"/>
    <w:rsid w:val="00504B1A"/>
    <w:rsid w:val="005106DB"/>
    <w:rsid w:val="00510F1A"/>
    <w:rsid w:val="00513CEF"/>
    <w:rsid w:val="00515AD5"/>
    <w:rsid w:val="00516300"/>
    <w:rsid w:val="00522CBA"/>
    <w:rsid w:val="00525B05"/>
    <w:rsid w:val="00526555"/>
    <w:rsid w:val="00530392"/>
    <w:rsid w:val="00536C05"/>
    <w:rsid w:val="0054674B"/>
    <w:rsid w:val="00546E51"/>
    <w:rsid w:val="00556EC9"/>
    <w:rsid w:val="00557F7F"/>
    <w:rsid w:val="005611A3"/>
    <w:rsid w:val="00563796"/>
    <w:rsid w:val="005648AF"/>
    <w:rsid w:val="00566763"/>
    <w:rsid w:val="005716B9"/>
    <w:rsid w:val="005761C7"/>
    <w:rsid w:val="00584A81"/>
    <w:rsid w:val="00587449"/>
    <w:rsid w:val="00590A18"/>
    <w:rsid w:val="00595C42"/>
    <w:rsid w:val="00596E26"/>
    <w:rsid w:val="00597B73"/>
    <w:rsid w:val="005A22C1"/>
    <w:rsid w:val="005B4381"/>
    <w:rsid w:val="005B6105"/>
    <w:rsid w:val="005C4A87"/>
    <w:rsid w:val="005C5421"/>
    <w:rsid w:val="005D0DB5"/>
    <w:rsid w:val="005D5ACA"/>
    <w:rsid w:val="005D775F"/>
    <w:rsid w:val="005E2C15"/>
    <w:rsid w:val="005E4F0D"/>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57A74"/>
    <w:rsid w:val="006635BA"/>
    <w:rsid w:val="0068299B"/>
    <w:rsid w:val="006844CD"/>
    <w:rsid w:val="00684F8E"/>
    <w:rsid w:val="00692557"/>
    <w:rsid w:val="006A356A"/>
    <w:rsid w:val="006B43FA"/>
    <w:rsid w:val="006B466F"/>
    <w:rsid w:val="006B486C"/>
    <w:rsid w:val="006B4A0B"/>
    <w:rsid w:val="006B644B"/>
    <w:rsid w:val="006B6ABA"/>
    <w:rsid w:val="006C1D52"/>
    <w:rsid w:val="006D3B38"/>
    <w:rsid w:val="006D731F"/>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D2EC9"/>
    <w:rsid w:val="007E2D75"/>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731A4"/>
    <w:rsid w:val="008731AE"/>
    <w:rsid w:val="008747F4"/>
    <w:rsid w:val="00883C13"/>
    <w:rsid w:val="00884C08"/>
    <w:rsid w:val="0089260D"/>
    <w:rsid w:val="00895013"/>
    <w:rsid w:val="008A0AA4"/>
    <w:rsid w:val="008A350C"/>
    <w:rsid w:val="008A539D"/>
    <w:rsid w:val="008B3F2B"/>
    <w:rsid w:val="008C207B"/>
    <w:rsid w:val="008C3915"/>
    <w:rsid w:val="008C7C5F"/>
    <w:rsid w:val="008E2ED1"/>
    <w:rsid w:val="008F7525"/>
    <w:rsid w:val="008F795C"/>
    <w:rsid w:val="00905926"/>
    <w:rsid w:val="0091041A"/>
    <w:rsid w:val="00920E94"/>
    <w:rsid w:val="009219C1"/>
    <w:rsid w:val="00921A3E"/>
    <w:rsid w:val="0092377F"/>
    <w:rsid w:val="00923A26"/>
    <w:rsid w:val="00930EF5"/>
    <w:rsid w:val="009322D6"/>
    <w:rsid w:val="0093276E"/>
    <w:rsid w:val="00932938"/>
    <w:rsid w:val="009339AE"/>
    <w:rsid w:val="00937DC6"/>
    <w:rsid w:val="00942C2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C44B8"/>
    <w:rsid w:val="009D2A2E"/>
    <w:rsid w:val="009D599B"/>
    <w:rsid w:val="009D69BB"/>
    <w:rsid w:val="009E6EE7"/>
    <w:rsid w:val="009F028C"/>
    <w:rsid w:val="009F0659"/>
    <w:rsid w:val="009F4300"/>
    <w:rsid w:val="009F6B93"/>
    <w:rsid w:val="009F7923"/>
    <w:rsid w:val="00A02806"/>
    <w:rsid w:val="00A028A5"/>
    <w:rsid w:val="00A0375A"/>
    <w:rsid w:val="00A04ED3"/>
    <w:rsid w:val="00A056EB"/>
    <w:rsid w:val="00A0635D"/>
    <w:rsid w:val="00A067A0"/>
    <w:rsid w:val="00A1266C"/>
    <w:rsid w:val="00A1622C"/>
    <w:rsid w:val="00A230FC"/>
    <w:rsid w:val="00A24DD4"/>
    <w:rsid w:val="00A26A30"/>
    <w:rsid w:val="00A3125C"/>
    <w:rsid w:val="00A3548C"/>
    <w:rsid w:val="00A35DDF"/>
    <w:rsid w:val="00A4270B"/>
    <w:rsid w:val="00A43CEB"/>
    <w:rsid w:val="00A44A80"/>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19CB"/>
    <w:rsid w:val="00AB3637"/>
    <w:rsid w:val="00AC224B"/>
    <w:rsid w:val="00AC30CE"/>
    <w:rsid w:val="00AC33A7"/>
    <w:rsid w:val="00AD1EDE"/>
    <w:rsid w:val="00AD23F4"/>
    <w:rsid w:val="00AD3E4E"/>
    <w:rsid w:val="00AD6778"/>
    <w:rsid w:val="00AD73CA"/>
    <w:rsid w:val="00AE4DB8"/>
    <w:rsid w:val="00AF1F80"/>
    <w:rsid w:val="00AF2305"/>
    <w:rsid w:val="00AF3006"/>
    <w:rsid w:val="00B104B5"/>
    <w:rsid w:val="00B11829"/>
    <w:rsid w:val="00B12300"/>
    <w:rsid w:val="00B14324"/>
    <w:rsid w:val="00B2061E"/>
    <w:rsid w:val="00B22694"/>
    <w:rsid w:val="00B366A3"/>
    <w:rsid w:val="00B37E0E"/>
    <w:rsid w:val="00B40A5A"/>
    <w:rsid w:val="00B42123"/>
    <w:rsid w:val="00B44ED4"/>
    <w:rsid w:val="00B5084D"/>
    <w:rsid w:val="00B50D86"/>
    <w:rsid w:val="00B567B1"/>
    <w:rsid w:val="00B63144"/>
    <w:rsid w:val="00B66E1F"/>
    <w:rsid w:val="00B7461A"/>
    <w:rsid w:val="00B760A1"/>
    <w:rsid w:val="00B91716"/>
    <w:rsid w:val="00B9346B"/>
    <w:rsid w:val="00BB2E21"/>
    <w:rsid w:val="00BB5ADE"/>
    <w:rsid w:val="00BB5E28"/>
    <w:rsid w:val="00BC2123"/>
    <w:rsid w:val="00BC422C"/>
    <w:rsid w:val="00BD3358"/>
    <w:rsid w:val="00BE0B8A"/>
    <w:rsid w:val="00BE386F"/>
    <w:rsid w:val="00BE49BF"/>
    <w:rsid w:val="00BE62EC"/>
    <w:rsid w:val="00BF5A98"/>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4068D"/>
    <w:rsid w:val="00C5234E"/>
    <w:rsid w:val="00C54532"/>
    <w:rsid w:val="00C611D5"/>
    <w:rsid w:val="00C61809"/>
    <w:rsid w:val="00C61919"/>
    <w:rsid w:val="00C65F50"/>
    <w:rsid w:val="00C66224"/>
    <w:rsid w:val="00C66D6D"/>
    <w:rsid w:val="00C67CA9"/>
    <w:rsid w:val="00C75BCA"/>
    <w:rsid w:val="00C942AD"/>
    <w:rsid w:val="00CA01D3"/>
    <w:rsid w:val="00CA3C40"/>
    <w:rsid w:val="00CA4952"/>
    <w:rsid w:val="00CB0F59"/>
    <w:rsid w:val="00CB3149"/>
    <w:rsid w:val="00CB4A9E"/>
    <w:rsid w:val="00CB5CEC"/>
    <w:rsid w:val="00CC1108"/>
    <w:rsid w:val="00CC2372"/>
    <w:rsid w:val="00CC4175"/>
    <w:rsid w:val="00CC51A8"/>
    <w:rsid w:val="00CD5492"/>
    <w:rsid w:val="00CD5B12"/>
    <w:rsid w:val="00CD747F"/>
    <w:rsid w:val="00CE0CE2"/>
    <w:rsid w:val="00CE2E08"/>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4374"/>
    <w:rsid w:val="00D74CF8"/>
    <w:rsid w:val="00D756DB"/>
    <w:rsid w:val="00D76E1F"/>
    <w:rsid w:val="00D76F99"/>
    <w:rsid w:val="00D77324"/>
    <w:rsid w:val="00D83D22"/>
    <w:rsid w:val="00D856BD"/>
    <w:rsid w:val="00D875A6"/>
    <w:rsid w:val="00D876BE"/>
    <w:rsid w:val="00D87B78"/>
    <w:rsid w:val="00D915D0"/>
    <w:rsid w:val="00D92644"/>
    <w:rsid w:val="00D94DBA"/>
    <w:rsid w:val="00D9717D"/>
    <w:rsid w:val="00D977D1"/>
    <w:rsid w:val="00DA5168"/>
    <w:rsid w:val="00DB2A4C"/>
    <w:rsid w:val="00DB39F3"/>
    <w:rsid w:val="00DB5A02"/>
    <w:rsid w:val="00DC1985"/>
    <w:rsid w:val="00DC2E02"/>
    <w:rsid w:val="00DC3875"/>
    <w:rsid w:val="00DD258D"/>
    <w:rsid w:val="00DE3B29"/>
    <w:rsid w:val="00DE51FC"/>
    <w:rsid w:val="00DE75FD"/>
    <w:rsid w:val="00DF40CD"/>
    <w:rsid w:val="00DF5C74"/>
    <w:rsid w:val="00DF74BC"/>
    <w:rsid w:val="00DF784D"/>
    <w:rsid w:val="00E01D0A"/>
    <w:rsid w:val="00E03A86"/>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B7BB0"/>
    <w:rsid w:val="00EC3E35"/>
    <w:rsid w:val="00EC4048"/>
    <w:rsid w:val="00EC5D0B"/>
    <w:rsid w:val="00ED3B1F"/>
    <w:rsid w:val="00ED3CD7"/>
    <w:rsid w:val="00ED46EC"/>
    <w:rsid w:val="00ED5CC7"/>
    <w:rsid w:val="00ED77E7"/>
    <w:rsid w:val="00EE09E4"/>
    <w:rsid w:val="00EE1EDD"/>
    <w:rsid w:val="00EE2A85"/>
    <w:rsid w:val="00EE3943"/>
    <w:rsid w:val="00EF2149"/>
    <w:rsid w:val="00EF2395"/>
    <w:rsid w:val="00EF43B5"/>
    <w:rsid w:val="00EF496A"/>
    <w:rsid w:val="00F02F07"/>
    <w:rsid w:val="00F05CD4"/>
    <w:rsid w:val="00F06794"/>
    <w:rsid w:val="00F10E8F"/>
    <w:rsid w:val="00F26EC4"/>
    <w:rsid w:val="00F34666"/>
    <w:rsid w:val="00F35CA6"/>
    <w:rsid w:val="00F36E4E"/>
    <w:rsid w:val="00F47622"/>
    <w:rsid w:val="00F478CA"/>
    <w:rsid w:val="00F5445A"/>
    <w:rsid w:val="00F5507E"/>
    <w:rsid w:val="00F756C1"/>
    <w:rsid w:val="00F80450"/>
    <w:rsid w:val="00F80B50"/>
    <w:rsid w:val="00F81E4E"/>
    <w:rsid w:val="00F83175"/>
    <w:rsid w:val="00F842B9"/>
    <w:rsid w:val="00F87037"/>
    <w:rsid w:val="00F9149B"/>
    <w:rsid w:val="00F9372B"/>
    <w:rsid w:val="00F9396D"/>
    <w:rsid w:val="00F95FA2"/>
    <w:rsid w:val="00FA4BFF"/>
    <w:rsid w:val="00FA71E4"/>
    <w:rsid w:val="00FA776D"/>
    <w:rsid w:val="00FA7FDE"/>
    <w:rsid w:val="00FB47C8"/>
    <w:rsid w:val="00FB6943"/>
    <w:rsid w:val="00FC0643"/>
    <w:rsid w:val="00FC3646"/>
    <w:rsid w:val="00FD763D"/>
    <w:rsid w:val="00FD77EB"/>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3809"/>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semiHidden/>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semiHidden/>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2DD1B1BA-AED0-4F45-A5EC-B69982BA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11348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2</cp:revision>
  <cp:lastPrinted>2022-04-12T11:26:00Z</cp:lastPrinted>
  <dcterms:created xsi:type="dcterms:W3CDTF">2022-05-10T07:07:00Z</dcterms:created>
  <dcterms:modified xsi:type="dcterms:W3CDTF">2022-05-10T07:07:00Z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