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529" w:right="0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2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529" w:right="-285" w:firstLine="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Umowy Nr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0" w:right="0" w:hanging="1551.0000000000002"/>
        <w:jc w:val="both"/>
        <w:rPr>
          <w:i w:val="0"/>
          <w:smallCaps w:val="0"/>
          <w:strike w:val="0"/>
          <w:color w:val="00b05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080" w:right="0" w:firstLine="7.999999999999545"/>
        <w:jc w:val="both"/>
        <w:rPr>
          <w:i w:val="0"/>
          <w:smallCaps w:val="0"/>
          <w:strike w:val="0"/>
          <w:color w:val="00b05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Warunki gwarancji dla</w:t>
      </w:r>
      <w:r w:rsidDel="00000000" w:rsidR="00000000" w:rsidRPr="00000000">
        <w:rPr>
          <w:b w:val="1"/>
          <w:sz w:val="28"/>
          <w:szCs w:val="28"/>
          <w:rtl w:val="0"/>
        </w:rPr>
        <w:t xml:space="preserve"> części 1/ części 2*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000000"/>
          <w:sz w:val="4"/>
          <w:szCs w:val="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udziela Zamawiającemu gwarancji na prawidłową pracę i właściwy stan techniczny następujących elementów autobusu: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nadwozia pojazdu, a w szczególności poszycia zewnętrznego i dachu, płyt podłogowych, uszczelnień okien, drzwi i pokryw na okres trwałości wynoszący </w:t>
      </w:r>
      <w:r w:rsidDel="00000000" w:rsidR="00000000" w:rsidRPr="00000000">
        <w:rPr>
          <w:b w:val="1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…… lat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nie wymagając dalszego zabezpieczenia antykorozyjnego przez okres trwania gwarancji;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szkieletu (kratownicy/ramy) podwozia oraz szkieletu (kratownicy) nadwozia na okres trwałości wynoszący </w:t>
      </w:r>
      <w:r w:rsidDel="00000000" w:rsidR="00000000" w:rsidRPr="00000000">
        <w:rPr>
          <w:b w:val="1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…… lat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nie wymagając dalszego zabezpieczenia antykorozyjnego przez okres trwania gwarancji;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powłoki lakierniczej nadwozia na okres trwałości wynoszący </w:t>
      </w:r>
      <w:r w:rsidDel="00000000" w:rsidR="00000000" w:rsidRPr="00000000">
        <w:rPr>
          <w:b w:val="1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….. miesięcy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nie wymagając dalszego zabezpieczenia przez okres trwania gwarancji;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układu klimatyzacji przestrzeni pasażerskiej i kabiny kierowcy wraz z pakietem serwisowo-gwarancyjnym obejmującym wszystkie elementy klimatyzacji, materiały eksploatacyjne, czynności obsługowo-naprawcze oraz kontrole i legalizacje na okres trwałości 10 lat,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systemu gaszenia pożaru w komorze silnika oraz agregatu grzewczego wraz z pakietem serwisowo-gwarancyjnym obejmującym czynności kontrolne, obsługowo-naprawcze i legalizacyjne oraz wszystkie elementy systemu i materiały eksploatacyjne na okres trwałości 11 lat,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magazynu energii elektrycznej wraz z infrastrukturą sterującą (elektroniką), który musi być dostarczony wraz z 8-letnim pakietem serwisowo-gwarancyjnym obejmującym: czynności kontrolne, naprawcze, obsługowe  wraz z materiałami eksploatacyjnymi. Gwarancja dotyczy jego bezawaryjnej eksploatacji i zachowania w całym okresie gwarancji pojemności energii użytecznej na poziomie, co najmniej 80% wartości początkowej.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zastrzeżeniem że niezależnie od stanu technicznego i wartości pojemności energii użytecznej magazynu energii/akumulatora trakcyjnego, tj. po 96 miesiącu eksploatacji autobusu, Wykonawca dokona wymiany na własny koszt magazynu energii - na nowy, wolny od wad, o parametrach nie gorszych niż pierwotnie zamontowany. W przypadku gdy wymiana magazynu energii wiązałaby się z wprowadzeniem zmian na pojeździe w celu jego dostosowania do zabudowy nowego magazynu energii, koszt związany z dostosowaniem pojazdu ponosi Wykonawca. Wykonawca odbierze od Zamawiającego i zutylizuje na swój koszt wymieniony magazyn energii,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wodorowe ogniwo paliwowe wraz z instalacją wodorową - na bezawaryjną eksploatację i zachowanie wydajności w całym okresie gwarancji (tj. na wszystkie zespoły, układy, magazyn paliwa wodorowego/zbiorniki oraz wszystkie części stykające się z wodorem- gwarancja minimum 96 miesięcy bez limitu przebiegu.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pozostałych zespołów, układów i elementów autobusu na okres trwałości</w:t>
      </w:r>
      <w:r w:rsidDel="00000000" w:rsidR="00000000" w:rsidRPr="00000000">
        <w:rPr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….. miesięcy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0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Okres trwałości (gwarancji) liczony jest od daty protokolarnego odbioru pojazdu przeprowadzonego zgodnie z § 3 Umowy.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Okres gwarancji ustalony w ust. 1 pkt 1.1.-1.7., nie zależy od przebiegu kilometrów autobusu. Okres gwarancji ustalony w ust. 1 pkt 1.8. ogranicza się limitem do …… tys. km przebiegu każdego autobusu.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Właściwy stan techniczny nadwozia pojazdu (o którym mowa w ust. 1 pkt 1.1.), w tym: poszycia zewnętrznego i dachu, uszczelnień okien, drzwi i pokryw, oznacza, że elementy te zachowują swoje własności użytkowe oraz nie występuje jedna z następujących wad (spowodowanych procesami starzenia się lub niewłaściwą jakością prac przeprowadzonych przez Wykonawcę):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utrata szczelności nadwozia autobusu, powodująca przecieki wody do wnętrza pojazdu </w:t>
        <w:br w:type="textWrapping"/>
        <w:t xml:space="preserve">w czasie opadów atmosferycznych (lub przejazdu pojazdu przez myjnię);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perforacja korozyjna blach (lub innych elementów) poszycia;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 (korozyjne lub zmęczeniowe) blach (lub innych elementów) poszycia;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 lub oberwanie wsporników podłużnych lub poprzecznych szkieletu powodujące stopniowe zmniejszanie sztywności szkieletu;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pęknięcia, załamania lub nieszczelności płyt podłogowych;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inne wady wywołujące zagrożenie bezpieczeństwa na drogach publicznych.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Właściwy stan techniczny szkieletu (kratownicy/ramy) podwozia oraz szkieletu (kratownicy) nadwozia (o których mowa w ust. 1 pkt 1.2.) oznacza, że elementy te zachowują swoje własności użytkowe oraz nie występuje jedna z następujących wad (spowodowana procesami starzenia się lub niewłaściwą jakością prac przeprowadzonych przez Wykonawcę):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perforacja korozyjna materiału profilów szkieletu, belek ramy nośnej lub blach podwozia;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 (korozyjne lub zmęczeniowe) blach podwozia;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 spoin w miejscach łączenia profilów szkieletu (węzłach kratownicy);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pęknięcia lub oberwanie wsporników podłużnych lub poprzecznych szkieletu powodujące stopniowe zmniejszanie sztywności szkieletu.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Właściwy stan techniczny powłoki lakierniczej nadwozia (o którym mowa w ust. 1 pkt 1.3.) oznacza, że powłoka lakiernicza zachowuje swoje własności ochronne i dekoracyjne oraz nie występuje jedna z następujących wad (spowodowanych procesami starzenia się powłoki lub niewłaściwą jakością prac przeprowadzonych przez Wykonawcę):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wady wykonawcze (w tym: rysy po szlifowaniu, wtrącenia obcych ciał stałych, kratery, zmarszczki, zacieki, złuszczenia itp.);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zmatowienia powłoki lub jej odbarwienia;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rysy lub mikropęknięcia powłoki;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punkty korozji, korozja podpowłokowa lub pęcherze;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utrata przyczepności lub spoistości, kruszenie się lub miejscowe odpadanie powłoki.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Właściwy stan techniczny pozostałych zespołów, układów i elementów autobusu (o których mowa w ust. 1 pkt 1.4.-1.8.) oznacza, że elementy te zachowują swoje własności użytkowe oraz nie występuje żadna wada (spowodowana procesami starzenia się lub niewłaściwą jakością prac przeprowadzonych przez Wykonawcę) uniemożliwiająca ich dalszą normalną eksploatację, </w:t>
        <w:br w:type="textWrapping"/>
        <w:t xml:space="preserve">a w szczególności co najmniej jedna z niżej wymienionych wad: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wywołująca zagrożenie bezpieczeństwa na drogach publicznych;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powodująca niesprawne funkcjonowanie pojazdu lub uniemożliwiająca jego normalne użytkowanie;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zmniejszająca wygodę jazdy kierowcy lub pasażerom;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900" w:right="0" w:hanging="54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wpływająca na przedwczesne zużycie pojazdu lub jego zespołów (układów).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okresie trwałości (gwarancji) Zamawiający ma prawo do reklamacji, tzn. dokonania zawiadomienia Wykonawcy o wadzie fizycznej elementu w celu uzyskania przysługujących </w:t>
        <w:br w:type="textWrapping"/>
        <w:t xml:space="preserve">z tego tytułu uprawnień. Wykonawca również na własny koszt przeprowadza okresowe przeglądy z wymianą materiałów eksploatacyjnych oraz kalibrację i diagnostykę instalacji i podzespołów opisanych w ust. pkt 1.4 – 1.8. w okresie gwarancji.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zobowiązany jest do przyjęcia reklamacji na zasadach określonych w umowie gwarancyjno-serwisowej.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uznania reklamacji wad elementów, o których mowa w punkcie </w:t>
        <w:br w:type="textWrapping"/>
        <w:t xml:space="preserve">1.3. stwierdzonych w okresie gwarancji, Wykonawca zapewnia bezpłatne usunięcie wad powłoki lakierniczej, jednak w przypadku stwierdzenia, że łączna powierzchnia tych wad przekracza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5% 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całkowitej powierzchni powłoki lakierniczej pojazdu, Wykonawca jest zobowiązany do bezpłatnego przeprowadzenia lakierowania całego pojazdu. Usunięcie wad powinno nastąpić w terminie do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21 dni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roboczych</w:t>
      </w: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 (tj. od poniedziałku do piątku z wyłączeniem dni ustawowo wolnych od pracy)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od dnia zgłoszenia reklamacji, chyba, że Zamawiający wyraził na piśmie zgodę na przedłużenie tego terminu. W przypadku przekroczenia tego terminu Zamawiający może naliczyć Wykonawcy karę umowną w wysokości określonej w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§ 8 ust. 3 Umowy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Przyjmuje się, że całkowita powierzchnia powłoki, o której mowa w ust. 8 wynosi 80 m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superscript"/>
          <w:rtl w:val="0"/>
        </w:rPr>
        <w:t xml:space="preserve">2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dla autobusów MEGA.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przypadku uznania reklamacji, Wykonawca zapewnia bezpłatne usunięcie wad elementów, </w:t>
        <w:br w:type="textWrapping"/>
        <w:t xml:space="preserve">o których mowa w ust. 1 pkt 1.1., 1.2. oraz 1.4.-1.8. stwierdzonych w okresie gwarancji. Usunięcie wad powinno nastąpić w terminie do 3 dni roboczych od momentu zgłoszenia reklamacji, chyba że Zamawiający wyraził na piśmie zgodę na przedłużenie tego terminu. W przypadku przekroczenia tego terminu Zamawiający może naliczyć Wykonawcy karę umowną w wysokości określonej w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§ 8 ust. 3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usunięcie wady będzie niemożliwe w terminach, o których mowa w ust. 8 lub 10 niniejszego załącznika, Wykonawca może, za pisemną zgodą Zamawiającego, na czas trwania naprawy nieodpłatnie udostępnić Zamawiającemu autobus zastępczy o takich samych parametrach techniczno-eksploatacyjnych jak autobus wycofany z eksploatacji. W takim przypadku nie będą naliczane kary umowne, o których mowa w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§ 8 ust. 3 Umowy.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nie może odmówić przyjęcia reklamacji i żądać, by Zamawiający zgłosił ją wytwórcy lub dostawcy.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razie nieuwzględnienia reklamacji Wykonawca jest obowiązany zawiadomić o tym pisemnie Zamawiającego z podaniem uzasadnienia.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Niedokonanie zawiadomienia, o którym mowa w ust. 13 w terminie 48 godzin (dotyczy dni roboczych) od momentu zgłoszenia reklamacji uważa się za uznanie tej reklamacji z obowiązkiem załatwienia jej zgodnie z żądaniem Zamawiającego.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w celu wymiany lub zwrotu elementu za zwrotem ceny, jak też w celu naprawy, element został dostarczony staraniem Zamawiającego, załatwiający reklamację, na żądanie Zamawiającego, zwróci mu poniesione przez niego koszty z tym związane (koszty transportu, demontażu, ponownego zainstalowania elementu, ubezpieczenia, delegacji itp.).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w celu załatwienia reklamacji (dokonania naprawy) albo wykonania czynności obsługowych przewidzianych harmonogramem obsług technicznych, Wykonawca stwierdzi, że niezbędne jest dostarczenie pojazdu do wskazanego przez Wykonawcę miejsca i pojazd ten został tam dostarczony Wykonawca, na żądanie Zamawiającego, zwróci Zamawiającemu poniesione przez niego koszty z tym związane na zasadach określonych w umowie gwarancyjno-serwisowej (koszty transportu, ubezpieczenia, rejestracji, koszty administracyjne, delegacji, zużytego paliwa itp.). Powyższe dotyczy również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zwrotu kosztów związanych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 odbiorem i przywozem pojazdu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do siedziby Zamawiającego po załatwieniu reklamacji.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Jeżeli miejsce (dostarczenia pojazdu), o którym mowa w ust. 16, znajduje się na terenie miasta Bielsko-Biała, a dostarczany pojazd porusza się o własnych siłach, Zamawiający nie będzie żądał od Wykonawcy zwrotu kosztów, o których mowa w ust. 16.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jest zobowiązany okazać przedstawicielowi Zamawiającego zgodność zapisów znajdujących się w dokumencie gwarancyjnym z odpowiednimi oznaczeniami i danymi na pojeździe lub jego zespołach (elementach), a także urządzeniach pomiarowo-rejestrujących oraz nie naruszone plomby (lub inne zabezpieczenia) w miejscach przewidzianych w dokumencie gwarancyjnym.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jest obowiązany wydać Zamawiającemu wraz z pojazdem wszystkie otrzymane od wytwórcy części składowe zamontowanego zespołu lub podzespołu oraz elementy dodatkowego wyposażenia, jak również wymagane dla danego towaru i sporządzone w języku polskim instrukcje obsługi, konserwacji, informację o właściwościach użytkowych i inne dane niezbędne do prawidłowego korzystania z towaru, a w wypadku towaru sprzedanego </w:t>
        <w:br w:type="textWrapping"/>
        <w:t xml:space="preserve">z gwarancją – prawidłowo wypełniony dokument gwarancyjny (Kartę Gwarancyjną).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36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Gwarancja nie obejmuje: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usług przeglądowych wykonywanych w ramach obsług codziennych, takich jak: pompowanie opon, regulacja pasków klinowych, ustawienie świateł, obsługa akumulatorów,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części </w:t>
      </w: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oraz materiały eksploatacyjne</w:t>
      </w:r>
      <w:r w:rsidDel="00000000" w:rsidR="00000000" w:rsidRPr="00000000">
        <w:rPr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które przy użytkowaniu ich zgodnie </w:t>
        <w:br w:type="textWrapping"/>
        <w:t xml:space="preserve">z przeznaczeniem, w warunkach zgodnych z instrukcją obsługi ulegają normalnemu zużyciu podczas eksploatacji autobusu lub partii autobusów takich jak: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żarówki, świetlówki,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pióra wycieraczek,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360"/>
        <w:jc w:val="left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normalnie zużywające się opony (obowiązuje gwarancja producenta),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360"/>
        <w:jc w:val="left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smary i płyny eksploatacyjne,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360"/>
        <w:jc w:val="left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wkłady filtrów;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uszkodzeń opon wynikłych z niewłaściwego ustawienia geometrii zawieszenia, eksploatacji z niewłaściwym ciśnieniem, oraz uszkodzeń mechanicznych. W przypadku stwierdzenia wady fabrycznej Wykonawca zrefunduje Zamawiającemu część kosztów nowej opony adekwatną do jej stopnia zużycia w chwili pojawienia się wady zgodnie z decyzją producenta,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gwarancja na elementy wymienione w punktach 20.2, 20.3 obowiązuje, gdyby ich awaria lub przedwczesne zużycie było spowodowane wadami wykonawczymi lub niewłaściwą jakością prac przeprowadzonych przez Wykonawcę lub też uszkodzeniami urządzeń współpracujących,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uszkodzeń powstałych na skutek: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44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kradzieży, włamania, pożaru, klęsk żywiołowych (np. powodzi),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440" w:right="0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działania czynników zewnętrznych lub atmosferycznych, jak: kamienie, żwir, grad, osady chemiczne i sól (inne niż do zimowego utrzymywania dróg), kwasy, itp.,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szkód powypadkowych lub następstw będących ich skutkiem,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uszkodzeń będących wynikiem niewłaściwej eksploatacji,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części zamiennych, które Zamawiający nabył poza siecią dystrybucyjną Wykonawcy bez uprzedniego uzgodnienia tego faktu z Wykonawcą,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</w:tabs>
        <w:spacing w:after="0" w:before="0" w:line="360" w:lineRule="auto"/>
        <w:ind w:left="1080" w:right="0" w:hanging="7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uszkodzeń innych podzespołów spowodowanych awarią części zakupionych przez Zamawiającego spoza sieci dystrybucyjnej Wykonawcy bez jego zgody.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UWAGA Nr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Gwarancja obejmuje: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720" w:right="-144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części układu hamulcowego, w tym klocki hamulcowe oraz tarcze hamulcowe,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720" w:right="-144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paski klinowe,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720" w:right="-144" w:hanging="36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pozostałe części niewymienione w punkcie 20.2.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080"/>
        </w:tabs>
        <w:spacing w:after="0" w:before="0" w:line="360" w:lineRule="auto"/>
        <w:ind w:left="72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UWAGA Nr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Wykonanie przeglądów (obsług) i napraw gwarancyjnych powinno być odnotowane w dokumencie gwarancyjnym (Karcie Gwarancyjnej) z podaniem daty wykonania, przebiegu kilometrów </w:t>
        <w:br w:type="textWrapping"/>
        <w:t xml:space="preserve">i podpisem oraz pieczątką osoby uprawnionej do przeprowadzania obsług lub napraw gwarancyjnych.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-144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Zamawiający traci uprawnienia z tytułu gwarancji na poszczególne części i podzespoły </w:t>
        <w:br w:type="textWrapping"/>
        <w:t xml:space="preserve">w przypadku: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nieprzestrzegania zaleceń zawartych w dokumentacji technicznej przekazanej </w:t>
        <w:br w:type="textWrapping"/>
        <w:t xml:space="preserve">z autobusem lub partią autobusów w zakresie prawidłowej eksploatacji,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dokonania modyfikacji autobusu lub partii autobusów bez uprzednio uzyskanej pisemnej zgody Wykonawcy,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wykonania regulacji i napraw w zakresie niezgodnym z posiadaną autoryzacją, niezgodnie z przekazanymi instrukcjami naprawy lub w nieautoryzowanych stacjach obsługi oraz montowania do autobusu lub partii autobusów nieoryginalnych części zamiennych lub materiałów eksploatacyjnych bez zgody Wykonawcy. Powyższy zapis nie dotyczy olejów, smarów, płynów eksploatacyjnych i filtrów spełniających wymogi jakościowe określone przez Wykonawcę, 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eksploatowania autobusu lub partii autobusów niezgodnie z przeznaczeniem </w:t>
        <w:br w:type="textWrapping"/>
        <w:t xml:space="preserve">i niezgodnie z przepisami producenta a fakt ten miał istotny wpływ na funkcjonowanie tego zespołu, układu lub elementu, 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134"/>
        </w:tabs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wykonania naprawy, pomimo sprzeciwu Wykonawcy.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6"/>
          <w:tab w:val="left" w:leader="none" w:pos="1080"/>
        </w:tabs>
        <w:spacing w:after="0" w:before="0" w:line="360" w:lineRule="auto"/>
        <w:ind w:left="520" w:right="0" w:hanging="520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Zamawiający jest zobowiązany: 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przy odbiorze autobusu po obsłudze technicznej albo naprawie gwarancyjnej sprawdzić, czy Autoryzowana Stacja Obsługi dokonała odpowiednich wpisów do KSIĄŻECZKI PRZEGLĄDÓW,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eksploatować autobus zgodnie z zaleceniami zawartymi w dokumentacji technicznej przekazanej wraz z autobusem, 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przestrzegać terminów wykonywania przeglądów okresowych oraz napraw prewencyjnych i dopilnować poświadczenia ich wykonania w KSIĄŻECZCE PRZEGLĄDÓW z podaniem daty wykonania, przebiegu kilometrów i podpisem oraz pieczątką osoby uprawnionej do przeprowadzania obsług lub napraw gwarancyjnych,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hanging="708"/>
        <w:jc w:val="both"/>
        <w:rPr>
          <w:i w:val="0"/>
          <w:smallCaps w:val="0"/>
          <w:strike w:val="0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 bieżąco wykonywać naprawy uszkodzeń mechanicznych powłok lakierowanych </w:t>
        <w:br w:type="textWrapping"/>
        <w:t xml:space="preserve">i antykorozyjnych – odpryski lakieru i powłok antykorozyjnych od kamieni, przetarcia, itp.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  <w:tab w:val="left" w:leader="none" w:pos="1080"/>
        </w:tabs>
        <w:spacing w:after="0" w:before="0" w:line="360" w:lineRule="auto"/>
        <w:ind w:left="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*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  <w:tab w:val="left" w:leader="none" w:pos="1080"/>
        </w:tabs>
        <w:spacing w:after="0" w:before="0" w:line="360" w:lineRule="auto"/>
        <w:ind w:left="1620" w:right="0" w:hanging="162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Uwaga nr 1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Szczegółowy wykaz obowiązkowych okresowych zabiegów obsługowo-konserwacyjnych jest zawarty w przekazanej dokumentacji technicznej i obejmuje zakres czynności, robocizny oraz spis wymaganych urządzeń niezbędnych do ich wykonania.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80"/>
          <w:tab w:val="left" w:leader="none" w:pos="1080"/>
        </w:tabs>
        <w:spacing w:after="0" w:before="0" w:line="360" w:lineRule="auto"/>
        <w:ind w:left="1620" w:right="0" w:hanging="162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Uwaga nr 2</w:t>
        <w:tab/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Szkielet kratownicy nadwozia oraz kratownica/ramy podwozia – okresowe obowiązkowe zabiegi konserwacyjne polegające na uzupełnianiu, odnawianiu lub nakładaniu nowych warstw ochronnych profili zewnętrznych i wewnętrznych (ramy, kratownicy) oraz powłok lakierniczych Wykonawca przeprowadza na własny koszt i ryzyko lub ponosi pełne koszty ich przeprowadzenia w okresie </w:t>
      </w:r>
      <w:r w:rsidDel="00000000" w:rsidR="00000000" w:rsidRPr="00000000">
        <w:rPr>
          <w:b w:val="1"/>
          <w:i w:val="0"/>
          <w:smallCaps w:val="0"/>
          <w:strike w:val="0"/>
          <w:color w:val="0070c0"/>
          <w:sz w:val="20"/>
          <w:szCs w:val="20"/>
          <w:u w:val="none"/>
          <w:shd w:fill="auto" w:val="clear"/>
          <w:vertAlign w:val="baseline"/>
          <w:rtl w:val="0"/>
        </w:rPr>
        <w:t xml:space="preserve">……. lat</w:t>
      </w: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6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620" w:right="0" w:firstLine="0"/>
        <w:jc w:val="both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Powyższe nie dotyczy uzupełniania ubytków zewnętrznych powłok ochronnych spowodowanych uszkodzeniami mechanicznymi – odpryski konserwacji od uderzeń kamieni i przetarcia.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WYKONAWCA </w:t>
        <w:tab/>
        <w:tab/>
        <w:tab/>
        <w:tab/>
        <w:tab/>
        <w:tab/>
        <w:tab/>
        <w:t xml:space="preserve">ZAMAWIAJĄCY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07" w:orient="portrait"/>
      <w:pgMar w:bottom="1134" w:top="1135" w:left="1418" w:right="1418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widowControl w:val="0"/>
      <w:rPr>
        <w:i w:val="1"/>
        <w:sz w:val="22"/>
        <w:szCs w:val="22"/>
      </w:rPr>
    </w:pPr>
    <w:r w:rsidDel="00000000" w:rsidR="00000000" w:rsidRPr="00000000">
      <w:rPr>
        <w:i w:val="1"/>
        <w:sz w:val="22"/>
        <w:szCs w:val="22"/>
        <w:rtl w:val="0"/>
      </w:rPr>
      <w:t xml:space="preserve">* w tym zakresie warunki gwarancji zostaną dostosowane do części, na jaką Wykonawca złoży ofertę </w:t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21"/>
      <w:numFmt w:val="decimal"/>
      <w:lvlText w:val="%1."/>
      <w:lvlJc w:val="left"/>
      <w:pPr>
        <w:ind w:left="510" w:hanging="51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vertAlign w:val="baseline"/>
      </w:rPr>
    </w:lvl>
  </w:abstractNum>
  <w:abstractNum w:abstractNumId="2"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cs="Times New Roman" w:eastAsia="Times New Roman" w:hAnsi="Times New Roman"/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.999999999999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.9999999999998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>
    <w:lvl w:ilvl="0">
      <w:start w:val="3"/>
      <w:numFmt w:val="bullet"/>
      <w:lvlText w:val="-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5">
    <w:lvl w:ilvl="0">
      <w:start w:val="21"/>
      <w:numFmt w:val="decimal"/>
      <w:lvlText w:val="%1."/>
      <w:lvlJc w:val="left"/>
      <w:pPr>
        <w:ind w:left="520" w:hanging="520"/>
      </w:pPr>
      <w:rPr>
        <w:vertAlign w:val="baseline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vertAlign w:val="baseline"/>
      </w:rPr>
    </w:lvl>
  </w:abstractNum>
  <w:abstractNum w:abstractNumId="6">
    <w:lvl w:ilvl="0">
      <w:start w:val="22"/>
      <w:numFmt w:val="decimal"/>
      <w:lvlText w:val="%1."/>
      <w:lvlJc w:val="left"/>
      <w:pPr>
        <w:ind w:left="520" w:hanging="5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Nagłówek1">
    <w:name w:val="Nagłówek 1"/>
    <w:basedOn w:val="Normalny"/>
    <w:next w:val="Normalny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ahoma" w:hAnsi="Tahoma"/>
      <w:b w:val="1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Nagłówek2">
    <w:name w:val="Nagłówek 2"/>
    <w:basedOn w:val="Normalny"/>
    <w:next w:val="Normalny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1"/>
    </w:pPr>
    <w:rPr>
      <w:rFonts w:ascii="Tahoma" w:hAnsi="Tahoma"/>
      <w:b w:val="1"/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Nagłówek3">
    <w:name w:val="Nagłówek 3"/>
    <w:basedOn w:val="Normalny"/>
    <w:next w:val="Normalny"/>
    <w:autoRedefine w:val="0"/>
    <w:hidden w:val="0"/>
    <w:qFormat w:val="0"/>
    <w:pPr>
      <w:keepNext w:val="1"/>
      <w:widowControl w:val="1"/>
      <w:suppressAutoHyphens w:val="1"/>
      <w:spacing w:line="1" w:lineRule="atLeast"/>
      <w:ind w:left="7799" w:leftChars="-1" w:rightChars="0" w:hanging="428" w:firstLineChars="-1"/>
      <w:textDirection w:val="btLr"/>
      <w:textAlignment w:val="top"/>
      <w:outlineLvl w:val="2"/>
    </w:pPr>
    <w:rPr>
      <w:rFonts w:ascii="Tahoma" w:hAnsi="Tahoma"/>
      <w:b w:val="1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kstdopunktu">
    <w:name w:val="Tekst do punktu"/>
    <w:next w:val="Tekstdopunktu"/>
    <w:autoRedefine w:val="0"/>
    <w:hidden w:val="0"/>
    <w:qFormat w:val="0"/>
    <w:pPr>
      <w:widowControl w:val="0"/>
      <w:suppressAutoHyphens w:val="1"/>
      <w:spacing w:line="1" w:lineRule="atLeast"/>
      <w:ind w:left="510" w:leftChars="-1" w:rightChars="0" w:firstLineChars="-1"/>
      <w:jc w:val="both"/>
      <w:textDirection w:val="btLr"/>
      <w:textAlignment w:val="top"/>
      <w:outlineLvl w:val="0"/>
    </w:pPr>
    <w:rPr>
      <w:rFonts w:ascii="Times" w:hAnsi="Times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NowyPunkt">
    <w:name w:val="Nowy Punkt"/>
    <w:basedOn w:val="Normalny"/>
    <w:next w:val="Tekstdopunktu"/>
    <w:autoRedefine w:val="0"/>
    <w:hidden w:val="0"/>
    <w:qFormat w:val="0"/>
    <w:pPr>
      <w:widowControl w:val="0"/>
      <w:suppressAutoHyphens w:val="1"/>
      <w:spacing w:line="1" w:lineRule="atLeast"/>
      <w:ind w:left="284" w:leftChars="-1" w:rightChars="0" w:firstLineChars="-1"/>
      <w:textDirection w:val="btLr"/>
      <w:textAlignment w:val="top"/>
      <w:outlineLvl w:val="0"/>
    </w:pPr>
    <w:rPr>
      <w:rFonts w:ascii="Times" w:hAnsi="Times"/>
      <w:b w:val="1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character" w:styleId="Odwołaniedokomentarza">
    <w:name w:val="Odwołanie do komentarza"/>
    <w:next w:val="Odwołaniedokomentarza"/>
    <w:autoRedefine w:val="0"/>
    <w:hidden w:val="0"/>
    <w:qFormat w:val="0"/>
    <w:rPr>
      <w:w w:val="100"/>
      <w:position w:val="-1"/>
      <w:sz w:val="16"/>
      <w:effect w:val="none"/>
      <w:vertAlign w:val="baseline"/>
      <w:cs w:val="0"/>
      <w:em w:val="none"/>
      <w:lang/>
    </w:rPr>
  </w:style>
  <w:style w:type="paragraph" w:styleId="Tekstkomentarza">
    <w:name w:val="Tekst komentarza"/>
    <w:basedOn w:val="Normalny"/>
    <w:next w:val="Tekstkomentarza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effect w:val="none"/>
      <w:vertAlign w:val="baseline"/>
      <w:cs w:val="0"/>
      <w:em w:val="none"/>
      <w:lang w:bidi="ar-SA" w:eastAsia="pl-PL" w:val="pl-PL"/>
    </w:rPr>
  </w:style>
  <w:style w:type="paragraph" w:styleId="BodyText2">
    <w:name w:val="Body Text 2"/>
    <w:basedOn w:val="Normalny"/>
    <w:next w:val="BodyText2"/>
    <w:autoRedefine w:val="0"/>
    <w:hidden w:val="0"/>
    <w:qFormat w:val="0"/>
    <w:pPr>
      <w:widowControl w:val="0"/>
      <w:suppressAutoHyphens w:val="1"/>
      <w:spacing w:line="36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pl-PL" w:val="pl-PL"/>
    </w:rPr>
  </w:style>
  <w:style w:type="paragraph" w:styleId="Zwykłytekst">
    <w:name w:val="Zwykły tekst"/>
    <w:basedOn w:val="Normalny"/>
    <w:next w:val="Zwykłytekst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ourier New" w:hAnsi="Courier New"/>
      <w:noProof w:val="0"/>
      <w:w w:val="100"/>
      <w:position w:val="-1"/>
      <w:sz w:val="20"/>
      <w:effect w:val="none"/>
      <w:vertAlign w:val="baseline"/>
      <w:cs w:val="0"/>
      <w:em w:val="none"/>
      <w:lang w:bidi="ar-SA" w:eastAsia="pl-PL" w:val="pl-PL"/>
    </w:rPr>
  </w:style>
  <w:style w:type="paragraph" w:styleId="Nagłówek">
    <w:name w:val="Nagłówek"/>
    <w:basedOn w:val="Normalny"/>
    <w:next w:val="Nagłówek"/>
    <w:autoRedefine w:val="0"/>
    <w:hidden w:val="0"/>
    <w:qFormat w:val="0"/>
    <w:pPr>
      <w:widowControl w:val="0"/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widowControl w:val="0"/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character" w:styleId="Numerstrony">
    <w:name w:val="Numer strony"/>
    <w:basedOn w:val="Domyślnaczcionkaakapitu"/>
    <w:next w:val="Numerstrony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sz w:val="22"/>
      <w:szCs w:val="22"/>
      <w:effect w:val="none"/>
      <w:vertAlign w:val="baseline"/>
      <w:cs w:val="0"/>
      <w:em w:val="none"/>
      <w:lang w:bidi="ar-SA" w:eastAsia="pl-PL" w:val="pl-PL"/>
    </w:rPr>
  </w:style>
  <w:style w:type="paragraph" w:styleId="Tekstpodstawowywcięty">
    <w:name w:val="Tekst podstawowy wcięty"/>
    <w:basedOn w:val="Normalny"/>
    <w:next w:val="Tekstpodstawowywcięty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Tekstpodstawowywcięty2">
    <w:name w:val="Tekst podstawowy wcięty 2"/>
    <w:basedOn w:val="Normalny"/>
    <w:next w:val="Tekstpodstawowywcięty2"/>
    <w:autoRedefine w:val="0"/>
    <w:hidden w:val="0"/>
    <w:qFormat w:val="0"/>
    <w:pPr>
      <w:widowControl w:val="1"/>
      <w:suppressAutoHyphens w:val="1"/>
      <w:spacing w:line="1" w:lineRule="atLeast"/>
      <w:ind w:left="284" w:leftChars="-1" w:rightChars="0" w:hanging="284" w:firstLineChars="-1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pl-PL" w:val="pl-PL"/>
    </w:rPr>
  </w:style>
  <w:style w:type="paragraph" w:styleId="Tekstpodstawowywcięty3">
    <w:name w:val="Tekst podstawowy wcięty 3"/>
    <w:basedOn w:val="Normalny"/>
    <w:next w:val="Tekstpodstawowywcięty3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="426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Tekstblokowy">
    <w:name w:val="Tekst blokowy"/>
    <w:basedOn w:val="Normalny"/>
    <w:next w:val="Tekstblokowy"/>
    <w:autoRedefine w:val="0"/>
    <w:hidden w:val="0"/>
    <w:qFormat w:val="0"/>
    <w:pPr>
      <w:widowControl w:val="1"/>
      <w:suppressAutoHyphens w:val="1"/>
      <w:spacing w:line="1" w:lineRule="atLeast"/>
      <w:ind w:left="993" w:right="-427" w:leftChars="-1" w:rightChars="0" w:hanging="567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2"/>
      <w:effect w:val="none"/>
      <w:vertAlign w:val="baseline"/>
      <w:cs w:val="0"/>
      <w:em w:val="none"/>
      <w:lang w:bidi="ar-SA" w:eastAsia="pl-PL" w:val="pl-PL"/>
    </w:rPr>
  </w:style>
  <w:style w:type="paragraph" w:styleId="Tekstpodstawowy3">
    <w:name w:val="Tekst podstawowy 3"/>
    <w:basedOn w:val="Normalny"/>
    <w:next w:val="Tekstpodstawowy3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l-PL" w:val="pl-PL"/>
    </w:rPr>
  </w:style>
  <w:style w:type="paragraph" w:styleId="Tekstpodstawowy2">
    <w:name w:val="Tekst podstawowy 2"/>
    <w:basedOn w:val="Normalny"/>
    <w:next w:val="Tekstpodstawowy2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0"/>
      <w:effect w:val="none"/>
      <w:vertAlign w:val="baseline"/>
      <w:cs w:val="0"/>
      <w:em w:val="none"/>
      <w:lang w:bidi="ar-SA" w:eastAsia="pl-PL" w:val="pl-PL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sz w:val="22"/>
      <w:effect w:val="none"/>
      <w:vertAlign w:val="baseline"/>
      <w:cs w:val="0"/>
      <w:em w:val="none"/>
      <w:lang/>
    </w:rPr>
  </w:style>
  <w:style w:type="character" w:styleId="Tekstpodstawowy3Znak">
    <w:name w:val="Tekst podstawowy 3 Znak"/>
    <w:next w:val="Tekstpodstawowy3Znak"/>
    <w:autoRedefine w:val="0"/>
    <w:hidden w:val="0"/>
    <w:qFormat w:val="0"/>
    <w:rPr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Podtytuł">
    <w:name w:val="Podtytuł"/>
    <w:basedOn w:val="Normalny"/>
    <w:next w:val="Podtytuł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PodtytułZnak">
    <w:name w:val="Podtytuł Znak"/>
    <w:next w:val="Podtytuł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paragraph" w:styleId="Tytuł">
    <w:name w:val="Tytuł"/>
    <w:basedOn w:val="Normalny"/>
    <w:next w:val="Tytuł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TytułZnak">
    <w:name w:val="Tytuł Znak"/>
    <w:next w:val="TytułZnak"/>
    <w:autoRedefine w:val="0"/>
    <w:hidden w:val="0"/>
    <w:qFormat w:val="0"/>
    <w:rPr>
      <w:rFonts w:ascii="Arial" w:cs="Arial" w:hAnsi="Arial"/>
      <w:b w:val="1"/>
      <w:bCs w:val="1"/>
      <w:w w:val="100"/>
      <w:position w:val="-1"/>
      <w:sz w:val="32"/>
      <w:szCs w:val="24"/>
      <w:effect w:val="none"/>
      <w:vertAlign w:val="baseline"/>
      <w:cs w:val="0"/>
      <w:em w:val="none"/>
      <w:lang/>
    </w:rPr>
  </w:style>
  <w:style w:type="paragraph" w:styleId="Tekstdymka">
    <w:name w:val="Tekst dymka"/>
    <w:basedOn w:val="Normalny"/>
    <w:next w:val="Tekstdymka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l-PL" w:val="pl-PL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VMUfD4VhHBXFvVTBQlRHHUgw2A==">CgMxLjAyCGguZ2pkZ3hzOAByITFfaHM2R255Y05tdk1fSWV0NXI2MHBFMEoySzZQMmdVSg==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2024-02-22T11:04:00Z</dcterms:created>
  <dc:creator>Zadowolony użytkownik pakietu Microsoft Office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