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A5" w:rsidRDefault="0056595A" w:rsidP="00E64DA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Zał. nr. 1</w:t>
      </w:r>
    </w:p>
    <w:p w:rsidR="007F1D3E" w:rsidRDefault="0056595A" w:rsidP="00E64DA5">
      <w:pPr>
        <w:jc w:val="center"/>
        <w:rPr>
          <w:b/>
          <w:sz w:val="24"/>
          <w:szCs w:val="24"/>
        </w:rPr>
      </w:pPr>
      <w:r w:rsidRPr="0056595A">
        <w:rPr>
          <w:b/>
          <w:sz w:val="24"/>
          <w:szCs w:val="24"/>
        </w:rPr>
        <w:t>OPIS PRZEDMIOTU ZAMÓWIENIA</w:t>
      </w:r>
      <w:bookmarkStart w:id="0" w:name="_GoBack"/>
      <w:bookmarkEnd w:id="0"/>
    </w:p>
    <w:p w:rsidR="0056595A" w:rsidRDefault="00E32063" w:rsidP="00A256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595A" w:rsidRPr="0056595A">
        <w:rPr>
          <w:sz w:val="24"/>
          <w:szCs w:val="24"/>
        </w:rPr>
        <w:t xml:space="preserve">Przedmiotem zamówienia jest </w:t>
      </w:r>
      <w:r w:rsidR="0056595A" w:rsidRPr="00E32063">
        <w:rPr>
          <w:b/>
          <w:sz w:val="24"/>
          <w:szCs w:val="24"/>
        </w:rPr>
        <w:t>wykonanie</w:t>
      </w:r>
      <w:r w:rsidR="006F1C51" w:rsidRPr="00E32063">
        <w:rPr>
          <w:b/>
          <w:sz w:val="24"/>
          <w:szCs w:val="24"/>
        </w:rPr>
        <w:t xml:space="preserve"> </w:t>
      </w:r>
      <w:r w:rsidR="0056595A" w:rsidRPr="00E32063">
        <w:rPr>
          <w:b/>
          <w:sz w:val="24"/>
          <w:szCs w:val="24"/>
        </w:rPr>
        <w:t xml:space="preserve"> koncepcji</w:t>
      </w:r>
      <w:r w:rsidR="005C3DD6">
        <w:rPr>
          <w:b/>
          <w:sz w:val="24"/>
          <w:szCs w:val="24"/>
        </w:rPr>
        <w:t xml:space="preserve"> oraz</w:t>
      </w:r>
      <w:r w:rsidR="00A256F6">
        <w:rPr>
          <w:b/>
          <w:sz w:val="24"/>
          <w:szCs w:val="24"/>
        </w:rPr>
        <w:t xml:space="preserve"> P</w:t>
      </w:r>
      <w:r w:rsidR="00F123BB" w:rsidRPr="00E32063">
        <w:rPr>
          <w:b/>
          <w:sz w:val="24"/>
          <w:szCs w:val="24"/>
        </w:rPr>
        <w:t>rogramu Funkcjonalno- Użytkowego</w:t>
      </w:r>
      <w:r w:rsidR="00F123BB">
        <w:rPr>
          <w:sz w:val="24"/>
          <w:szCs w:val="24"/>
        </w:rPr>
        <w:t xml:space="preserve"> </w:t>
      </w:r>
      <w:r w:rsidR="0091520C" w:rsidRPr="0091520C">
        <w:rPr>
          <w:b/>
          <w:sz w:val="24"/>
          <w:szCs w:val="24"/>
        </w:rPr>
        <w:t>wraz z WKI</w:t>
      </w:r>
      <w:r w:rsidR="0091520C">
        <w:rPr>
          <w:sz w:val="24"/>
          <w:szCs w:val="24"/>
        </w:rPr>
        <w:t xml:space="preserve"> </w:t>
      </w:r>
      <w:r w:rsidR="00F029B5">
        <w:rPr>
          <w:sz w:val="24"/>
          <w:szCs w:val="24"/>
        </w:rPr>
        <w:t xml:space="preserve">dla zadania inwestycyjnego </w:t>
      </w:r>
      <w:r w:rsidR="00F123BB">
        <w:rPr>
          <w:sz w:val="24"/>
          <w:szCs w:val="24"/>
        </w:rPr>
        <w:t xml:space="preserve"> w trybie Zaprojektuj</w:t>
      </w:r>
      <w:r w:rsidR="006C0BF0">
        <w:rPr>
          <w:sz w:val="24"/>
          <w:szCs w:val="24"/>
        </w:rPr>
        <w:t xml:space="preserve"> </w:t>
      </w:r>
      <w:r w:rsidR="00F123BB">
        <w:rPr>
          <w:sz w:val="24"/>
          <w:szCs w:val="24"/>
        </w:rPr>
        <w:t>- wybuduj.</w:t>
      </w:r>
      <w:r w:rsidR="009D484F">
        <w:rPr>
          <w:sz w:val="24"/>
          <w:szCs w:val="24"/>
        </w:rPr>
        <w:t xml:space="preserve"> </w:t>
      </w:r>
    </w:p>
    <w:p w:rsidR="00A11673" w:rsidRDefault="00F029B5" w:rsidP="00A256F6">
      <w:pPr>
        <w:ind w:firstLine="360"/>
        <w:jc w:val="both"/>
        <w:rPr>
          <w:rFonts w:eastAsia="ArialBlack" w:cstheme="minorHAnsi"/>
          <w:sz w:val="24"/>
          <w:szCs w:val="24"/>
        </w:rPr>
      </w:pPr>
      <w:r>
        <w:rPr>
          <w:rFonts w:eastAsia="ArialBlack" w:cstheme="minorHAnsi"/>
          <w:sz w:val="24"/>
          <w:szCs w:val="24"/>
        </w:rPr>
        <w:t>Inwestycja ma  obejmować przebudowę istniejącej Komendy Powiatowej Policji w Jaworze wraz z zagospodarowaniem terenu  przy ul. Armii Krajowej 2 – dz.nr 396 obręb Stary Jawor oraz wybudowanie nowego budynku na sąsiadującej działce nr 393/5 połączonego z istniejącym( przebudowywanym</w:t>
      </w:r>
      <w:r w:rsidR="00A11673">
        <w:rPr>
          <w:rFonts w:eastAsia="ArialBlack" w:cstheme="minorHAnsi"/>
          <w:sz w:val="24"/>
          <w:szCs w:val="24"/>
        </w:rPr>
        <w:t>) budynkiem parterowym łącznikiem</w:t>
      </w:r>
      <w:r>
        <w:rPr>
          <w:rFonts w:eastAsia="ArialBlack" w:cstheme="minorHAnsi"/>
          <w:sz w:val="24"/>
          <w:szCs w:val="24"/>
        </w:rPr>
        <w:t xml:space="preserve">. </w:t>
      </w:r>
      <w:r w:rsidR="00A11673">
        <w:rPr>
          <w:rFonts w:eastAsia="ArialBlack" w:cstheme="minorHAnsi"/>
          <w:sz w:val="24"/>
          <w:szCs w:val="24"/>
        </w:rPr>
        <w:t xml:space="preserve">Na w/w </w:t>
      </w:r>
      <w:r>
        <w:rPr>
          <w:rFonts w:eastAsia="ArialBlack" w:cstheme="minorHAnsi"/>
          <w:sz w:val="24"/>
          <w:szCs w:val="24"/>
        </w:rPr>
        <w:t xml:space="preserve"> działki </w:t>
      </w:r>
      <w:r w:rsidR="00A11673">
        <w:rPr>
          <w:rFonts w:eastAsia="ArialBlack" w:cstheme="minorHAnsi"/>
          <w:sz w:val="24"/>
          <w:szCs w:val="24"/>
        </w:rPr>
        <w:t>istnieje MPZP.</w:t>
      </w:r>
    </w:p>
    <w:p w:rsidR="00235A4C" w:rsidRDefault="00235A4C" w:rsidP="0056595A">
      <w:pPr>
        <w:rPr>
          <w:sz w:val="24"/>
          <w:szCs w:val="24"/>
        </w:rPr>
      </w:pPr>
      <w:r>
        <w:rPr>
          <w:sz w:val="24"/>
          <w:szCs w:val="24"/>
        </w:rPr>
        <w:t>Wytyczne ogólne</w:t>
      </w:r>
      <w:r w:rsidR="00B43D87">
        <w:rPr>
          <w:sz w:val="24"/>
          <w:szCs w:val="24"/>
        </w:rPr>
        <w:t xml:space="preserve"> do koncepcji</w:t>
      </w:r>
      <w:r>
        <w:rPr>
          <w:sz w:val="24"/>
          <w:szCs w:val="24"/>
        </w:rPr>
        <w:t>:</w:t>
      </w:r>
    </w:p>
    <w:p w:rsidR="00A11673" w:rsidRDefault="00A11673" w:rsidP="00A11673">
      <w:pPr>
        <w:pStyle w:val="Akapitzlist"/>
        <w:numPr>
          <w:ilvl w:val="0"/>
          <w:numId w:val="3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>Przebudowa</w:t>
      </w:r>
    </w:p>
    <w:p w:rsidR="00A11673" w:rsidRDefault="00A11673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Budynek Komendy Powiatowej Policji znajduje się w strefie objętej ochroną konserwatorską. </w:t>
      </w:r>
    </w:p>
    <w:p w:rsidR="008A2F9E" w:rsidRDefault="008A2F9E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Parametry budynku: budynek podpiwniczony, 4-kondygnacyjny z użytkowym poddaszem wybudowany w technologii tradycyjnej, ściany murowane z cegły, strop nad piwnicami masywny pozostałe drewniane, klatka schodowa drewniana, ściany działowe z cegły, więźba dachowa drewniana, dach czterospadowy kopertowy kryty dachówką. Pow. użytkowa 1100m</w:t>
      </w:r>
      <w:r>
        <w:rPr>
          <w:sz w:val="24"/>
          <w:szCs w:val="24"/>
          <w:vertAlign w:val="superscript"/>
        </w:rPr>
        <w:t>2</w:t>
      </w:r>
      <w:r w:rsidR="0074314D">
        <w:rPr>
          <w:sz w:val="24"/>
          <w:szCs w:val="24"/>
        </w:rPr>
        <w:t>, kubatura ok. 4850,00m</w:t>
      </w:r>
      <w:r w:rsidR="0074314D">
        <w:rPr>
          <w:sz w:val="24"/>
          <w:szCs w:val="24"/>
          <w:vertAlign w:val="superscript"/>
        </w:rPr>
        <w:t>3</w:t>
      </w:r>
    </w:p>
    <w:p w:rsidR="00CC678D" w:rsidRDefault="008A2F9E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>Planuje się kompleksową przebudowę z nowym układem pomieszczeń</w:t>
      </w:r>
      <w:r w:rsidR="0074314D">
        <w:rPr>
          <w:sz w:val="24"/>
          <w:szCs w:val="24"/>
        </w:rPr>
        <w:t xml:space="preserve"> ( wyburzenie ścianek działowych)</w:t>
      </w:r>
    </w:p>
    <w:p w:rsidR="0091520C" w:rsidRDefault="0074314D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>Należy przewidzieć wymianę stropów drewnianych , konstrukcji klatki schodowej</w:t>
      </w:r>
      <w:r w:rsidR="009152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1520C">
        <w:rPr>
          <w:sz w:val="24"/>
          <w:szCs w:val="24"/>
        </w:rPr>
        <w:t xml:space="preserve">docieplenie ścian zewnętrznych </w:t>
      </w:r>
      <w:r>
        <w:rPr>
          <w:sz w:val="24"/>
          <w:szCs w:val="24"/>
        </w:rPr>
        <w:t>oraz wszystkich instalacji.</w:t>
      </w:r>
      <w:r w:rsidR="0091520C">
        <w:rPr>
          <w:sz w:val="24"/>
          <w:szCs w:val="24"/>
        </w:rPr>
        <w:t xml:space="preserve"> </w:t>
      </w:r>
    </w:p>
    <w:p w:rsidR="0074314D" w:rsidRDefault="0074314D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Należy rozszerzyć zakres przebudowy kotłowni gazowej (aktualne z 2023r pozwolenie na budowę na przebudowę kotłowni)- należy zwiększyć moc cieplna zaprojektowanych kotłów- zapewnienie ogrzewania i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 również dla nowobudowanego obiektu </w:t>
      </w:r>
    </w:p>
    <w:p w:rsidR="00392F12" w:rsidRDefault="00392F12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Przewiduje się wymianę istniejącego masztu </w:t>
      </w:r>
      <w:r w:rsidR="00210A4D">
        <w:rPr>
          <w:sz w:val="24"/>
          <w:szCs w:val="24"/>
        </w:rPr>
        <w:t xml:space="preserve">łączności radiowej </w:t>
      </w:r>
      <w:r>
        <w:rPr>
          <w:sz w:val="24"/>
          <w:szCs w:val="24"/>
        </w:rPr>
        <w:t>( na dachu budynku) na nowy</w:t>
      </w:r>
      <w:r w:rsidR="00210A4D">
        <w:rPr>
          <w:sz w:val="24"/>
          <w:szCs w:val="24"/>
        </w:rPr>
        <w:t>. Wysokość nowego masztu zostanie podana po podpisaniu umowy.</w:t>
      </w:r>
    </w:p>
    <w:p w:rsidR="00CC678D" w:rsidRDefault="00CC678D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>Po przebudowie w budynku ma pracować ok. 5</w:t>
      </w:r>
      <w:r w:rsidR="0037208E">
        <w:rPr>
          <w:sz w:val="24"/>
          <w:szCs w:val="24"/>
        </w:rPr>
        <w:t>5</w:t>
      </w:r>
      <w:r>
        <w:rPr>
          <w:sz w:val="24"/>
          <w:szCs w:val="24"/>
        </w:rPr>
        <w:t xml:space="preserve"> osób</w:t>
      </w:r>
    </w:p>
    <w:p w:rsidR="0074314D" w:rsidRDefault="00A11673" w:rsidP="00A11673">
      <w:pPr>
        <w:pStyle w:val="Akapitzlist"/>
        <w:numPr>
          <w:ilvl w:val="0"/>
          <w:numId w:val="4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14D">
        <w:rPr>
          <w:sz w:val="24"/>
          <w:szCs w:val="24"/>
        </w:rPr>
        <w:t>Zakres przebudowy dotyczy również rozbiórki przybudówki oraz rozbiórkę starych garaży i wiaty.  Na starych fundamentach garażowych należy przewidzieć nadbudowę nowych garaży i magazynu</w:t>
      </w:r>
      <w:r w:rsidR="005C3DD6">
        <w:rPr>
          <w:sz w:val="24"/>
          <w:szCs w:val="24"/>
        </w:rPr>
        <w:t>.</w:t>
      </w:r>
      <w:r w:rsidR="0074314D">
        <w:rPr>
          <w:sz w:val="24"/>
          <w:szCs w:val="24"/>
        </w:rPr>
        <w:t xml:space="preserve"> </w:t>
      </w:r>
    </w:p>
    <w:p w:rsidR="0074314D" w:rsidRDefault="0074314D" w:rsidP="0074314D">
      <w:pPr>
        <w:pStyle w:val="Akapitzlist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57E19">
        <w:rPr>
          <w:sz w:val="24"/>
          <w:szCs w:val="24"/>
        </w:rPr>
        <w:t xml:space="preserve">Wiata garażowa o pow. zabudowy ok. </w:t>
      </w:r>
      <w:r w:rsidR="00E57E19" w:rsidRPr="00E57E19">
        <w:rPr>
          <w:sz w:val="24"/>
          <w:szCs w:val="24"/>
        </w:rPr>
        <w:t>80</w:t>
      </w:r>
      <w:r w:rsidRPr="00E57E19">
        <w:rPr>
          <w:sz w:val="24"/>
          <w:szCs w:val="24"/>
        </w:rPr>
        <w:t>,0 m</w:t>
      </w:r>
      <w:r w:rsidRPr="00E57E19">
        <w:rPr>
          <w:sz w:val="24"/>
          <w:szCs w:val="24"/>
          <w:vertAlign w:val="superscript"/>
        </w:rPr>
        <w:t>2</w:t>
      </w:r>
      <w:r w:rsidRPr="00E57E19">
        <w:rPr>
          <w:sz w:val="24"/>
          <w:szCs w:val="24"/>
        </w:rPr>
        <w:t xml:space="preserve"> </w:t>
      </w:r>
    </w:p>
    <w:p w:rsidR="00392F12" w:rsidRPr="00E57E19" w:rsidRDefault="00392F12" w:rsidP="0074314D">
      <w:pPr>
        <w:pStyle w:val="Akapitzlist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Miejsca parkingowe na samochody służbowe na obu działkach łącznie </w:t>
      </w:r>
      <w:r w:rsidR="009A37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376F">
        <w:rPr>
          <w:sz w:val="24"/>
          <w:szCs w:val="24"/>
        </w:rPr>
        <w:t>12 , dla petentów w strefie otwartej 5 w tym 1 dla osoby niepełnosprawnej ruchowo</w:t>
      </w:r>
      <w:r w:rsidR="005C3DD6">
        <w:rPr>
          <w:sz w:val="24"/>
          <w:szCs w:val="24"/>
        </w:rPr>
        <w:t xml:space="preserve"> (łącznie 18 miejsc postojowych)</w:t>
      </w:r>
      <w:r w:rsidR="009A376F">
        <w:rPr>
          <w:sz w:val="24"/>
          <w:szCs w:val="24"/>
        </w:rPr>
        <w:t>.</w:t>
      </w:r>
    </w:p>
    <w:p w:rsidR="0074314D" w:rsidRPr="0074314D" w:rsidRDefault="0074314D" w:rsidP="0074314D">
      <w:pPr>
        <w:pStyle w:val="Akapitzlist"/>
        <w:numPr>
          <w:ilvl w:val="0"/>
          <w:numId w:val="1"/>
        </w:numPr>
        <w:ind w:left="851" w:hanging="284"/>
        <w:rPr>
          <w:sz w:val="24"/>
          <w:szCs w:val="24"/>
        </w:rPr>
      </w:pPr>
      <w:r w:rsidRPr="0074314D">
        <w:rPr>
          <w:sz w:val="24"/>
          <w:szCs w:val="24"/>
        </w:rPr>
        <w:t>Powierzchnia dróg wewnętrznych i chodników</w:t>
      </w:r>
      <w:r w:rsidR="0037208E">
        <w:rPr>
          <w:sz w:val="24"/>
          <w:szCs w:val="24"/>
        </w:rPr>
        <w:t xml:space="preserve">, placów manewrowych </w:t>
      </w:r>
      <w:r w:rsidRPr="0074314D">
        <w:rPr>
          <w:sz w:val="24"/>
          <w:szCs w:val="24"/>
        </w:rPr>
        <w:t xml:space="preserve"> </w:t>
      </w:r>
      <w:r w:rsidR="00392F12">
        <w:rPr>
          <w:sz w:val="24"/>
          <w:szCs w:val="24"/>
        </w:rPr>
        <w:t xml:space="preserve">dla obu działek </w:t>
      </w:r>
      <w:r w:rsidRPr="0074314D">
        <w:rPr>
          <w:sz w:val="24"/>
          <w:szCs w:val="24"/>
        </w:rPr>
        <w:t>ok</w:t>
      </w:r>
      <w:r w:rsidR="005C3DD6">
        <w:rPr>
          <w:sz w:val="24"/>
          <w:szCs w:val="24"/>
        </w:rPr>
        <w:t>. 950,</w:t>
      </w:r>
      <w:r w:rsidRPr="0074314D">
        <w:rPr>
          <w:sz w:val="24"/>
          <w:szCs w:val="24"/>
        </w:rPr>
        <w:t>00 m</w:t>
      </w:r>
      <w:r w:rsidRPr="0074314D">
        <w:rPr>
          <w:sz w:val="24"/>
          <w:szCs w:val="24"/>
          <w:vertAlign w:val="superscript"/>
        </w:rPr>
        <w:t>2</w:t>
      </w:r>
    </w:p>
    <w:p w:rsidR="0074314D" w:rsidRPr="0074314D" w:rsidRDefault="0074314D" w:rsidP="0074314D">
      <w:pPr>
        <w:pStyle w:val="Akapitzlist"/>
        <w:numPr>
          <w:ilvl w:val="0"/>
          <w:numId w:val="1"/>
        </w:numPr>
        <w:ind w:left="851" w:hanging="284"/>
        <w:rPr>
          <w:sz w:val="24"/>
          <w:szCs w:val="24"/>
        </w:rPr>
      </w:pPr>
      <w:r w:rsidRPr="0074314D">
        <w:rPr>
          <w:sz w:val="24"/>
          <w:szCs w:val="24"/>
        </w:rPr>
        <w:t xml:space="preserve">Planowana powierzchnia terenów </w:t>
      </w:r>
      <w:r w:rsidR="000B7B4C">
        <w:rPr>
          <w:sz w:val="24"/>
          <w:szCs w:val="24"/>
        </w:rPr>
        <w:t xml:space="preserve">biologicznie czynnych ( zielonych) </w:t>
      </w:r>
      <w:r w:rsidRPr="0074314D">
        <w:rPr>
          <w:sz w:val="24"/>
          <w:szCs w:val="24"/>
        </w:rPr>
        <w:t xml:space="preserve"> </w:t>
      </w:r>
      <w:r w:rsidR="00392F12">
        <w:rPr>
          <w:sz w:val="24"/>
          <w:szCs w:val="24"/>
        </w:rPr>
        <w:t xml:space="preserve">dla obu działek </w:t>
      </w:r>
      <w:r w:rsidRPr="0074314D">
        <w:rPr>
          <w:sz w:val="24"/>
          <w:szCs w:val="24"/>
        </w:rPr>
        <w:t xml:space="preserve">na poziomie </w:t>
      </w:r>
      <w:r>
        <w:rPr>
          <w:sz w:val="24"/>
          <w:szCs w:val="24"/>
        </w:rPr>
        <w:t xml:space="preserve"> min.2</w:t>
      </w:r>
      <w:r w:rsidRPr="0074314D">
        <w:rPr>
          <w:sz w:val="24"/>
          <w:szCs w:val="24"/>
        </w:rPr>
        <w:t>0% powierzchni terenu</w:t>
      </w:r>
    </w:p>
    <w:p w:rsidR="00A11673" w:rsidRPr="0074314D" w:rsidRDefault="00A11673" w:rsidP="0074314D">
      <w:pPr>
        <w:ind w:left="568"/>
        <w:rPr>
          <w:sz w:val="24"/>
          <w:szCs w:val="24"/>
        </w:rPr>
      </w:pPr>
    </w:p>
    <w:p w:rsidR="00A11673" w:rsidRDefault="00A11673" w:rsidP="00A11673">
      <w:pPr>
        <w:pStyle w:val="Akapitzlist"/>
        <w:numPr>
          <w:ilvl w:val="0"/>
          <w:numId w:val="3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Budowa </w:t>
      </w:r>
      <w:r w:rsidR="00E57E19">
        <w:rPr>
          <w:sz w:val="24"/>
          <w:szCs w:val="24"/>
        </w:rPr>
        <w:t xml:space="preserve">łącznika i nowego skrzydła na dz. nr 393/5 </w:t>
      </w:r>
      <w:proofErr w:type="spellStart"/>
      <w:r w:rsidR="00E57E19">
        <w:rPr>
          <w:sz w:val="24"/>
          <w:szCs w:val="24"/>
        </w:rPr>
        <w:t>obr</w:t>
      </w:r>
      <w:proofErr w:type="spellEnd"/>
      <w:r w:rsidR="00E57E19">
        <w:rPr>
          <w:sz w:val="24"/>
          <w:szCs w:val="24"/>
        </w:rPr>
        <w:t>. Stary Jawor</w:t>
      </w:r>
    </w:p>
    <w:p w:rsidR="00E64DA5" w:rsidRDefault="00E64DA5" w:rsidP="00A11673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 w:rsidRPr="0037208E">
        <w:rPr>
          <w:sz w:val="24"/>
          <w:szCs w:val="24"/>
        </w:rPr>
        <w:t xml:space="preserve">Obiekty budowane w systemie </w:t>
      </w:r>
      <w:r w:rsidR="0037208E" w:rsidRPr="0037208E">
        <w:rPr>
          <w:sz w:val="24"/>
          <w:szCs w:val="24"/>
        </w:rPr>
        <w:t xml:space="preserve">budownictwa tradycyjnego </w:t>
      </w:r>
    </w:p>
    <w:p w:rsidR="005C3DD6" w:rsidRPr="0037208E" w:rsidRDefault="005C3DD6" w:rsidP="00A11673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>
        <w:rPr>
          <w:sz w:val="24"/>
          <w:szCs w:val="24"/>
        </w:rPr>
        <w:t>9murowana/żelbetowa)</w:t>
      </w:r>
    </w:p>
    <w:p w:rsidR="0037208E" w:rsidRDefault="0037208E" w:rsidP="00CF72E1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>
        <w:rPr>
          <w:sz w:val="24"/>
          <w:szCs w:val="24"/>
        </w:rPr>
        <w:t>Ł</w:t>
      </w:r>
      <w:r w:rsidR="00E57E19" w:rsidRPr="00E57E19">
        <w:rPr>
          <w:sz w:val="24"/>
          <w:szCs w:val="24"/>
        </w:rPr>
        <w:t xml:space="preserve">ącznik parterowy na całą szerokość istniejącego budynku dł. 8,0m, </w:t>
      </w:r>
      <w:r>
        <w:rPr>
          <w:sz w:val="24"/>
          <w:szCs w:val="24"/>
        </w:rPr>
        <w:t xml:space="preserve">dach </w:t>
      </w:r>
      <w:proofErr w:type="spellStart"/>
      <w:r>
        <w:rPr>
          <w:sz w:val="24"/>
          <w:szCs w:val="24"/>
        </w:rPr>
        <w:t>płaki</w:t>
      </w:r>
      <w:proofErr w:type="spellEnd"/>
    </w:p>
    <w:p w:rsidR="00E57E19" w:rsidRPr="00E57E19" w:rsidRDefault="0037208E" w:rsidP="00CF72E1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>
        <w:rPr>
          <w:sz w:val="24"/>
          <w:szCs w:val="24"/>
        </w:rPr>
        <w:t xml:space="preserve">Nowy </w:t>
      </w:r>
      <w:r w:rsidR="00E57E19" w:rsidRPr="00E57E19">
        <w:rPr>
          <w:sz w:val="24"/>
          <w:szCs w:val="24"/>
        </w:rPr>
        <w:t>budynek  niepodpiwniczony 3</w:t>
      </w:r>
      <w:r w:rsidR="00041153" w:rsidRPr="00E57E19">
        <w:rPr>
          <w:sz w:val="24"/>
          <w:szCs w:val="24"/>
        </w:rPr>
        <w:t xml:space="preserve"> kondygnac</w:t>
      </w:r>
      <w:r w:rsidR="00E57E19" w:rsidRPr="00E57E19">
        <w:rPr>
          <w:sz w:val="24"/>
          <w:szCs w:val="24"/>
        </w:rPr>
        <w:t>yjny z dachem kopertowym o nachyleniu połaci 35-45%,krytym dachówką. Powierzchnia użytkowa łącznika i budynku  ok. 1300,0m</w:t>
      </w:r>
      <w:r w:rsidR="00E57E19" w:rsidRPr="00E57E19">
        <w:rPr>
          <w:sz w:val="24"/>
          <w:szCs w:val="24"/>
          <w:vertAlign w:val="superscript"/>
        </w:rPr>
        <w:t>2</w:t>
      </w:r>
      <w:r w:rsidR="00A256F6" w:rsidRPr="00E57E19">
        <w:rPr>
          <w:sz w:val="24"/>
          <w:szCs w:val="24"/>
        </w:rPr>
        <w:t xml:space="preserve"> </w:t>
      </w:r>
    </w:p>
    <w:p w:rsidR="00041153" w:rsidRPr="00E57E19" w:rsidRDefault="00392F12" w:rsidP="00CF72E1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>
        <w:rPr>
          <w:sz w:val="24"/>
          <w:szCs w:val="24"/>
        </w:rPr>
        <w:t xml:space="preserve">Szerokość budynku- równoległa do ul. Armii Krajowej ok. </w:t>
      </w:r>
      <w:r w:rsidR="0037208E">
        <w:rPr>
          <w:sz w:val="24"/>
          <w:szCs w:val="24"/>
        </w:rPr>
        <w:t>15,0-</w:t>
      </w:r>
      <w:r>
        <w:rPr>
          <w:sz w:val="24"/>
          <w:szCs w:val="24"/>
        </w:rPr>
        <w:t>16,0m, d</w:t>
      </w:r>
      <w:r w:rsidR="00196A62" w:rsidRPr="00E57E19">
        <w:rPr>
          <w:sz w:val="24"/>
          <w:szCs w:val="24"/>
        </w:rPr>
        <w:t>ługości budynk</w:t>
      </w:r>
      <w:r w:rsidR="00E57E19" w:rsidRPr="00E57E19">
        <w:rPr>
          <w:sz w:val="24"/>
          <w:szCs w:val="24"/>
        </w:rPr>
        <w:t xml:space="preserve">u </w:t>
      </w:r>
      <w:r>
        <w:rPr>
          <w:sz w:val="24"/>
          <w:szCs w:val="24"/>
        </w:rPr>
        <w:t>prostopadła do ul. Armii Krajowej</w:t>
      </w:r>
      <w:r w:rsidR="00E57E19" w:rsidRPr="00E57E19">
        <w:rPr>
          <w:sz w:val="24"/>
          <w:szCs w:val="24"/>
        </w:rPr>
        <w:t xml:space="preserve"> ok. </w:t>
      </w:r>
      <w:r w:rsidR="0037208E">
        <w:rPr>
          <w:sz w:val="24"/>
          <w:szCs w:val="24"/>
        </w:rPr>
        <w:t>30,0-31,0m</w:t>
      </w:r>
    </w:p>
    <w:p w:rsidR="0056595A" w:rsidRPr="00392F12" w:rsidRDefault="00392F12" w:rsidP="00A11673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 w:rsidRPr="00392F12">
        <w:rPr>
          <w:sz w:val="24"/>
          <w:szCs w:val="24"/>
        </w:rPr>
        <w:t xml:space="preserve">Nową część </w:t>
      </w:r>
      <w:r w:rsidR="009D484F" w:rsidRPr="00392F12">
        <w:rPr>
          <w:sz w:val="24"/>
          <w:szCs w:val="24"/>
        </w:rPr>
        <w:t xml:space="preserve"> </w:t>
      </w:r>
      <w:r w:rsidR="0056595A" w:rsidRPr="00392F12">
        <w:rPr>
          <w:sz w:val="24"/>
          <w:szCs w:val="24"/>
        </w:rPr>
        <w:t xml:space="preserve"> </w:t>
      </w:r>
      <w:r w:rsidR="009D484F" w:rsidRPr="00392F12">
        <w:rPr>
          <w:sz w:val="24"/>
          <w:szCs w:val="24"/>
        </w:rPr>
        <w:t xml:space="preserve">przewidziano na </w:t>
      </w:r>
      <w:r w:rsidR="0037208E">
        <w:rPr>
          <w:sz w:val="24"/>
          <w:szCs w:val="24"/>
        </w:rPr>
        <w:t xml:space="preserve">55 </w:t>
      </w:r>
      <w:r w:rsidR="009D484F" w:rsidRPr="00392F12">
        <w:rPr>
          <w:sz w:val="24"/>
          <w:szCs w:val="24"/>
        </w:rPr>
        <w:t>etatów.</w:t>
      </w:r>
      <w:r w:rsidR="0056595A" w:rsidRPr="00392F12">
        <w:rPr>
          <w:sz w:val="24"/>
          <w:szCs w:val="24"/>
        </w:rPr>
        <w:t xml:space="preserve"> </w:t>
      </w:r>
      <w:r w:rsidR="005C3DD6">
        <w:rPr>
          <w:sz w:val="24"/>
          <w:szCs w:val="24"/>
        </w:rPr>
        <w:t>Poza częścią biurowa i strefą dyżurnych należy przewidzieć PDOZ oraz salę odpraw.</w:t>
      </w:r>
    </w:p>
    <w:p w:rsidR="00803AE3" w:rsidRPr="00392F12" w:rsidRDefault="00A256F6" w:rsidP="00A11673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 w:rsidRPr="00392F12">
        <w:rPr>
          <w:sz w:val="24"/>
          <w:szCs w:val="24"/>
        </w:rPr>
        <w:t>Oba</w:t>
      </w:r>
      <w:r w:rsidR="0037208E">
        <w:rPr>
          <w:sz w:val="24"/>
          <w:szCs w:val="24"/>
        </w:rPr>
        <w:t xml:space="preserve"> nowe </w:t>
      </w:r>
      <w:r w:rsidRPr="00392F12">
        <w:rPr>
          <w:sz w:val="24"/>
          <w:szCs w:val="24"/>
        </w:rPr>
        <w:t xml:space="preserve"> budyn</w:t>
      </w:r>
      <w:r w:rsidR="00803AE3" w:rsidRPr="00392F12">
        <w:rPr>
          <w:sz w:val="24"/>
          <w:szCs w:val="24"/>
        </w:rPr>
        <w:t>k</w:t>
      </w:r>
      <w:r w:rsidR="00392F12" w:rsidRPr="00392F12">
        <w:rPr>
          <w:sz w:val="24"/>
          <w:szCs w:val="24"/>
        </w:rPr>
        <w:t>i</w:t>
      </w:r>
      <w:r w:rsidR="0037208E">
        <w:rPr>
          <w:sz w:val="24"/>
          <w:szCs w:val="24"/>
        </w:rPr>
        <w:t xml:space="preserve"> (łącznik i administracyjny)</w:t>
      </w:r>
      <w:r w:rsidRPr="00392F12">
        <w:rPr>
          <w:sz w:val="24"/>
          <w:szCs w:val="24"/>
        </w:rPr>
        <w:t xml:space="preserve">  wyposażone</w:t>
      </w:r>
      <w:r w:rsidR="00803AE3" w:rsidRPr="00392F12">
        <w:rPr>
          <w:sz w:val="24"/>
          <w:szCs w:val="24"/>
        </w:rPr>
        <w:t xml:space="preserve"> w instalacje sanitarne, wod.-kan., elektryczne, niskopr</w:t>
      </w:r>
      <w:r w:rsidR="006C0BF0" w:rsidRPr="00392F12">
        <w:rPr>
          <w:sz w:val="24"/>
          <w:szCs w:val="24"/>
        </w:rPr>
        <w:t>ądowe, strukturalne oraz c.o.</w:t>
      </w:r>
      <w:r w:rsidR="00803AE3" w:rsidRPr="00392F12">
        <w:rPr>
          <w:sz w:val="24"/>
          <w:szCs w:val="24"/>
        </w:rPr>
        <w:t xml:space="preserve">. Ponadto </w:t>
      </w:r>
      <w:r w:rsidRPr="00392F12">
        <w:rPr>
          <w:sz w:val="24"/>
          <w:szCs w:val="24"/>
        </w:rPr>
        <w:t xml:space="preserve">budynek </w:t>
      </w:r>
      <w:r w:rsidR="00803AE3" w:rsidRPr="00392F12">
        <w:rPr>
          <w:sz w:val="24"/>
          <w:szCs w:val="24"/>
        </w:rPr>
        <w:t>wyposażony</w:t>
      </w:r>
      <w:r w:rsidR="0037208E">
        <w:rPr>
          <w:sz w:val="24"/>
          <w:szCs w:val="24"/>
        </w:rPr>
        <w:t xml:space="preserve"> </w:t>
      </w:r>
      <w:r w:rsidR="00803AE3" w:rsidRPr="00392F12">
        <w:rPr>
          <w:sz w:val="24"/>
          <w:szCs w:val="24"/>
        </w:rPr>
        <w:t xml:space="preserve">w wentylację mechaniczną z rekuperacją </w:t>
      </w:r>
      <w:r w:rsidR="0037208E">
        <w:rPr>
          <w:sz w:val="24"/>
          <w:szCs w:val="24"/>
        </w:rPr>
        <w:t xml:space="preserve">oraz </w:t>
      </w:r>
      <w:r w:rsidR="00803AE3" w:rsidRPr="00392F12">
        <w:rPr>
          <w:sz w:val="24"/>
          <w:szCs w:val="24"/>
        </w:rPr>
        <w:t>klimatyzację</w:t>
      </w:r>
      <w:r w:rsidR="006C0BF0" w:rsidRPr="00392F12">
        <w:rPr>
          <w:sz w:val="24"/>
          <w:szCs w:val="24"/>
        </w:rPr>
        <w:t xml:space="preserve"> </w:t>
      </w:r>
      <w:r w:rsidR="00803AE3" w:rsidRPr="00392F12">
        <w:rPr>
          <w:sz w:val="24"/>
          <w:szCs w:val="24"/>
        </w:rPr>
        <w:t xml:space="preserve">- centrale </w:t>
      </w:r>
      <w:r w:rsidR="00392F12" w:rsidRPr="00392F12">
        <w:rPr>
          <w:sz w:val="24"/>
          <w:szCs w:val="24"/>
        </w:rPr>
        <w:t>usytuowane na poddaszu</w:t>
      </w:r>
    </w:p>
    <w:p w:rsidR="004048B6" w:rsidRPr="00392F12" w:rsidRDefault="00A256F6" w:rsidP="00A11673">
      <w:pPr>
        <w:pStyle w:val="Akapitzlist"/>
        <w:numPr>
          <w:ilvl w:val="0"/>
          <w:numId w:val="1"/>
        </w:numPr>
        <w:ind w:left="1276" w:hanging="142"/>
        <w:rPr>
          <w:sz w:val="24"/>
          <w:szCs w:val="24"/>
        </w:rPr>
      </w:pPr>
      <w:r w:rsidRPr="00392F12">
        <w:rPr>
          <w:sz w:val="24"/>
          <w:szCs w:val="24"/>
        </w:rPr>
        <w:t>Każde</w:t>
      </w:r>
      <w:r w:rsidR="004048B6" w:rsidRPr="00392F12">
        <w:rPr>
          <w:sz w:val="24"/>
          <w:szCs w:val="24"/>
        </w:rPr>
        <w:t xml:space="preserve"> z</w:t>
      </w:r>
      <w:r w:rsidRPr="00392F12">
        <w:rPr>
          <w:sz w:val="24"/>
          <w:szCs w:val="24"/>
        </w:rPr>
        <w:t>e skrzydeł</w:t>
      </w:r>
      <w:r w:rsidR="004048B6" w:rsidRPr="00392F12">
        <w:rPr>
          <w:sz w:val="24"/>
          <w:szCs w:val="24"/>
        </w:rPr>
        <w:t xml:space="preserve"> budynk</w:t>
      </w:r>
      <w:r w:rsidRPr="00392F12">
        <w:rPr>
          <w:sz w:val="24"/>
          <w:szCs w:val="24"/>
        </w:rPr>
        <w:t>u</w:t>
      </w:r>
      <w:r w:rsidR="004048B6" w:rsidRPr="00392F12">
        <w:rPr>
          <w:sz w:val="24"/>
          <w:szCs w:val="24"/>
        </w:rPr>
        <w:t xml:space="preserve"> musi posiadać windę oraz dwie klatki schodowe</w:t>
      </w:r>
      <w:r w:rsidRPr="00392F12">
        <w:rPr>
          <w:sz w:val="24"/>
          <w:szCs w:val="24"/>
        </w:rPr>
        <w:t xml:space="preserve"> </w:t>
      </w:r>
      <w:r w:rsidR="004048B6" w:rsidRPr="00392F12">
        <w:rPr>
          <w:sz w:val="24"/>
          <w:szCs w:val="24"/>
        </w:rPr>
        <w:t>- g</w:t>
      </w:r>
      <w:r w:rsidR="009A5A5A" w:rsidRPr="00392F12">
        <w:rPr>
          <w:sz w:val="24"/>
          <w:szCs w:val="24"/>
        </w:rPr>
        <w:t>ł</w:t>
      </w:r>
      <w:r w:rsidR="004048B6" w:rsidRPr="00392F12">
        <w:rPr>
          <w:sz w:val="24"/>
          <w:szCs w:val="24"/>
        </w:rPr>
        <w:t>ówną i boczną</w:t>
      </w:r>
      <w:r w:rsidR="009A5A5A" w:rsidRPr="00392F12">
        <w:rPr>
          <w:sz w:val="24"/>
          <w:szCs w:val="24"/>
        </w:rPr>
        <w:t xml:space="preserve"> oraz dwa wejścia – główne i służbowe.</w:t>
      </w:r>
      <w:r w:rsidR="004048B6" w:rsidRPr="00392F12">
        <w:rPr>
          <w:sz w:val="24"/>
          <w:szCs w:val="24"/>
        </w:rPr>
        <w:t xml:space="preserve"> </w:t>
      </w:r>
    </w:p>
    <w:p w:rsidR="007E796A" w:rsidRPr="009A5A5A" w:rsidRDefault="007E796A" w:rsidP="00A256F6">
      <w:pPr>
        <w:ind w:left="426"/>
        <w:jc w:val="both"/>
        <w:rPr>
          <w:sz w:val="24"/>
          <w:szCs w:val="24"/>
        </w:rPr>
      </w:pPr>
      <w:r w:rsidRPr="009A5A5A">
        <w:rPr>
          <w:sz w:val="24"/>
          <w:szCs w:val="24"/>
        </w:rPr>
        <w:t>Szczegółowe dane dla poszczególnych pięter i pomieszczeń Zamawiający dostarczy po podpisaniu umowy</w:t>
      </w:r>
    </w:p>
    <w:p w:rsidR="00803AE3" w:rsidRPr="00D372E7" w:rsidRDefault="006875D7" w:rsidP="00A256F6">
      <w:pPr>
        <w:ind w:left="360"/>
        <w:jc w:val="both"/>
        <w:rPr>
          <w:sz w:val="24"/>
          <w:szCs w:val="24"/>
        </w:rPr>
      </w:pPr>
      <w:r w:rsidRPr="00D372E7">
        <w:rPr>
          <w:sz w:val="24"/>
          <w:szCs w:val="24"/>
        </w:rPr>
        <w:t xml:space="preserve">Koncepcja powinna zawierać opis, zagospodarowanie terenu, uproszczone rzuty kondygnacji i wstępną wizualizację. Należy </w:t>
      </w:r>
      <w:r w:rsidR="00CC678D">
        <w:rPr>
          <w:sz w:val="24"/>
          <w:szCs w:val="24"/>
        </w:rPr>
        <w:t xml:space="preserve">uzyskać akceptację Konserwatora Zabytków </w:t>
      </w:r>
      <w:r w:rsidR="00D372E7">
        <w:rPr>
          <w:sz w:val="24"/>
          <w:szCs w:val="24"/>
        </w:rPr>
        <w:t>.</w:t>
      </w:r>
      <w:r w:rsidR="00803AE3" w:rsidRPr="00803AE3">
        <w:rPr>
          <w:sz w:val="24"/>
          <w:szCs w:val="24"/>
        </w:rPr>
        <w:t xml:space="preserve"> </w:t>
      </w:r>
      <w:r w:rsidR="00803AE3">
        <w:rPr>
          <w:sz w:val="24"/>
          <w:szCs w:val="24"/>
        </w:rPr>
        <w:t>Do Wykonawcy należy pobranie mapy zasadniczej.</w:t>
      </w:r>
    </w:p>
    <w:p w:rsidR="00803AE3" w:rsidRDefault="00803AE3" w:rsidP="00803AE3">
      <w:pPr>
        <w:pStyle w:val="dtn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niezbędne dokumenty</w:t>
      </w:r>
      <w:r w:rsidR="00E57E19">
        <w:rPr>
          <w:rFonts w:asciiTheme="minorHAnsi" w:hAnsiTheme="minorHAnsi" w:cstheme="minorHAnsi"/>
        </w:rPr>
        <w:t xml:space="preserve"> i wytyczne </w:t>
      </w:r>
      <w:r>
        <w:rPr>
          <w:rFonts w:asciiTheme="minorHAnsi" w:hAnsiTheme="minorHAnsi" w:cstheme="minorHAnsi"/>
        </w:rPr>
        <w:t>zostaną przekazane przez Zamawiającego po podpisaniu umowy.</w:t>
      </w:r>
    </w:p>
    <w:p w:rsidR="00803AE3" w:rsidRDefault="00803AE3" w:rsidP="00803AE3">
      <w:pPr>
        <w:pStyle w:val="dtn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p w:rsidR="009A5A5A" w:rsidRDefault="009A5A5A" w:rsidP="00803AE3">
      <w:pPr>
        <w:pStyle w:val="dtn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p w:rsidR="00D372E7" w:rsidRDefault="00041153" w:rsidP="000B7B4C">
      <w:pPr>
        <w:pStyle w:val="dt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372E7">
        <w:rPr>
          <w:rFonts w:asciiTheme="minorHAnsi" w:hAnsiTheme="minorHAnsi" w:cstheme="minorHAnsi"/>
          <w:u w:val="single"/>
        </w:rPr>
        <w:t xml:space="preserve">Wytyczne dla </w:t>
      </w:r>
      <w:r w:rsidRPr="009A376F">
        <w:rPr>
          <w:rFonts w:asciiTheme="minorHAnsi" w:hAnsiTheme="minorHAnsi" w:cstheme="minorHAnsi"/>
          <w:u w:val="single"/>
        </w:rPr>
        <w:t xml:space="preserve">PFU </w:t>
      </w:r>
    </w:p>
    <w:p w:rsidR="00D372E7" w:rsidRDefault="006875D7" w:rsidP="000B7B4C">
      <w:pPr>
        <w:pStyle w:val="dtn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372E7">
        <w:rPr>
          <w:rFonts w:asciiTheme="minorHAnsi" w:hAnsiTheme="minorHAnsi" w:cstheme="minorHAnsi"/>
        </w:rPr>
        <w:t xml:space="preserve">Wszystkie dane </w:t>
      </w:r>
      <w:r w:rsidR="005C3DD6">
        <w:rPr>
          <w:rFonts w:asciiTheme="minorHAnsi" w:hAnsiTheme="minorHAnsi" w:cstheme="minorHAnsi"/>
        </w:rPr>
        <w:t xml:space="preserve">dotyczące </w:t>
      </w:r>
      <w:r w:rsidR="00A0569B">
        <w:rPr>
          <w:rFonts w:asciiTheme="minorHAnsi" w:hAnsiTheme="minorHAnsi" w:cstheme="minorHAnsi"/>
        </w:rPr>
        <w:t xml:space="preserve"> rozkład</w:t>
      </w:r>
      <w:r w:rsidR="005C3DD6">
        <w:rPr>
          <w:rFonts w:asciiTheme="minorHAnsi" w:hAnsiTheme="minorHAnsi" w:cstheme="minorHAnsi"/>
        </w:rPr>
        <w:t>u</w:t>
      </w:r>
      <w:r w:rsidR="00A0569B">
        <w:rPr>
          <w:rFonts w:asciiTheme="minorHAnsi" w:hAnsiTheme="minorHAnsi" w:cstheme="minorHAnsi"/>
        </w:rPr>
        <w:t xml:space="preserve"> </w:t>
      </w:r>
      <w:r w:rsidR="003B2E8F">
        <w:rPr>
          <w:rFonts w:asciiTheme="minorHAnsi" w:hAnsiTheme="minorHAnsi" w:cstheme="minorHAnsi"/>
        </w:rPr>
        <w:t xml:space="preserve">poszczególnych </w:t>
      </w:r>
      <w:r w:rsidR="00A0569B">
        <w:rPr>
          <w:rFonts w:asciiTheme="minorHAnsi" w:hAnsiTheme="minorHAnsi" w:cstheme="minorHAnsi"/>
        </w:rPr>
        <w:t>wydziałów</w:t>
      </w:r>
      <w:r w:rsidR="003B2E8F">
        <w:rPr>
          <w:rFonts w:asciiTheme="minorHAnsi" w:hAnsiTheme="minorHAnsi" w:cstheme="minorHAnsi"/>
        </w:rPr>
        <w:t xml:space="preserve"> jednostek</w:t>
      </w:r>
      <w:r w:rsidR="00A0569B">
        <w:rPr>
          <w:rFonts w:asciiTheme="minorHAnsi" w:hAnsiTheme="minorHAnsi" w:cstheme="minorHAnsi"/>
        </w:rPr>
        <w:t xml:space="preserve">, dane do infrastruktury teleinformatycznej oraz sieci logicznych </w:t>
      </w:r>
      <w:r w:rsidRPr="00D372E7">
        <w:rPr>
          <w:rFonts w:asciiTheme="minorHAnsi" w:hAnsiTheme="minorHAnsi" w:cstheme="minorHAnsi"/>
        </w:rPr>
        <w:t xml:space="preserve">zostaną przekazane Wykonawcy po podpisaniu umowy. </w:t>
      </w:r>
    </w:p>
    <w:p w:rsidR="005F58A6" w:rsidRPr="00D372E7" w:rsidRDefault="005F58A6" w:rsidP="000B7B4C">
      <w:pPr>
        <w:pStyle w:val="dtn"/>
        <w:spacing w:before="0" w:beforeAutospacing="0" w:after="0" w:afterAutospacing="0"/>
        <w:ind w:left="928"/>
        <w:jc w:val="both"/>
        <w:textAlignment w:val="baseline"/>
        <w:rPr>
          <w:rFonts w:asciiTheme="minorHAnsi" w:hAnsiTheme="minorHAnsi" w:cstheme="minorHAnsi"/>
        </w:rPr>
      </w:pPr>
    </w:p>
    <w:p w:rsidR="00D372E7" w:rsidRPr="005F58A6" w:rsidRDefault="00D372E7" w:rsidP="000B7B4C">
      <w:pPr>
        <w:pStyle w:val="dtn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D372E7">
        <w:rPr>
          <w:rFonts w:asciiTheme="minorHAnsi" w:hAnsiTheme="minorHAnsi" w:cstheme="minorHAnsi"/>
        </w:rPr>
        <w:t>Progra</w:t>
      </w:r>
      <w:r w:rsidR="0002686A">
        <w:rPr>
          <w:rFonts w:asciiTheme="minorHAnsi" w:hAnsiTheme="minorHAnsi" w:cstheme="minorHAnsi"/>
        </w:rPr>
        <w:t xml:space="preserve">m PFU należy wykonać zgodnie z </w:t>
      </w:r>
      <w:r w:rsidR="000B7B4C">
        <w:rPr>
          <w:rFonts w:asciiTheme="minorHAnsi" w:hAnsiTheme="minorHAnsi" w:cstheme="minorHAnsi"/>
          <w:i/>
        </w:rPr>
        <w:t xml:space="preserve">Rozporządzeniem Ministra Rozwoju </w:t>
      </w:r>
      <w:r w:rsidR="008A6CF7">
        <w:rPr>
          <w:rFonts w:asciiTheme="minorHAnsi" w:hAnsiTheme="minorHAnsi" w:cstheme="minorHAnsi"/>
          <w:i/>
        </w:rPr>
        <w:t xml:space="preserve">                     </w:t>
      </w:r>
      <w:r w:rsidR="000B7B4C">
        <w:rPr>
          <w:rFonts w:asciiTheme="minorHAnsi" w:hAnsiTheme="minorHAnsi" w:cstheme="minorHAnsi"/>
          <w:i/>
        </w:rPr>
        <w:t xml:space="preserve">i Technologii </w:t>
      </w:r>
      <w:r w:rsidR="008A6CF7">
        <w:rPr>
          <w:rFonts w:asciiTheme="minorHAnsi" w:hAnsiTheme="minorHAnsi" w:cstheme="minorHAnsi"/>
          <w:i/>
        </w:rPr>
        <w:t xml:space="preserve"> z dnia 20 grudnia 2021r. w sprawie szczegółowego zakresu </w:t>
      </w:r>
      <w:r w:rsidR="008A6CF7" w:rsidRPr="008A6CF7">
        <w:rPr>
          <w:rFonts w:asciiTheme="minorHAnsi" w:hAnsiTheme="minorHAnsi" w:cstheme="minorHAnsi"/>
          <w:bCs/>
          <w:i/>
          <w:color w:val="000000"/>
        </w:rPr>
        <w:t>i formy dokumentacji projektowej, specyfikacji technicznych wykonania i odbioru robót</w:t>
      </w:r>
      <w:r w:rsidR="008A6CF7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8A6CF7" w:rsidRPr="008A6CF7">
        <w:rPr>
          <w:rFonts w:asciiTheme="minorHAnsi" w:hAnsiTheme="minorHAnsi" w:cstheme="minorHAnsi"/>
          <w:bCs/>
          <w:i/>
          <w:color w:val="000000"/>
        </w:rPr>
        <w:t>budowlanych oraz programu funkcjonalno-użytkowego ( Dz. U z 2021 r. poz. 2454).</w:t>
      </w:r>
      <w:r w:rsidRPr="00D372E7">
        <w:rPr>
          <w:rFonts w:asciiTheme="minorHAnsi" w:hAnsiTheme="minorHAnsi" w:cstheme="minorHAnsi"/>
          <w:bCs/>
          <w:color w:val="000000"/>
        </w:rPr>
        <w:t xml:space="preserve"> </w:t>
      </w:r>
    </w:p>
    <w:p w:rsidR="005F58A6" w:rsidRDefault="005F58A6" w:rsidP="000B7B4C">
      <w:pPr>
        <w:pStyle w:val="Akapitzlist"/>
        <w:jc w:val="both"/>
        <w:rPr>
          <w:rFonts w:cstheme="minorHAnsi"/>
          <w:b/>
          <w:bCs/>
          <w:color w:val="000000"/>
        </w:rPr>
      </w:pPr>
    </w:p>
    <w:p w:rsidR="005F58A6" w:rsidRPr="000B7B4C" w:rsidRDefault="009A376F" w:rsidP="005F58A6">
      <w:pPr>
        <w:pStyle w:val="Tekstpodstawowy"/>
        <w:numPr>
          <w:ilvl w:val="0"/>
          <w:numId w:val="5"/>
        </w:numPr>
        <w:spacing w:line="24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 w:rsidRPr="000B7B4C">
        <w:rPr>
          <w:rFonts w:asciiTheme="minorHAnsi" w:hAnsiTheme="minorHAnsi" w:cstheme="minorHAnsi"/>
          <w:bCs/>
          <w:color w:val="000000"/>
          <w:sz w:val="24"/>
          <w:u w:val="single"/>
        </w:rPr>
        <w:t xml:space="preserve">Należy uwzględnić wszystkie obowiązujące akty prawne </w:t>
      </w:r>
      <w:r w:rsidR="005F58A6" w:rsidRPr="000B7B4C">
        <w:rPr>
          <w:rFonts w:asciiTheme="minorHAnsi" w:hAnsiTheme="minorHAnsi" w:cstheme="minorHAnsi"/>
          <w:bCs/>
          <w:color w:val="000000"/>
          <w:sz w:val="24"/>
          <w:u w:val="single"/>
        </w:rPr>
        <w:t>a w szczególności</w:t>
      </w:r>
      <w:r w:rsidR="005F58A6" w:rsidRPr="000B7B4C">
        <w:rPr>
          <w:rFonts w:asciiTheme="minorHAnsi" w:hAnsiTheme="minorHAnsi" w:cstheme="minorHAnsi"/>
          <w:bCs/>
          <w:color w:val="000000"/>
        </w:rPr>
        <w:t xml:space="preserve"> :</w:t>
      </w:r>
    </w:p>
    <w:p w:rsidR="005F58A6" w:rsidRPr="000B7B4C" w:rsidRDefault="005F58A6" w:rsidP="000B7B4C">
      <w:pPr>
        <w:pStyle w:val="Tekstpodstawowy"/>
        <w:numPr>
          <w:ilvl w:val="0"/>
          <w:numId w:val="6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>Rozporządzenie Ministra Spraw Wewnętrznych z dnia 4 czerwca 2012 r. w sprawie pomieszczeń przeznaczonych dla osób zatrzymanych lub doprowadzonych w celu wytrzeźwienia, pokoi przejściowych, tymczasowych pomieszczeń przejściowych i policyjnych izb dziecka, regulaminu pobytu w tych pomieszczeniach, pokojach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 i izbach oraz sposobu postępowania z zapisami obrazu z tych pomieszczeń, pokoi i izb (Dz.U. 2012 poz. 638 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lastRenderedPageBreak/>
        <w:t>Rozporządzenie Ministra Spraw Wewnętrznych I Administracji z dnia 17 grudnia 2009 r. w sprawie wykazu wydzielonych pomieszczeń przeznaczonych dla osób zatrzymanych, w  których mogą być odrębnie umieszczeni tymczasowo aresztowani i skazani, oraz warunków, którym pomieszczenia te muszą odpowiadać (tekst jednolity Dz.U. 2017 poz. 896 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pacing w:val="-6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pacing w:val="-6"/>
          <w:sz w:val="24"/>
        </w:rPr>
        <w:t>Rozporządzenie Rady Ministrów z dnia 29 maja 2012 r. w sprawie środków bezpieczeństwa fizycznego stosowanych do zabezpieczania informacji niejawnych (Dz.U. 2012 poz. 683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>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Rozporządzenie Ministra Pracy i Polityki Socjalnej z dnia 26 września 1997 r. 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>w sprawie ogólnych przepisów bezpieczeństwa i higieny pracy (tekst jednolity Dz.U. 2003 nr 169 poz. 1650 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>Rozporządzenie Ministra Spraw Wewnętrznych z dnia 4 czerwca 2012 r. w sprawie pomieszczeń przeznaczonych dla osób zatrzymanych lub doprowadzonych w celu wytrzeźwienia, pokoi przejściowych, tymczasowych pomieszczeń przejściowych i policyjnych izb dziecka, regulaminu pobytu w tych pomieszczeniach, pokojach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 i izbach oraz sposobu postępowania z zapisami obrazu z tych pomieszczeń, pokoi i izb (Dz.U. 2012 poz. 638 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>Rozporządzenie Ministra Spraw Wewnętrznych I Administracji z dnia 17 grudnia 2009 r. w sprawie wykazu wydzielonych pomieszczeń przeznaczonych dla osób zatrzymanych, w  których mogą być odrębnie umieszczeni tymczasowo aresztowani i skazani, oraz warunków, którym pomieszczenia te muszą odpowiadać (tekst jednolity Dz.U. 2017 poz. 896 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pacing w:val="-6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pacing w:val="-6"/>
          <w:sz w:val="24"/>
        </w:rPr>
        <w:t>Rozporządzenie Rady Ministrów z dnia 29 maja 2012 r. w sprawie środków bezpieczeństwa fizycznego stosowanych do zabezpieczania informacji niejawnych (Dz.U. 2012 poz. 683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>ze zm.)</w:t>
      </w:r>
    </w:p>
    <w:p w:rsidR="005F58A6" w:rsidRPr="000B7B4C" w:rsidRDefault="005F58A6" w:rsidP="000B7B4C">
      <w:pPr>
        <w:pStyle w:val="Tekstpodstawowy"/>
        <w:numPr>
          <w:ilvl w:val="0"/>
          <w:numId w:val="11"/>
        </w:numPr>
        <w:spacing w:line="240" w:lineRule="auto"/>
        <w:ind w:left="1134" w:hanging="425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Rozporządzenie Ministra Pracy i Polityki Socjalnej z dnia 26 września 1997 r. 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>w sprawie ogólnych przepisów bezpieczeństwa i higieny pracy (tekst jednolity Dz.U. 2003 nr 169 poz. 1650 ze zm.)</w:t>
      </w:r>
    </w:p>
    <w:p w:rsidR="005F58A6" w:rsidRPr="000B7B4C" w:rsidRDefault="005F58A6" w:rsidP="005F58A6">
      <w:pPr>
        <w:pStyle w:val="Nagwek2"/>
        <w:numPr>
          <w:ilvl w:val="0"/>
          <w:numId w:val="0"/>
        </w:numPr>
        <w:spacing w:line="240" w:lineRule="auto"/>
        <w:ind w:left="454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Toc98933560"/>
      <w:bookmarkStart w:id="2" w:name="_Toc112666796"/>
      <w:r w:rsidRPr="000B7B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przepisy resortowe</w:t>
      </w:r>
      <w:bookmarkEnd w:id="1"/>
      <w:bookmarkEnd w:id="2"/>
    </w:p>
    <w:p w:rsidR="005F58A6" w:rsidRPr="000B7B4C" w:rsidRDefault="005F58A6" w:rsidP="000B7B4C">
      <w:pPr>
        <w:pStyle w:val="Tekstpodstawowy"/>
        <w:numPr>
          <w:ilvl w:val="0"/>
          <w:numId w:val="10"/>
        </w:numPr>
        <w:spacing w:line="240" w:lineRule="auto"/>
        <w:ind w:left="1134" w:hanging="567"/>
        <w:rPr>
          <w:rFonts w:asciiTheme="minorHAnsi" w:hAnsiTheme="minorHAnsi" w:cstheme="minorHAnsi"/>
          <w:color w:val="000000" w:themeColor="text1"/>
          <w:spacing w:val="-4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pacing w:val="-4"/>
          <w:sz w:val="24"/>
        </w:rPr>
        <w:t>Wytyczne nr 3 Komendanta Głównego Policji z dnia 30 lipca 2013 r. w sprawie standardów technicznych, funkcjonalnych i użytkowych obowiązujących w obiektach służbowych Policji</w:t>
      </w:r>
    </w:p>
    <w:p w:rsidR="005F58A6" w:rsidRPr="000B7B4C" w:rsidRDefault="005F58A6" w:rsidP="000B7B4C">
      <w:pPr>
        <w:pStyle w:val="Tekstpodstawowy"/>
        <w:numPr>
          <w:ilvl w:val="0"/>
          <w:numId w:val="10"/>
        </w:numPr>
        <w:spacing w:line="240" w:lineRule="auto"/>
        <w:ind w:left="1134" w:hanging="567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>Wymagania dotyczące standardów technicznych, użytkowych oraz bezpieczeństwa, stosowanych w Policji w zakresie informatyki i łączności – styczeń 2020</w:t>
      </w:r>
    </w:p>
    <w:p w:rsidR="005F58A6" w:rsidRPr="000B7B4C" w:rsidRDefault="005F58A6" w:rsidP="000B7B4C">
      <w:pPr>
        <w:pStyle w:val="Tekstpodstawowy"/>
        <w:numPr>
          <w:ilvl w:val="0"/>
          <w:numId w:val="10"/>
        </w:numPr>
        <w:spacing w:line="240" w:lineRule="auto"/>
        <w:ind w:left="1134" w:hanging="567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Zarządzenie nr 2020 Komendanta Głównego Policji z dnia 30 grudnia 2010 r. 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 xml:space="preserve">w sprawie szczególnego sposobu organizacji i funkcjonowania kancelarii tajnych </w:t>
      </w:r>
      <w:r w:rsidR="000B7B4C">
        <w:rPr>
          <w:rFonts w:asciiTheme="minorHAnsi" w:hAnsiTheme="minorHAnsi" w:cstheme="minorHAnsi"/>
          <w:color w:val="000000" w:themeColor="text1"/>
          <w:sz w:val="24"/>
        </w:rPr>
        <w:t xml:space="preserve">             </w:t>
      </w:r>
      <w:r w:rsidRPr="000B7B4C">
        <w:rPr>
          <w:rFonts w:asciiTheme="minorHAnsi" w:hAnsiTheme="minorHAnsi" w:cstheme="minorHAnsi"/>
          <w:color w:val="000000" w:themeColor="text1"/>
          <w:sz w:val="24"/>
        </w:rPr>
        <w:t>i innych niż kancelaria tajna komórek organizacyjnych odpowiedzialnych za przetwarzanie materiałów niejawnych, sposobu i trybu przetwarzania informacji niejawnych oraz doboru i stosowania środków bezpieczeństwa fizycznego informacji niejawnych w Policji wraz z późniejszymi zmianami (zarządzenie nr 132 KGP z 5.10.2012; zarządzenie nr 42 KGP z 6.10.2014r.; zarządzenie nr 18 KGP z dnia 27.01.2018r.)</w:t>
      </w:r>
    </w:p>
    <w:p w:rsidR="005F58A6" w:rsidRPr="000B7B4C" w:rsidRDefault="005F58A6" w:rsidP="000B7B4C">
      <w:pPr>
        <w:pStyle w:val="Tekstpodstawowy"/>
        <w:numPr>
          <w:ilvl w:val="0"/>
          <w:numId w:val="10"/>
        </w:numPr>
        <w:spacing w:line="240" w:lineRule="auto"/>
        <w:ind w:left="1134" w:hanging="567"/>
        <w:rPr>
          <w:rFonts w:asciiTheme="minorHAnsi" w:hAnsiTheme="minorHAnsi" w:cstheme="minorHAnsi"/>
          <w:color w:val="000000" w:themeColor="text1"/>
          <w:sz w:val="24"/>
        </w:rPr>
      </w:pPr>
      <w:r w:rsidRPr="000B7B4C">
        <w:rPr>
          <w:rFonts w:asciiTheme="minorHAnsi" w:hAnsiTheme="minorHAnsi" w:cstheme="minorHAnsi"/>
          <w:color w:val="000000" w:themeColor="text1"/>
          <w:sz w:val="24"/>
        </w:rPr>
        <w:t>Księga znaku i elementów identyfikacji wizualnej Komend i Komisariatów Policji - Ministerstwo Spraw Wewnętrznych, Komenda Główna Policji (Czerwiec 2013).</w:t>
      </w:r>
    </w:p>
    <w:sectPr w:rsidR="005F58A6" w:rsidRPr="000B7B4C" w:rsidSect="009A5A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Black">
    <w:altName w:val="MS Mincho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A36"/>
    <w:multiLevelType w:val="hybridMultilevel"/>
    <w:tmpl w:val="D12E4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EA7"/>
    <w:multiLevelType w:val="hybridMultilevel"/>
    <w:tmpl w:val="BB58CCC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41CC7"/>
    <w:multiLevelType w:val="hybridMultilevel"/>
    <w:tmpl w:val="BA1C60D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533"/>
    <w:multiLevelType w:val="hybridMultilevel"/>
    <w:tmpl w:val="F636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B1B38"/>
    <w:multiLevelType w:val="multilevel"/>
    <w:tmpl w:val="BAF8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0590C30"/>
    <w:multiLevelType w:val="hybridMultilevel"/>
    <w:tmpl w:val="588A16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DE77A9"/>
    <w:multiLevelType w:val="hybridMultilevel"/>
    <w:tmpl w:val="E832683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1A48"/>
    <w:multiLevelType w:val="hybridMultilevel"/>
    <w:tmpl w:val="EDA2E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27559"/>
    <w:multiLevelType w:val="multilevel"/>
    <w:tmpl w:val="3730AF66"/>
    <w:lvl w:ilvl="0">
      <w:start w:val="1"/>
      <w:numFmt w:val="none"/>
      <w:pStyle w:val="Nagwek1"/>
      <w:suff w:val="nothing"/>
      <w:lvlText w:val="."/>
      <w:lvlJc w:val="left"/>
      <w:pPr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21"/>
        </w:tabs>
        <w:ind w:left="1021" w:hanging="567"/>
      </w:pPr>
      <w:rPr>
        <w:b w:val="0"/>
        <w:i w:val="0"/>
        <w:sz w:val="22"/>
        <w:szCs w:val="22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0F83D54"/>
    <w:multiLevelType w:val="hybridMultilevel"/>
    <w:tmpl w:val="3508CF1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7E96"/>
    <w:multiLevelType w:val="hybridMultilevel"/>
    <w:tmpl w:val="42BA6950"/>
    <w:lvl w:ilvl="0" w:tplc="F8928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5A"/>
    <w:rsid w:val="0002686A"/>
    <w:rsid w:val="00041153"/>
    <w:rsid w:val="00055B98"/>
    <w:rsid w:val="000B7B4C"/>
    <w:rsid w:val="001349EA"/>
    <w:rsid w:val="00196A62"/>
    <w:rsid w:val="001A32EE"/>
    <w:rsid w:val="001D1E9C"/>
    <w:rsid w:val="00210A4D"/>
    <w:rsid w:val="00235A4C"/>
    <w:rsid w:val="002D210F"/>
    <w:rsid w:val="00346266"/>
    <w:rsid w:val="0037208E"/>
    <w:rsid w:val="00392F12"/>
    <w:rsid w:val="003B2E8F"/>
    <w:rsid w:val="004048B6"/>
    <w:rsid w:val="00454FE7"/>
    <w:rsid w:val="0056595A"/>
    <w:rsid w:val="005C3DD6"/>
    <w:rsid w:val="005F58A6"/>
    <w:rsid w:val="005F64D1"/>
    <w:rsid w:val="006875D7"/>
    <w:rsid w:val="006C0BF0"/>
    <w:rsid w:val="006F1C51"/>
    <w:rsid w:val="0074314D"/>
    <w:rsid w:val="007930F0"/>
    <w:rsid w:val="007E796A"/>
    <w:rsid w:val="007F1D3E"/>
    <w:rsid w:val="00803AE3"/>
    <w:rsid w:val="00845839"/>
    <w:rsid w:val="008609AF"/>
    <w:rsid w:val="008A2F9E"/>
    <w:rsid w:val="008A6CF7"/>
    <w:rsid w:val="0091520C"/>
    <w:rsid w:val="009A376F"/>
    <w:rsid w:val="009A5A5A"/>
    <w:rsid w:val="009D484F"/>
    <w:rsid w:val="00A0569B"/>
    <w:rsid w:val="00A11673"/>
    <w:rsid w:val="00A256F6"/>
    <w:rsid w:val="00B1333F"/>
    <w:rsid w:val="00B43D87"/>
    <w:rsid w:val="00C73BB8"/>
    <w:rsid w:val="00CB26F7"/>
    <w:rsid w:val="00CB4642"/>
    <w:rsid w:val="00CC678D"/>
    <w:rsid w:val="00D372E7"/>
    <w:rsid w:val="00E32063"/>
    <w:rsid w:val="00E57E19"/>
    <w:rsid w:val="00E64DA5"/>
    <w:rsid w:val="00E84368"/>
    <w:rsid w:val="00F029B5"/>
    <w:rsid w:val="00F123BB"/>
    <w:rsid w:val="00F67280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90B2-C2DA-4970-BE26-BCD8AC6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58A6"/>
    <w:pPr>
      <w:keepNext/>
      <w:numPr>
        <w:numId w:val="7"/>
      </w:numPr>
      <w:spacing w:before="240" w:after="240" w:line="276" w:lineRule="auto"/>
      <w:jc w:val="both"/>
      <w:outlineLvl w:val="0"/>
    </w:pPr>
    <w:rPr>
      <w:rFonts w:ascii="Century Gothic" w:eastAsia="Times New Roman" w:hAnsi="Century Gothic" w:cs="Times New Roman"/>
      <w:b/>
      <w:kern w:val="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58A6"/>
    <w:pPr>
      <w:keepNext/>
      <w:numPr>
        <w:ilvl w:val="1"/>
        <w:numId w:val="7"/>
      </w:numPr>
      <w:spacing w:before="240" w:after="60" w:line="276" w:lineRule="auto"/>
      <w:jc w:val="both"/>
      <w:outlineLvl w:val="1"/>
    </w:pPr>
    <w:rPr>
      <w:rFonts w:ascii="Arial" w:eastAsia="Times New Roman" w:hAnsi="Arial" w:cs="Arial"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8A6"/>
    <w:pPr>
      <w:keepNext/>
      <w:numPr>
        <w:ilvl w:val="2"/>
        <w:numId w:val="7"/>
      </w:numPr>
      <w:spacing w:before="238" w:after="227" w:line="276" w:lineRule="auto"/>
      <w:jc w:val="both"/>
      <w:outlineLvl w:val="2"/>
    </w:pPr>
    <w:rPr>
      <w:rFonts w:ascii="Arial" w:eastAsia="Times New Roman" w:hAnsi="Arial" w:cs="Arial"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84F"/>
    <w:pPr>
      <w:ind w:left="720"/>
      <w:contextualSpacing/>
    </w:pPr>
  </w:style>
  <w:style w:type="paragraph" w:customStyle="1" w:styleId="dtn">
    <w:name w:val="dtn"/>
    <w:basedOn w:val="Normalny"/>
    <w:rsid w:val="001D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1D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1D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8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376F"/>
    <w:rPr>
      <w:color w:val="0000FF"/>
      <w:u w:val="single"/>
    </w:rPr>
  </w:style>
  <w:style w:type="character" w:customStyle="1" w:styleId="vuuxrf">
    <w:name w:val="vuuxrf"/>
    <w:basedOn w:val="Domylnaczcionkaakapitu"/>
    <w:rsid w:val="009A376F"/>
  </w:style>
  <w:style w:type="character" w:styleId="HTML-cytat">
    <w:name w:val="HTML Cite"/>
    <w:basedOn w:val="Domylnaczcionkaakapitu"/>
    <w:uiPriority w:val="99"/>
    <w:semiHidden/>
    <w:unhideWhenUsed/>
    <w:rsid w:val="009A376F"/>
    <w:rPr>
      <w:i/>
      <w:iCs/>
    </w:rPr>
  </w:style>
  <w:style w:type="character" w:customStyle="1" w:styleId="dyjrff">
    <w:name w:val="dyjrff"/>
    <w:basedOn w:val="Domylnaczcionkaakapitu"/>
    <w:rsid w:val="009A376F"/>
  </w:style>
  <w:style w:type="character" w:styleId="Uwydatnienie">
    <w:name w:val="Emphasis"/>
    <w:basedOn w:val="Domylnaczcionkaakapitu"/>
    <w:uiPriority w:val="20"/>
    <w:qFormat/>
    <w:rsid w:val="009A376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5F58A6"/>
    <w:rPr>
      <w:rFonts w:ascii="Century Gothic" w:hAnsi="Century Gothic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58A6"/>
    <w:pPr>
      <w:spacing w:before="57" w:after="0" w:line="276" w:lineRule="auto"/>
      <w:jc w:val="both"/>
    </w:pPr>
    <w:rPr>
      <w:rFonts w:ascii="Century Gothic" w:hAnsi="Century Gothic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F58A6"/>
  </w:style>
  <w:style w:type="character" w:customStyle="1" w:styleId="Nagwek1Znak">
    <w:name w:val="Nagłówek 1 Znak"/>
    <w:basedOn w:val="Domylnaczcionkaakapitu"/>
    <w:link w:val="Nagwek1"/>
    <w:rsid w:val="005F58A6"/>
    <w:rPr>
      <w:rFonts w:ascii="Century Gothic" w:eastAsia="Times New Roman" w:hAnsi="Century Gothic" w:cs="Times New Roman"/>
      <w:b/>
      <w:kern w:val="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F58A6"/>
    <w:rPr>
      <w:rFonts w:ascii="Arial" w:eastAsia="Times New Roman" w:hAnsi="Arial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8A6"/>
    <w:rPr>
      <w:rFonts w:ascii="Arial" w:eastAsia="Times New Roman" w:hAnsi="Arial" w:cs="Arial"/>
      <w:bCs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DorotaKowalska</dc:creator>
  <cp:keywords/>
  <dc:description/>
  <cp:lastModifiedBy>DOROTA KOWALSKA</cp:lastModifiedBy>
  <cp:revision>11</cp:revision>
  <cp:lastPrinted>2023-08-31T11:25:00Z</cp:lastPrinted>
  <dcterms:created xsi:type="dcterms:W3CDTF">2023-07-28T09:20:00Z</dcterms:created>
  <dcterms:modified xsi:type="dcterms:W3CDTF">2023-09-01T07:01:00Z</dcterms:modified>
</cp:coreProperties>
</file>