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69" w:rsidRDefault="00084769" w:rsidP="00084769">
      <w:pPr>
        <w:jc w:val="right"/>
        <w:rPr>
          <w:rStyle w:val="fontstyle01"/>
        </w:rPr>
      </w:pPr>
      <w:r>
        <w:rPr>
          <w:rStyle w:val="fontstyle01"/>
        </w:rPr>
        <w:t xml:space="preserve"> </w:t>
      </w:r>
    </w:p>
    <w:p w:rsidR="00084769" w:rsidRDefault="00084769" w:rsidP="00084769">
      <w:pPr>
        <w:jc w:val="center"/>
        <w:rPr>
          <w:rStyle w:val="fontstyle01"/>
        </w:rPr>
      </w:pPr>
      <w:r>
        <w:rPr>
          <w:rStyle w:val="fontstyle01"/>
        </w:rPr>
        <w:t>KOSZTORYS OFERTOWY</w:t>
      </w:r>
    </w:p>
    <w:p w:rsidR="00084769" w:rsidRDefault="00084769" w:rsidP="00084769">
      <w:pPr>
        <w:jc w:val="center"/>
        <w:rPr>
          <w:rStyle w:val="fontstyle01"/>
        </w:rPr>
      </w:pPr>
    </w:p>
    <w:p w:rsidR="00084769" w:rsidRDefault="00084769" w:rsidP="00084769">
      <w:pPr>
        <w:jc w:val="center"/>
        <w:rPr>
          <w:rStyle w:val="fontstyle01"/>
        </w:rPr>
      </w:pPr>
      <w:r>
        <w:rPr>
          <w:rStyle w:val="fontstyle01"/>
        </w:rPr>
        <w:t>Remont drogi powiatowej Nr 0757T Gierlachów - Kamień</w:t>
      </w:r>
      <w:r>
        <w:rPr>
          <w:rStyle w:val="fontstyle21"/>
        </w:rPr>
        <w:t xml:space="preserve"> </w:t>
      </w:r>
      <w:r>
        <w:rPr>
          <w:rStyle w:val="fontstyle01"/>
        </w:rPr>
        <w:t>Nowy w miejscowościach Gierlachów i Kamień</w:t>
      </w:r>
      <w:r>
        <w:rPr>
          <w:rStyle w:val="fontstyle21"/>
        </w:rPr>
        <w:t xml:space="preserve"> </w:t>
      </w:r>
      <w:r>
        <w:rPr>
          <w:rStyle w:val="fontstyle01"/>
        </w:rPr>
        <w:t>Nowy od km 0+125,00 do 1+643,00</w:t>
      </w:r>
    </w:p>
    <w:p w:rsidR="00084769" w:rsidRDefault="00084769"/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592"/>
        <w:gridCol w:w="985"/>
        <w:gridCol w:w="1825"/>
        <w:gridCol w:w="1530"/>
        <w:gridCol w:w="591"/>
        <w:gridCol w:w="1183"/>
        <w:gridCol w:w="1183"/>
        <w:gridCol w:w="1183"/>
      </w:tblGrid>
      <w:tr w:rsidR="007E2E1E" w:rsidTr="00084769">
        <w:trPr>
          <w:tblCellSpacing w:w="0" w:type="dxa"/>
        </w:trPr>
        <w:tc>
          <w:tcPr>
            <w:tcW w:w="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równinnym. Wyznaczenie pasa drogowego.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krzaków i podszycia ilości sztuk krzaków 3000/ha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Zdjęcie tarcz znaków drogowych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D-01.03.02.25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słupków do znaków drogowych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do 15 cm wraz z karczowaniem pni oraz wywiezieniem dłużyc, gałęzi i karpiny 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16-35 cm wraz z karczowaniem pni oraz wywiezieniem dłużyc, gałęzi i karpiny 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36-45 cm wraz z karczowaniem pni oraz wywiezieniem dłużyc, gałęzi i karpiny 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 66-75 cm wraz z karczowaniem pni oraz wywiezieniem dłużyc, gałęzi i karpiny 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pni o średnicy 85 cm z wywiezieniem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10 cm, wraz z odwiezieniem ścinki na odkład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3 643,20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umocnienia rowów z płytek betonowych, ułożonych na podsypce cementowo - piaskowej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części przelotowej przepustów z rur betonowych o średnicy 60 cm z uprzednim odkopaniem przepustów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części przelotowej przepustów z rur betonowych o średnicy 80 cm z uprzednim odkopaniem przepustów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ścianek czołowych i ław fundamentowych przepustów z betonu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 z mieszanek mineralno-bitumicznych, grubość nawierzchni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D-06.04.02-02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przepustów rurowych o średnicy 60 cm z namułu, grubość namułu do 65% jego średnicy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oraz przekopy wykonywane mechanicznie z wywozem na odkład w gruncie kat. III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jamiste wykonywane mechanicznie na odkład w gruncie kat. III, głębokość wykopu do 3 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D-01.03.02.19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obrzeży betonowych z wywiezieniem materiałów z rozbiórki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krawężników betonowych, ułożonych na podsypce cementowo-piaskowej wraz z ławą betonową z wywiezieniem materiałów z rozbiórki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1 0214-0201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Zasypanie wykopów podłużnych z zagęszczeniem warstwami grub.30 cm. Grunt kat.III-IV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nasypów mechanicznie z gruntu kat. III-IV z transportem urobku na nasyp samochodami na odl. do 1 km wraz z formowaniem i zagęszczeniem nasypu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 prostych ścianek czołowych żelbetowych z betonu C25/30 Mpa dla przepustów fi 60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 prostych ścianek czołowych żelbetowych z betonu C25/30 Mpa dla przepustów fi 80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części przelotowej przepustów drogowych z rur PP SN8 fi 60 mm na podsypce z piasku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części przelotowej przepustów drogowych z rur PP SN8 fi 80 mm na podsypce z piasku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 z prefabrykowanych elementów żelbetonowych o wymiarach 58x60x50 cm o masie 158kg szt. przy szerokości korytka 0,50m na ławie z chudego betonu o grubości 15cm. Rys nr 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 z prefabrykowanych elementów żelbetonowych o wymiarach 72x73x50 cm o masie 225kg szt. przy szerokości korytka 0,50m na ławie z chudego betonu o grubości 15cm. Rys nr 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dna rowów i ścieków płytami prefabrykowanymi żelbetowymi, otworowymi o grubości 12cm, ułożonymi na podsypce z chudego betonu o grubości 15cm, spoiny wypełnione zaprawą cementową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betonowymi płytami ażurowymi o grubości 10 cm na podsypce cementowo - piaskowej o grubości 10cm.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skarpy rowu drogową płytą żelbetową 3,0m x1,0m x 0,15 na podsypce cementowo - piaskowej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D-08.01.01-02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krawężników betonowych o wymiarach 15x30 cm wraz z wykonaniem ławy z oporem z betonu C8/10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D-08.03.01-02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obrzeży betonowych o wymiarach 30x8 cm na podsypce cementowo-piaskowej, spoiny wypełnione zaprawą cementową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istniejącej nawierzchni z kostki brukowej o grubości 8 cm, wraz z profilowaniem podłoża mieszanką kamienna do 10 cm, spoiny wypełnione piaskiem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2 cm, odwiezienie urobku na plac składowania na odl. do 15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 asfaltowych na zimno: średnia grub. warstwy 8 cm, odwiezienie urobku na plac składowania na odl. do 15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ulepszonego podłoża z gruntu lub kruszywa stabilizowanego cementem o wytrzymałości Rm=1,5-2,5 MPa, pielęgnacja podbudowy przez posypanie piaskiem i polewanie wodą, grubość warstwy po 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0/63, w-wa górna, grubość warstwy po 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 nawierzchni bitumicznej warstwą profilującą z betonu asfaltowego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 AC 16 W,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 z betonu asfaltowego AC 11 S dla KR2,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8 720,54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2 915,00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zjazdy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1 413,00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pobocza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1 193,50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D-05.03.04-04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nawierzchni betonowej, warstwa górna grubości 15 cm, beton C35/45 (B-35)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1 506,50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 dla zaworów wodociągowych lub gazowych, nadbudowa wykonana betonem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barier ochronnych stalowych jednostronnych - bezprzekładkowych (SP-04/4) o masie 17 kg/m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Przestawienie istniejącej bariery ochronnej stalowej jednostronnej - bezprzekładkowych (SP-04/4) o masie 17 kg/m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słupów z rur stalowych fi 60 mm dla znaków drogowych, wraz z wykonaniem i zasypaniem dołów z ubiciem warstwami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ostrzegawczych typ A (trójkątny o boku 900 mm), folia odblaskowa 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znaków zakazu typ B oraz znaków nakazu typ C (okrągły fi 800 mm), folia odblaskowa 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informacyjnych typ D (prostokątny 600x750 mm), folia odblaskowa 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słupków znaków informacyjnych typ D (prostokątny 1200x530 mm), folia odblaskowa 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tabliczek do znaków drogowych, typ T, folia odblaskowa 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D-07.02.15-06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tablic drogowskazowych - znaków typ E- 17a ( Kamień Nowy, Gierlachów) jednostronnych, folia odblaskowa I generacji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1E5AEF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E1E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 słupów lustra drogowego U-18a fi 800mm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E1E" w:rsidRDefault="007E2E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Wartość kosztorysu:</w:t>
            </w: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 w:rsidP="000847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Podatek VAT (VAT) = …….%WK</w:t>
            </w: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 w:rsidP="000847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końcowa kosztorysu:</w:t>
            </w:r>
          </w:p>
        </w:tc>
      </w:tr>
    </w:tbl>
    <w:p w:rsidR="00AB5D45" w:rsidRDefault="00AB5D45">
      <w:pPr>
        <w:rPr>
          <w:rFonts w:eastAsia="Times New Roman"/>
        </w:rPr>
      </w:pPr>
    </w:p>
    <w:sectPr w:rsidR="00AB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9"/>
    <w:rsid w:val="00084769"/>
    <w:rsid w:val="001E5AEF"/>
    <w:rsid w:val="004E6488"/>
    <w:rsid w:val="00534809"/>
    <w:rsid w:val="007E2E1E"/>
    <w:rsid w:val="00A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5DAB-5FE1-4CDC-8EBD-B960523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style0">
    <w:name w:val="style0"/>
    <w:basedOn w:val="Normalny"/>
    <w:uiPriority w:val="99"/>
    <w:semiHidden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character" w:customStyle="1" w:styleId="fontstyle01">
    <w:name w:val="fontstyle01"/>
    <w:basedOn w:val="Domylnaczcionkaakapitu"/>
    <w:rsid w:val="00084769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8476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Gierlachów 2</vt:lpstr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Gierlachów 2</dc:title>
  <dc:subject/>
  <dc:creator>oOo</dc:creator>
  <cp:keywords/>
  <dc:description/>
  <cp:lastModifiedBy>DELL</cp:lastModifiedBy>
  <cp:revision>3</cp:revision>
  <dcterms:created xsi:type="dcterms:W3CDTF">2022-03-07T07:55:00Z</dcterms:created>
  <dcterms:modified xsi:type="dcterms:W3CDTF">2022-03-07T07:55:00Z</dcterms:modified>
</cp:coreProperties>
</file>