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96" w:rsidRPr="00592F96" w:rsidRDefault="00592F96" w:rsidP="00592F96">
      <w:pPr>
        <w:tabs>
          <w:tab w:val="left" w:pos="284"/>
        </w:tabs>
        <w:spacing w:before="60" w:line="288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Z</w:t>
      </w:r>
      <w:r w:rsidRPr="00592F96">
        <w:rPr>
          <w:rFonts w:asciiTheme="majorHAnsi" w:hAnsiTheme="majorHAnsi" w:cs="Times New Roman"/>
          <w:b/>
          <w:sz w:val="20"/>
          <w:szCs w:val="20"/>
        </w:rPr>
        <w:t>ałącznik nr 1</w:t>
      </w:r>
      <w:r>
        <w:rPr>
          <w:rFonts w:asciiTheme="majorHAnsi" w:hAnsiTheme="majorHAnsi" w:cs="Times New Roman"/>
          <w:b/>
          <w:sz w:val="20"/>
          <w:szCs w:val="20"/>
        </w:rPr>
        <w:t>a</w:t>
      </w:r>
      <w:r w:rsidRPr="00592F96">
        <w:rPr>
          <w:rFonts w:asciiTheme="majorHAnsi" w:hAnsiTheme="majorHAnsi" w:cs="Times New Roman"/>
          <w:b/>
          <w:sz w:val="20"/>
          <w:szCs w:val="20"/>
        </w:rPr>
        <w:t xml:space="preserve"> do SWZ</w:t>
      </w:r>
    </w:p>
    <w:p w:rsidR="00592F96" w:rsidRPr="00592F96" w:rsidRDefault="00592F96" w:rsidP="0069529D">
      <w:pPr>
        <w:tabs>
          <w:tab w:val="left" w:pos="284"/>
        </w:tabs>
        <w:spacing w:before="6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592F96">
        <w:rPr>
          <w:rFonts w:asciiTheme="majorHAnsi" w:hAnsiTheme="majorHAnsi" w:cs="Times New Roman"/>
          <w:b/>
          <w:sz w:val="20"/>
          <w:szCs w:val="20"/>
        </w:rPr>
        <w:t>Aparat ultrasonograficzny TYP 1</w:t>
      </w:r>
    </w:p>
    <w:p w:rsidR="0069529D" w:rsidRPr="0069529D" w:rsidRDefault="0069529D" w:rsidP="0069529D">
      <w:pPr>
        <w:tabs>
          <w:tab w:val="left" w:pos="284"/>
        </w:tabs>
        <w:spacing w:before="60" w:line="288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9529D">
        <w:rPr>
          <w:rFonts w:asciiTheme="majorHAnsi" w:hAnsiTheme="majorHAnsi" w:cs="Times New Roman"/>
          <w:sz w:val="20"/>
          <w:szCs w:val="20"/>
        </w:rPr>
        <w:t>Cena brutto aparatu USG - …………</w:t>
      </w:r>
      <w:r w:rsidR="00592F96">
        <w:rPr>
          <w:rFonts w:asciiTheme="majorHAnsi" w:hAnsiTheme="majorHAnsi" w:cs="Times New Roman"/>
          <w:sz w:val="20"/>
          <w:szCs w:val="20"/>
        </w:rPr>
        <w:t>………</w:t>
      </w:r>
      <w:r w:rsidRPr="0069529D">
        <w:rPr>
          <w:rFonts w:asciiTheme="majorHAnsi" w:hAnsiTheme="majorHAnsi" w:cs="Times New Roman"/>
          <w:sz w:val="20"/>
          <w:szCs w:val="20"/>
        </w:rPr>
        <w:t>…………. (słownie: …………………………………</w:t>
      </w:r>
      <w:r w:rsidR="00592F96">
        <w:rPr>
          <w:rFonts w:asciiTheme="majorHAnsi" w:hAnsiTheme="majorHAnsi" w:cs="Times New Roman"/>
          <w:sz w:val="20"/>
          <w:szCs w:val="20"/>
        </w:rPr>
        <w:t>…………………..</w:t>
      </w:r>
      <w:r w:rsidRPr="0069529D">
        <w:rPr>
          <w:rFonts w:asciiTheme="majorHAnsi" w:hAnsiTheme="majorHAnsi" w:cs="Times New Roman"/>
          <w:sz w:val="20"/>
          <w:szCs w:val="20"/>
        </w:rPr>
        <w:t>………………………………….)</w:t>
      </w:r>
    </w:p>
    <w:p w:rsidR="0069529D" w:rsidRPr="0069529D" w:rsidRDefault="0069529D" w:rsidP="0069529D">
      <w:pPr>
        <w:widowControl w:val="0"/>
        <w:spacing w:line="288" w:lineRule="auto"/>
        <w:rPr>
          <w:rFonts w:asciiTheme="majorHAnsi" w:eastAsia="Arial Unicode MS" w:hAnsiTheme="majorHAnsi" w:cs="Times New Roman"/>
          <w:b/>
          <w:bCs/>
          <w:kern w:val="1"/>
          <w:sz w:val="18"/>
          <w:szCs w:val="18"/>
          <w:lang w:eastAsia="hi-IN" w:bidi="hi-IN"/>
        </w:rPr>
      </w:pPr>
      <w:r w:rsidRPr="0069529D">
        <w:rPr>
          <w:rFonts w:asciiTheme="majorHAnsi" w:hAnsiTheme="majorHAnsi" w:cs="Times New Roman"/>
          <w:b/>
          <w:bCs/>
          <w:color w:val="000000"/>
          <w:sz w:val="18"/>
          <w:szCs w:val="18"/>
        </w:rPr>
        <w:t>Nazwa oferowanego urządzenia:</w:t>
      </w:r>
      <w:r w:rsidRPr="0069529D">
        <w:rPr>
          <w:rFonts w:asciiTheme="majorHAnsi" w:hAnsiTheme="majorHAnsi" w:cs="Times New Roman"/>
          <w:color w:val="000000"/>
          <w:sz w:val="18"/>
          <w:szCs w:val="18"/>
        </w:rPr>
        <w:t xml:space="preserve"> ...........................</w:t>
      </w:r>
      <w:r w:rsidR="00592F96">
        <w:rPr>
          <w:rFonts w:asciiTheme="majorHAnsi" w:hAnsiTheme="majorHAnsi" w:cs="Times New Roman"/>
          <w:color w:val="000000"/>
          <w:sz w:val="18"/>
          <w:szCs w:val="18"/>
        </w:rPr>
        <w:t>.....................................</w:t>
      </w:r>
      <w:r w:rsidRPr="0069529D">
        <w:rPr>
          <w:rFonts w:asciiTheme="majorHAnsi" w:hAnsiTheme="majorHAnsi" w:cs="Times New Roman"/>
          <w:color w:val="000000"/>
          <w:sz w:val="18"/>
          <w:szCs w:val="18"/>
        </w:rPr>
        <w:t>..................</w:t>
      </w:r>
      <w:r w:rsidR="00592F96">
        <w:rPr>
          <w:rFonts w:asciiTheme="majorHAnsi" w:hAnsiTheme="majorHAnsi" w:cs="Times New Roman"/>
          <w:color w:val="000000"/>
          <w:sz w:val="18"/>
          <w:szCs w:val="18"/>
        </w:rPr>
        <w:t>..................</w:t>
      </w:r>
      <w:r w:rsidRPr="0069529D">
        <w:rPr>
          <w:rFonts w:asciiTheme="majorHAnsi" w:hAnsiTheme="majorHAnsi" w:cs="Times New Roman"/>
          <w:color w:val="000000"/>
          <w:sz w:val="18"/>
          <w:szCs w:val="18"/>
        </w:rPr>
        <w:t>.......................................</w:t>
      </w:r>
    </w:p>
    <w:p w:rsidR="0069529D" w:rsidRPr="0069529D" w:rsidRDefault="0069529D" w:rsidP="0069529D">
      <w:pPr>
        <w:pStyle w:val="western"/>
        <w:spacing w:before="0" w:beforeAutospacing="0" w:after="0" w:afterAutospacing="0" w:line="288" w:lineRule="auto"/>
        <w:rPr>
          <w:rFonts w:asciiTheme="majorHAnsi" w:hAnsiTheme="majorHAnsi"/>
          <w:i w:val="0"/>
          <w:iCs w:val="0"/>
          <w:sz w:val="18"/>
          <w:szCs w:val="18"/>
        </w:rPr>
      </w:pP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Typ: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 xml:space="preserve"> ........</w:t>
      </w:r>
      <w:r w:rsidR="00592F96">
        <w:rPr>
          <w:rFonts w:asciiTheme="majorHAnsi" w:hAnsiTheme="majorHAnsi"/>
          <w:i w:val="0"/>
          <w:iCs w:val="0"/>
          <w:sz w:val="18"/>
          <w:szCs w:val="18"/>
        </w:rPr>
        <w:t>.......................................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.....................</w:t>
      </w: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Model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: ...............</w:t>
      </w:r>
      <w:r w:rsidR="00592F96">
        <w:rPr>
          <w:rFonts w:asciiTheme="majorHAnsi" w:hAnsiTheme="majorHAnsi"/>
          <w:i w:val="0"/>
          <w:iCs w:val="0"/>
          <w:sz w:val="18"/>
          <w:szCs w:val="18"/>
        </w:rPr>
        <w:t>.......................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...............</w:t>
      </w: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Rok produkcji: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 xml:space="preserve"> ..............................</w:t>
      </w:r>
    </w:p>
    <w:p w:rsidR="0069529D" w:rsidRPr="0069529D" w:rsidRDefault="0069529D" w:rsidP="0069529D">
      <w:pPr>
        <w:pStyle w:val="western"/>
        <w:spacing w:before="0" w:beforeAutospacing="0" w:after="0" w:afterAutospacing="0" w:line="288" w:lineRule="auto"/>
        <w:rPr>
          <w:rFonts w:asciiTheme="majorHAnsi" w:hAnsiTheme="majorHAnsi"/>
          <w:i w:val="0"/>
          <w:iCs w:val="0"/>
          <w:sz w:val="18"/>
          <w:szCs w:val="18"/>
        </w:rPr>
      </w:pP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Producent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: ...................................................................................</w:t>
      </w:r>
      <w:r w:rsidR="00592F96">
        <w:rPr>
          <w:rFonts w:asciiTheme="majorHAnsi" w:hAnsiTheme="majorHAnsi"/>
          <w:i w:val="0"/>
          <w:iCs w:val="0"/>
          <w:sz w:val="18"/>
          <w:szCs w:val="18"/>
        </w:rPr>
        <w:t>....................................................................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....................................</w:t>
      </w:r>
    </w:p>
    <w:p w:rsidR="002D04F6" w:rsidRDefault="002D04F6"/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6237"/>
      </w:tblGrid>
      <w:tr w:rsidR="0069529D" w:rsidRPr="00520ED5" w:rsidTr="00592F96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9D" w:rsidRPr="00520ED5" w:rsidRDefault="0069529D" w:rsidP="0069529D">
            <w:p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9D" w:rsidRPr="00520ED5" w:rsidRDefault="0069529D" w:rsidP="0069529D">
            <w:p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Opis minimalnych wymaganych parametrów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9D" w:rsidRPr="00520ED5" w:rsidRDefault="0069529D" w:rsidP="0069529D">
            <w:p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lub zakres wartości oferowanych</w:t>
            </w:r>
          </w:p>
        </w:tc>
      </w:tr>
    </w:tbl>
    <w:tbl>
      <w:tblPr>
        <w:tblStyle w:val="Tabela-Siatka"/>
        <w:tblW w:w="14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43"/>
        <w:gridCol w:w="6237"/>
      </w:tblGrid>
      <w:tr w:rsidR="00E6156F" w:rsidRPr="00A5248A" w:rsidTr="00B03C15">
        <w:trPr>
          <w:trHeight w:val="265"/>
        </w:trPr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>JEDNOSTKA GŁOWNA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videoprinterem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B&amp;W sterowanymi z klawiatury.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Aparat fabrycznie nowy, rok produkcji 2022 dostarczony przez autoryzowanego dystrybutora producenta.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Cztery koła skrętne z blokadą min 2 kół w pozycji parkingowej . Waga aparatu max. 100 Kg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Fabrycznie wbudowany monitor LED, kolorowy, bez przeplotu Przekątna ≥ 21cali</w:t>
            </w:r>
          </w:p>
          <w:p w:rsidR="00E6156F" w:rsidRPr="00E6156F" w:rsidRDefault="00E6156F" w:rsidP="00E6156F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Rozdzielczość monitora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≥ 1920x1080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E6156F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Aparat wyposażony w panel dotykowy Min. 10 cali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aranżacji panelu dotykowego (personalizacji przez użytkownika) – użytkownik ma możliwość zmienić min.:  położenie przycisków funkcyjnych w dozwolonym obszarze ekranu dotykowego , dodać/usunąć poszczególne przyciski funkcyjne. min. osobno dla trybów: 2D, 2D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Color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Color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, PD, PD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, PW, PW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206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Wirtualna klawiatura numeryczna dostępna na ekranie dotykowym.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98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Fizyczna klawiatura numeryczna wysuwana spod pulpitu sterowania.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14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E6156F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Płynna regulacja wysokości panelu sterowania. Regulacja Góra /dół min. 18 cm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5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E6156F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Panel sterowania z możliwością obrotu lewo/prawo Lewo/prawo≥ +/- 30°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454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Dedykowany, wbudowany podgrzewacz żelu z możliwością regulacji temperatury do zainstalowani po prawej lub lewej stronie konsoli operatora w zależności od preferencji użytkownika.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Cyfrowa regulacja TGC dostępna na panelu dotykowym, z funkcją zapamiętywania kilku preferowanych ustawień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70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Skala szarości: min. 256 odcieni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Cyfrowy układ formowania wiązki ultradźwiękowej min. 1.000.000  kanałów </w:t>
            </w:r>
            <w:r w:rsidRPr="00E6156F">
              <w:rPr>
                <w:rFonts w:asciiTheme="majorHAnsi" w:hAnsiTheme="majorHAnsi"/>
                <w:sz w:val="20"/>
                <w:szCs w:val="20"/>
              </w:rPr>
              <w:lastRenderedPageBreak/>
              <w:t>procesowych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Maksymalna dynamika systemu Min. 250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76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Zakres pracy dostępnych głowic obrazowych min. 1-16 MHz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40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E6156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Ilość aktywnych,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bezpinowych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 xml:space="preserve"> – równoważnych gniazd do przyłączenia głowic obrazowych.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 xml:space="preserve"> </w:t>
            </w:r>
            <w:r w:rsidRPr="00E6156F">
              <w:rPr>
                <w:rFonts w:asciiTheme="majorHAnsi" w:eastAsia="GulimChe" w:hAnsiTheme="majorHAnsi"/>
                <w:sz w:val="20"/>
                <w:szCs w:val="20"/>
                <w:lang w:eastAsia="ar-SA"/>
              </w:rPr>
              <w:t>Zasłaniane porty głowic w przypadku braku głowicy w porcie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, ≥3 aktywne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3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Ilość obrazów pamięci dynamicznej CINE ≥ 40000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450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Maksymalny czas zapisywanych pętli filmowych w trybie „w czasie badania” (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prospective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) Min. 50 sek.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74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Dysk twardy SSD ≥500 GB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69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526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30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Możliwość exportu obrazów i pętli obrazowych na dyski CD, DVD, pamięci Pen-Drive w formatach min. BMP, JPG, TIFF, DICOM, AVI, MP4 (dla pętli obrazowych)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226"/>
        </w:trPr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pStyle w:val="Akapitzlist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>TRYBY OBRAZOWANIA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Tryb B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Głębokość penetracji ≥2-35 cm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Wyświetlany zakres pola obrazowego ≥0-35 cm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31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Maksymalna prędkość obrazowania (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frame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rate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) ≥1900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eastAsia="GulimChe" w:hAnsiTheme="majorHAnsi"/>
                <w:sz w:val="20"/>
                <w:szCs w:val="20"/>
                <w:lang w:eastAsia="ar-SA"/>
              </w:rPr>
              <w:t>Powiększenie obrazu w czasie rzeczywistym ze zwiększeniem rozdzielczości  liniowej i czasowej obrazu poprzez ograniczenie pola skanowania do powiększonego wycinka, do lepszej diagnostyki serca płodu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Zmiana wzmocnienia obrazu zamrożonego i obrazu z pamięci CINE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Obrazowanie harmoniczne ≥ 3 częstotliwości dla każdej oferowanej głowicy obrazowej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86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Obrazowanie harmoniczne z odwróconym impulsem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25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Funkcja automatycznej optymalizacji obrazu B przy pomocy jednego przycisku.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Tryb M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67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Tryb M z Dopplerem Kolorowym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81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Anatomiczny tryb M.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Tryb Doppler Kolorowy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8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Zakres PRF dla Dopplera kolorowego Min.  od 0,1KHz do 18KHz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269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Funkcja automatycznie dostosowujące wzmocnienie w trybie Dopplera kolorowego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34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Maksymalny kąt pochylenia bramki Kolorowego Dopplera ≥ +/- 30°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09"/>
        </w:trPr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81"/>
        </w:trPr>
        <w:tc>
          <w:tcPr>
            <w:tcW w:w="567" w:type="dxa"/>
            <w:shd w:val="clear" w:color="auto" w:fill="FFFFFF" w:themeFill="background1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Quazi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-przestrzenna mapa przepływu dopplerowskiego w oparciu o obrazowanie dwuwymiarowe</w:t>
            </w:r>
          </w:p>
        </w:tc>
        <w:tc>
          <w:tcPr>
            <w:tcW w:w="6237" w:type="dxa"/>
            <w:shd w:val="clear" w:color="auto" w:fill="FFFFFF" w:themeFill="background1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28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30"/>
        </w:trPr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Spektralny Doppler Pulsacyjny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01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Zakres PRF dla Dopplera Pulsacyjnego Min. od 1KHz do 22KHz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Regulacja wielkości bramki w Dopplerze Pulsacyjnym ≥0,5-25 mm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592F96" w:rsidTr="00B03C15">
        <w:trPr>
          <w:trHeight w:val="266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6156F">
              <w:rPr>
                <w:rFonts w:asciiTheme="majorHAnsi" w:hAnsiTheme="majorHAnsi"/>
                <w:sz w:val="20"/>
                <w:szCs w:val="20"/>
                <w:lang w:val="en-US"/>
              </w:rPr>
              <w:t>Tryb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E6156F" w:rsidRPr="00A5248A" w:rsidTr="00B03C15">
        <w:trPr>
          <w:trHeight w:val="465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465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Jednoprzyciskowa funkcja automatycznie umieszczająca bramkę SV w trybie PWD w środku naczynia wraz z automatycznym ustawieniem kąta korekcji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06"/>
        </w:trPr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pStyle w:val="Akapitzlist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>INNE FUNKCJE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465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Moduł dedykowany do badania piersi w trybie B-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Mode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, umożliwiający analizę morfologiczną z automatycznym oraz półautomatycznym obrysem ewentualnych zmian nowotworowych oraz możliwością klasyfikacji nowotworowej według BI-RADS. Aplikacja zawiera dedykowany raport z badania piersi.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Moduł dedykowany do badania tarczyc w trybie B-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Mode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442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Obrazowanie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elastograficzne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typu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Strain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dostępne na głowicach liniowych oraz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endokawitarnych</w:t>
            </w:r>
            <w:proofErr w:type="spellEnd"/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65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Min. 4 kroki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89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477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specklowych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polepszający obrazowanie w trybie 2D z jednoczesnym uwydatnieniem granic tkanek o różnej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echogeniczności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 w:cs="Times New Roman"/>
                <w:sz w:val="20"/>
                <w:szCs w:val="20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E6156F">
              <w:rPr>
                <w:rFonts w:asciiTheme="majorHAnsi" w:hAnsiTheme="majorHAnsi" w:cs="Times New Roman"/>
                <w:sz w:val="20"/>
                <w:szCs w:val="20"/>
              </w:rPr>
              <w:t>echogenicznością</w:t>
            </w:r>
            <w:proofErr w:type="spellEnd"/>
            <w:r w:rsidRPr="00E6156F">
              <w:rPr>
                <w:rFonts w:asciiTheme="majorHAnsi" w:hAnsiTheme="majorHAnsi" w:cs="Times New Roman"/>
                <w:sz w:val="20"/>
                <w:szCs w:val="20"/>
              </w:rPr>
              <w:t xml:space="preserve"> od otaczających tkanek), </w:t>
            </w:r>
            <w:r w:rsidRPr="00E6156F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umożliwiające dokładną wizualizację włókien mięśniowych, przyczepów, ścięgien jak także innych struktur anatomicznych znacznie, poprawiające rozdzielczość uzyskanych obrazów. Technologia inna niż opisana w pkt 57.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2112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Oprogramowanie pomiarowe do badań min: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ginekologicznych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położniczych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echo płodu 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brzusznych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kardiologicznych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mięśniowoszkieletowych</w:t>
            </w:r>
            <w:proofErr w:type="spellEnd"/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pediatrycznych</w:t>
            </w:r>
          </w:p>
          <w:p w:rsidR="00E6156F" w:rsidRPr="00E6156F" w:rsidRDefault="00E6156F" w:rsidP="00E6156F">
            <w:pPr>
              <w:numPr>
                <w:ilvl w:val="0"/>
                <w:numId w:val="1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małych narządów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464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Pomiary podstawowe na obrazie:</w:t>
            </w:r>
          </w:p>
          <w:p w:rsidR="00E6156F" w:rsidRPr="00E6156F" w:rsidRDefault="00E6156F" w:rsidP="00E6156F">
            <w:pPr>
              <w:numPr>
                <w:ilvl w:val="0"/>
                <w:numId w:val="2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pomiar odległości, </w:t>
            </w:r>
          </w:p>
          <w:p w:rsidR="00E6156F" w:rsidRPr="00E6156F" w:rsidRDefault="00E6156F" w:rsidP="00E6156F">
            <w:pPr>
              <w:numPr>
                <w:ilvl w:val="0"/>
                <w:numId w:val="2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obwodu, </w:t>
            </w:r>
          </w:p>
          <w:p w:rsidR="00E6156F" w:rsidRPr="00E6156F" w:rsidRDefault="00E6156F" w:rsidP="00E6156F">
            <w:pPr>
              <w:numPr>
                <w:ilvl w:val="0"/>
                <w:numId w:val="2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pola powierzchni, </w:t>
            </w:r>
          </w:p>
          <w:p w:rsidR="00E6156F" w:rsidRPr="00E6156F" w:rsidRDefault="00E6156F" w:rsidP="00E6156F">
            <w:pPr>
              <w:numPr>
                <w:ilvl w:val="0"/>
                <w:numId w:val="2"/>
              </w:numPr>
              <w:suppressAutoHyphens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objętości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Możliwość przypisania kolejności wykonywania pomiarów do danego użytkownika, funkcja automatycznego rozpoczynania kolejnego pomiaru po wykonaniu uprzedniego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667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E61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Funkcja automatyzacji podstawowych pomiarów biometrycznych, m.in. BPD, AC, HC, FL, z obrazu 2D, z możliwością wykonywania pomiarów na obrazach zapisanych w archiwum. 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531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Półautomatyczny pomiar przezierności fałdu karkowego. Oprogramowanie w sposób automatyczny znajduje granice fałdu we wskazanym przez użytkownika obszarze a następnie wyświetla maksymalną wartość NT.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04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Oprogramowanie 3D/4D z możliwością wyświetlenia minimum 12 równoległych warstw.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531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Technika obrazowania 3/4D pozwalająca na wizualizację zbliżoną do obrazu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fetoskopowego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z możliwością podświetlenia obrazu z dowolnego kąta.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503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E6156F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Zaawansowane obrazowanie 4D umożliwiające zrobienie bardzo realistycznych projekcji płodu, co pozwala na dokładniejszą i szybszą diagnostykę wad u płodu. Oprogramowanie wyposażone w funkcje przezierności tkanki (z możliwością zmiany natężenia transparencji/przezierności) oraz wirtualnego oświetlania struktury z dowolnego kąta wraz z efektem rentgena (dla uwidocznienia struktur anatomicznych wewnątrz płodu). 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BFBFBF" w:themeFill="background1" w:themeFillShade="BF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E6156F" w:rsidRPr="00E6156F" w:rsidRDefault="00E6156F" w:rsidP="00151F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Obrazowanie 3D pracy serca płodu bez sygnału synchronizacyjnego ( STIC)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lastRenderedPageBreak/>
              <w:t>(możliwość czasowego uruchomienia funkcji w aparacie w celu demonstracji)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Oprogramowanie do automatycznego pomiaru NT i IT na obrazie bryłowym. (możliwość czasowego uruchomienia funkcji w aparacie w celu demonstracji)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O</w:t>
            </w: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programowanie do wyznaczania rzeczywistej objętości organu/zmiany w zapamiętanych wolumenach skanowania</w:t>
            </w:r>
          </w:p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Tryby:</w:t>
            </w:r>
          </w:p>
          <w:p w:rsidR="00E6156F" w:rsidRPr="00E6156F" w:rsidRDefault="00E6156F" w:rsidP="00E6156F">
            <w:pPr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ręczny</w:t>
            </w:r>
          </w:p>
          <w:p w:rsidR="00E6156F" w:rsidRPr="00E6156F" w:rsidRDefault="00E6156F" w:rsidP="00E6156F">
            <w:pPr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półautomatyczny</w:t>
            </w:r>
          </w:p>
          <w:p w:rsidR="00E6156F" w:rsidRPr="00E6156F" w:rsidRDefault="00E6156F" w:rsidP="00E6156F">
            <w:pPr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automatyczny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 xml:space="preserve">Funkcja do automatycznej  detekcji i obrysu pozwalającej na wyznaczania rzeczywistych wymiarów (min. wysokość, szerokość, grubość, w poszczególnych pęcherzyków  w jajniku). 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  <w:shd w:val="clear" w:color="auto" w:fill="A6A6A6" w:themeFill="background1" w:themeFillShade="A6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6A6A6" w:themeFill="background1" w:themeFillShade="A6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Aktywne złącze do  komunikacji DICOM 3.0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E6156F" w:rsidRPr="00A5248A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00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>Głowice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E6156F">
        <w:trPr>
          <w:trHeight w:val="1481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Głowica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wolumetryczna wykonana w technologii Single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Cristal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lub matrycowej do badań ginekologiczno-położniczych, serca płodu oraz brzusznych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zakres częstotliwości pracy min. 1-9  MHz ( +/- 1 MHz) 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ilość elementów: min. 190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kąt skanowania:  min. 70° X 70°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możliwość pracy z przystawką biopsyjną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głowicę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endowaginalną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do badań ginekologicznych, położniczych i urologicznych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Zakres częstotliwości pracy 2 - 12 MHz( +/- 1 MHz) 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lość elementów: min. 190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ąt skanowania:  min. 150°</w:t>
            </w:r>
          </w:p>
          <w:p w:rsidR="00E6156F" w:rsidRPr="00E6156F" w:rsidRDefault="00E6156F" w:rsidP="00E6156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ożliwość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podłączenia przystawki biopsyjnej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Videoprinter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medyczny cyfrowy B/W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>Możliwości rozbudowy aparatu dostępne na dzień składania ofert: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rozbudowy o obrazowanie panoramiczne dostępne na głowicach liniowych oraz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(możliwość czasowego uruchomienia funkcji w aparacie w celu demonstracji)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300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endowaginalną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wolumetryczną 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pracującą w zakresie min. 5-9 MHz, 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- kąt pola widzenia min. </w:t>
            </w: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150°x 80°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- ilość elem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en</w:t>
            </w: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tów: min. 190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Phased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Array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typu single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crystal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do badań kardiologicznych, TCD oraz brzusznych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- zakres częstotliwości pracy min. 1-5 MHz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- ilość elementów: min. 80</w:t>
            </w:r>
          </w:p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- kąt skanowania:  min. 90°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592F96">
        <w:trPr>
          <w:trHeight w:val="1302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592F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Phased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Array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do badań kardiologicznych pediatrycznych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zakres częstotliwości pracy min. 5-12 MHz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ilość elementów: min. 96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kąt skanowania:  min. 90°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592F96">
        <w:trPr>
          <w:trHeight w:val="1422"/>
        </w:trPr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592F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 Możliwość rozbudowy o głowicę  liniową do badań piersi, tarczycy  małych narządów,  mięśniow</w:t>
            </w: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-szkieletowych,  naczyniowych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zakres częstotliwości pracy min.  3-14 MHz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ilość elementów: min. 250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szerokość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skanu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: min 50 mm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możliwość pracy z przystawką biopsyjną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1403"/>
        </w:trPr>
        <w:tc>
          <w:tcPr>
            <w:tcW w:w="567" w:type="dxa"/>
            <w:shd w:val="clear" w:color="auto" w:fill="FFFFFF" w:themeFill="background1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E6156F" w:rsidRPr="00E6156F" w:rsidRDefault="00E6156F" w:rsidP="00592F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Możliwość rozbudowy o głowicę liniową do badań mięśniowo-szkieletowych, małych narządów, naczyniowych</w:t>
            </w:r>
          </w:p>
          <w:p w:rsidR="00E6156F" w:rsidRPr="00E6156F" w:rsidRDefault="00E6156F" w:rsidP="00592F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>Zakres częstotliwości pracy min. 4-16 MHz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lość elementów: min. 190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szerokość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skanu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>: max 40 mm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ożliwość podłączenia przystawki biopsyjnej</w:t>
            </w:r>
          </w:p>
        </w:tc>
        <w:tc>
          <w:tcPr>
            <w:tcW w:w="6237" w:type="dxa"/>
            <w:shd w:val="clear" w:color="auto" w:fill="FFFFFF" w:themeFill="background1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rPr>
          <w:trHeight w:val="264"/>
        </w:trPr>
        <w:tc>
          <w:tcPr>
            <w:tcW w:w="567" w:type="dxa"/>
            <w:shd w:val="clear" w:color="auto" w:fill="auto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E6156F" w:rsidRPr="00E6156F" w:rsidRDefault="00E6156F" w:rsidP="00592F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microconvex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 do badań naczyniowych oraz pediatrycznych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akres częstotliwości pracy min. 4-9 MHz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lość elementów: min. 128</w:t>
            </w:r>
          </w:p>
          <w:p w:rsidR="00E6156F" w:rsidRPr="00E6156F" w:rsidRDefault="00E6156F" w:rsidP="00592F9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E6156F">
              <w:rPr>
                <w:rFonts w:asciiTheme="majorHAnsi" w:hAnsiTheme="majorHAnsi"/>
                <w:sz w:val="20"/>
                <w:szCs w:val="20"/>
              </w:rPr>
              <w:t>ąt skanowania:  min. 90°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B03C15">
        <w:tc>
          <w:tcPr>
            <w:tcW w:w="567" w:type="dxa"/>
          </w:tcPr>
          <w:p w:rsidR="00E6156F" w:rsidRPr="00E6156F" w:rsidRDefault="00E6156F" w:rsidP="00E615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6156F">
              <w:rPr>
                <w:rFonts w:asciiTheme="majorHAnsi" w:hAnsiTheme="majorHAnsi"/>
                <w:sz w:val="20"/>
                <w:szCs w:val="20"/>
              </w:rPr>
              <w:t xml:space="preserve">Możliwość rozbudowy o aplikację  służąca do w pełni automatycznego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E6156F">
              <w:rPr>
                <w:rFonts w:asciiTheme="majorHAnsi" w:hAnsiTheme="majorHAnsi"/>
                <w:sz w:val="20"/>
                <w:szCs w:val="20"/>
              </w:rPr>
              <w:t>Framingham’a</w:t>
            </w:r>
            <w:proofErr w:type="spellEnd"/>
            <w:r w:rsidRPr="00E6156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6156F">
              <w:rPr>
                <w:rFonts w:asciiTheme="majorHAnsi" w:hAnsiTheme="majorHAnsi"/>
                <w:sz w:val="20"/>
                <w:szCs w:val="20"/>
                <w:lang w:eastAsia="ar-SA"/>
              </w:rPr>
              <w:t>(możliwość czasowego uruchomienia funkcji w aparacie w celu demonstracji)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156F" w:rsidRPr="00A5248A" w:rsidTr="00D64252">
        <w:trPr>
          <w:trHeight w:val="269"/>
        </w:trPr>
        <w:tc>
          <w:tcPr>
            <w:tcW w:w="567" w:type="dxa"/>
          </w:tcPr>
          <w:p w:rsidR="00E6156F" w:rsidRPr="00E6156F" w:rsidRDefault="00E6156F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343" w:type="dxa"/>
          </w:tcPr>
          <w:p w:rsidR="00E6156F" w:rsidRPr="00E6156F" w:rsidRDefault="00E6156F" w:rsidP="00151F3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156F">
              <w:rPr>
                <w:rFonts w:asciiTheme="majorHAnsi" w:hAnsiTheme="majorHAnsi"/>
                <w:b/>
                <w:sz w:val="20"/>
                <w:szCs w:val="20"/>
              </w:rPr>
              <w:t xml:space="preserve">Inne </w:t>
            </w:r>
          </w:p>
        </w:tc>
        <w:tc>
          <w:tcPr>
            <w:tcW w:w="6237" w:type="dxa"/>
          </w:tcPr>
          <w:p w:rsidR="00E6156F" w:rsidRPr="00A5248A" w:rsidRDefault="00E6156F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529D" w:rsidRPr="00A5248A" w:rsidTr="0069529D">
        <w:tc>
          <w:tcPr>
            <w:tcW w:w="567" w:type="dxa"/>
            <w:vAlign w:val="center"/>
          </w:tcPr>
          <w:p w:rsidR="0069529D" w:rsidRPr="00A5248A" w:rsidRDefault="0069529D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69529D" w:rsidRPr="00A5248A" w:rsidRDefault="0069529D" w:rsidP="00151F34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6237" w:type="dxa"/>
          </w:tcPr>
          <w:p w:rsidR="0069529D" w:rsidRPr="00A5248A" w:rsidRDefault="0069529D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529D" w:rsidRPr="00A5248A" w:rsidTr="0069529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9529D" w:rsidRPr="00A5248A" w:rsidRDefault="0069529D" w:rsidP="00151F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69529D" w:rsidRPr="00A5248A" w:rsidRDefault="0069529D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Inne wymagania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9529D" w:rsidRPr="00A5248A" w:rsidRDefault="0069529D" w:rsidP="00151F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9529D" w:rsidRPr="00A5248A" w:rsidTr="0069529D">
        <w:tc>
          <w:tcPr>
            <w:tcW w:w="567" w:type="dxa"/>
            <w:vAlign w:val="center"/>
          </w:tcPr>
          <w:p w:rsidR="0069529D" w:rsidRPr="00A5248A" w:rsidRDefault="0069529D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69529D" w:rsidRPr="0069529D" w:rsidRDefault="0069529D" w:rsidP="0069529D">
            <w:pPr>
              <w:rPr>
                <w:rFonts w:asciiTheme="majorHAnsi" w:hAnsiTheme="majorHAnsi"/>
                <w:sz w:val="20"/>
                <w:szCs w:val="20"/>
              </w:rPr>
            </w:pPr>
            <w:r w:rsidRPr="0069529D">
              <w:rPr>
                <w:rFonts w:asciiTheme="majorHAnsi" w:hAnsiTheme="majorHAnsi"/>
                <w:sz w:val="20"/>
                <w:szCs w:val="20"/>
              </w:rPr>
              <w:t>Dostarczony sprzęt musi posiadać co najmniej:</w:t>
            </w:r>
          </w:p>
          <w:p w:rsidR="0069529D" w:rsidRPr="0069529D" w:rsidRDefault="0069529D" w:rsidP="0069529D">
            <w:pPr>
              <w:rPr>
                <w:rFonts w:asciiTheme="majorHAnsi" w:hAnsiTheme="majorHAnsi"/>
                <w:sz w:val="20"/>
                <w:szCs w:val="20"/>
              </w:rPr>
            </w:pPr>
            <w:r w:rsidRPr="0069529D">
              <w:rPr>
                <w:rFonts w:asciiTheme="majorHAnsi" w:hAnsiTheme="majorHAnsi"/>
                <w:sz w:val="20"/>
                <w:szCs w:val="20"/>
              </w:rPr>
              <w:t>- zgodność oprogramowania obsługującego aparat ze standardem DICOM 3.0,</w:t>
            </w:r>
          </w:p>
          <w:p w:rsidR="0069529D" w:rsidRPr="0069529D" w:rsidRDefault="0069529D" w:rsidP="0069529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>obsługa</w:t>
            </w:r>
            <w:proofErr w:type="spellEnd"/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>protokołów</w:t>
            </w:r>
            <w:proofErr w:type="spellEnd"/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>: DICOM Store, DICOM QUERY/RETRIVE, DICOM WORKLISTS,</w:t>
            </w:r>
          </w:p>
          <w:p w:rsidR="0069529D" w:rsidRPr="00A5248A" w:rsidRDefault="0069529D" w:rsidP="0069529D">
            <w:pPr>
              <w:rPr>
                <w:rFonts w:asciiTheme="majorHAnsi" w:hAnsiTheme="majorHAnsi"/>
                <w:sz w:val="20"/>
                <w:szCs w:val="20"/>
              </w:rPr>
            </w:pPr>
            <w:r w:rsidRPr="0069529D">
              <w:rPr>
                <w:rFonts w:asciiTheme="majorHAnsi" w:hAnsiTheme="majorHAnsi"/>
                <w:sz w:val="20"/>
                <w:szCs w:val="20"/>
              </w:rPr>
              <w:t xml:space="preserve">- możliwość przekazywania informacji do systemu </w:t>
            </w:r>
            <w:proofErr w:type="spellStart"/>
            <w:r w:rsidRPr="0069529D">
              <w:rPr>
                <w:rFonts w:asciiTheme="majorHAnsi" w:hAnsiTheme="majorHAnsi"/>
                <w:sz w:val="20"/>
                <w:szCs w:val="20"/>
              </w:rPr>
              <w:t>MediCom</w:t>
            </w:r>
            <w:proofErr w:type="spellEnd"/>
            <w:r w:rsidRPr="0069529D">
              <w:rPr>
                <w:rFonts w:asciiTheme="majorHAnsi" w:hAnsiTheme="majorHAnsi"/>
                <w:sz w:val="20"/>
                <w:szCs w:val="20"/>
              </w:rPr>
              <w:t xml:space="preserve"> RIS o personelu wykonującym badanie w </w:t>
            </w:r>
            <w:proofErr w:type="spellStart"/>
            <w:r w:rsidRPr="0069529D">
              <w:rPr>
                <w:rFonts w:asciiTheme="majorHAnsi" w:hAnsiTheme="majorHAnsi"/>
                <w:sz w:val="20"/>
                <w:szCs w:val="20"/>
              </w:rPr>
              <w:t>tagach</w:t>
            </w:r>
            <w:proofErr w:type="spellEnd"/>
            <w:r w:rsidRPr="0069529D">
              <w:rPr>
                <w:rFonts w:asciiTheme="majorHAnsi" w:hAnsiTheme="majorHAnsi"/>
                <w:sz w:val="20"/>
                <w:szCs w:val="20"/>
              </w:rPr>
              <w:t xml:space="preserve"> DICOM.</w:t>
            </w:r>
          </w:p>
        </w:tc>
        <w:tc>
          <w:tcPr>
            <w:tcW w:w="6237" w:type="dxa"/>
          </w:tcPr>
          <w:p w:rsidR="0069529D" w:rsidRPr="00A5248A" w:rsidRDefault="0069529D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Montaż, uruchomienie i przeszkolenie obsługi zawarte w cenie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Instrukcja w języku polskim: drukowana plus paszport techniczny dostarczone w momencie dostawy. Paszport  techniczny z wpisem dotyczącym sprawności urządzenia a także podający termin wykonania następnego przeglądu technicznego.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Dostępność części zamiennych w Polsce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4D212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Gwarancja 24 miesiące od dnia instalacji aparatu</w:t>
            </w:r>
            <w:r w:rsidRPr="004D212B">
              <w:rPr>
                <w:rFonts w:asciiTheme="majorHAnsi" w:hAnsiTheme="majorHAnsi"/>
                <w:sz w:val="20"/>
                <w:szCs w:val="20"/>
              </w:rPr>
              <w:t xml:space="preserve"> zapewniona przez autoryzowanego dystrybutora producenta min. 24 miesiące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4D212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W okresie gwarancji nieodpłatne przeglądy serwisowe realizowane według zaleceń producent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a aparatu.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Ostatni przegląd wynikający z udzielonej gwarancji zostanie przeprowadzony nie wcześniej niż na miesiąc przed końcem gwarancji. Każdy przegląd powinien być zakończony wpisem do paszport urządzenia.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4D212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Autoryzowany przez Producenta punkt serwisowy w Polsce – dostarczenie listy autoryzowanych punktów serwisowych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Zapewnieniem w dniach roboczych (od poniedziałku do piątku) czasu reakcji serwisu rozumianego jako przystąpienie do działań naprawczych do 24 godzin od chwili zgłoszenia przez Zamawiającego  awarii: telefonicznie, e-mail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Zapewnienie 48 godzinnego czasu naprawy w dniach roboczych (od poniedziałku do piątku) liczone od daty zgłoszenia przez Zamawiającego awarii. W przypadku konieczności przesłania urządzenia lub jego części (w okresie gwarancji) „do” i „z” miejsca naprawy - koszty transportu ponosi Wykonawca.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212B" w:rsidRPr="00A5248A" w:rsidTr="0069529D">
        <w:tc>
          <w:tcPr>
            <w:tcW w:w="567" w:type="dxa"/>
            <w:vAlign w:val="center"/>
          </w:tcPr>
          <w:p w:rsidR="004D212B" w:rsidRPr="00A5248A" w:rsidRDefault="004D212B" w:rsidP="006952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4D212B" w:rsidRPr="004D212B" w:rsidRDefault="004D212B" w:rsidP="00151F34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Certyfikat lub inny dokument dopuszczający aparat do użytkowania na terenie Polski i UE wymagany obowiązującymi przepisami prawa, jak: Zgłoszenie w Urzędzie Rejestracji Produktów Leczniczych , Wyrobów Medycznych i produktów Bakteriobójczych, atesty, certyfikaty CE, deklaracje zgodności  - zgodnie  z Ustawą z dnia  20 maja 2010 roku o wyrobach medycznych .</w:t>
            </w:r>
          </w:p>
        </w:tc>
        <w:tc>
          <w:tcPr>
            <w:tcW w:w="6237" w:type="dxa"/>
          </w:tcPr>
          <w:p w:rsidR="004D212B" w:rsidRPr="00A5248A" w:rsidRDefault="004D212B" w:rsidP="00151F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9529D" w:rsidRDefault="0069529D"/>
    <w:p w:rsidR="00592F96" w:rsidRPr="00592F96" w:rsidRDefault="00592F96" w:rsidP="00592F96">
      <w:pPr>
        <w:tabs>
          <w:tab w:val="left" w:pos="284"/>
        </w:tabs>
        <w:spacing w:before="6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592F96">
        <w:rPr>
          <w:rFonts w:asciiTheme="majorHAnsi" w:hAnsiTheme="majorHAnsi" w:cs="Times New Roman"/>
          <w:b/>
          <w:sz w:val="20"/>
          <w:szCs w:val="20"/>
        </w:rPr>
        <w:lastRenderedPageBreak/>
        <w:t xml:space="preserve">Aparat ultrasonograficzny TYP </w:t>
      </w:r>
      <w:r>
        <w:rPr>
          <w:rFonts w:asciiTheme="majorHAnsi" w:hAnsiTheme="majorHAnsi" w:cs="Times New Roman"/>
          <w:b/>
          <w:sz w:val="20"/>
          <w:szCs w:val="20"/>
        </w:rPr>
        <w:t>2</w:t>
      </w:r>
    </w:p>
    <w:p w:rsidR="00592F96" w:rsidRPr="0069529D" w:rsidRDefault="00592F96" w:rsidP="00592F96">
      <w:pPr>
        <w:tabs>
          <w:tab w:val="left" w:pos="284"/>
        </w:tabs>
        <w:spacing w:before="60" w:line="288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9529D">
        <w:rPr>
          <w:rFonts w:asciiTheme="majorHAnsi" w:hAnsiTheme="majorHAnsi" w:cs="Times New Roman"/>
          <w:sz w:val="20"/>
          <w:szCs w:val="20"/>
        </w:rPr>
        <w:t>Cena brutto aparatu USG - ……………………. (słownie: …………………………………………………………………….)</w:t>
      </w:r>
    </w:p>
    <w:p w:rsidR="00592F96" w:rsidRPr="0069529D" w:rsidRDefault="00592F96" w:rsidP="00592F96">
      <w:pPr>
        <w:widowControl w:val="0"/>
        <w:spacing w:line="288" w:lineRule="auto"/>
        <w:rPr>
          <w:rFonts w:asciiTheme="majorHAnsi" w:eastAsia="Arial Unicode MS" w:hAnsiTheme="majorHAnsi" w:cs="Times New Roman"/>
          <w:b/>
          <w:bCs/>
          <w:kern w:val="1"/>
          <w:sz w:val="18"/>
          <w:szCs w:val="18"/>
          <w:lang w:eastAsia="hi-IN" w:bidi="hi-IN"/>
        </w:rPr>
      </w:pPr>
      <w:r w:rsidRPr="0069529D">
        <w:rPr>
          <w:rFonts w:asciiTheme="majorHAnsi" w:hAnsiTheme="majorHAnsi" w:cs="Times New Roman"/>
          <w:b/>
          <w:bCs/>
          <w:color w:val="000000"/>
          <w:sz w:val="18"/>
          <w:szCs w:val="18"/>
        </w:rPr>
        <w:t>Nazwa oferowanego urządzenia:</w:t>
      </w:r>
      <w:r w:rsidRPr="0069529D">
        <w:rPr>
          <w:rFonts w:asciiTheme="majorHAnsi" w:hAnsiTheme="majorHAnsi" w:cs="Times New Roman"/>
          <w:color w:val="000000"/>
          <w:sz w:val="18"/>
          <w:szCs w:val="18"/>
        </w:rPr>
        <w:t xml:space="preserve"> ....................................................................................</w:t>
      </w:r>
    </w:p>
    <w:p w:rsidR="00592F96" w:rsidRPr="0069529D" w:rsidRDefault="00592F96" w:rsidP="00592F96">
      <w:pPr>
        <w:pStyle w:val="western"/>
        <w:spacing w:before="0" w:beforeAutospacing="0" w:after="0" w:afterAutospacing="0" w:line="288" w:lineRule="auto"/>
        <w:rPr>
          <w:rFonts w:asciiTheme="majorHAnsi" w:hAnsiTheme="majorHAnsi"/>
          <w:i w:val="0"/>
          <w:iCs w:val="0"/>
          <w:sz w:val="18"/>
          <w:szCs w:val="18"/>
        </w:rPr>
      </w:pP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Typ: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 xml:space="preserve"> .............................</w:t>
      </w: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Model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: ..............................</w:t>
      </w: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Rok produkcji: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 xml:space="preserve"> ..............................</w:t>
      </w:r>
    </w:p>
    <w:p w:rsidR="00592F96" w:rsidRPr="0069529D" w:rsidRDefault="00592F96" w:rsidP="00592F96">
      <w:pPr>
        <w:pStyle w:val="western"/>
        <w:spacing w:before="0" w:beforeAutospacing="0" w:after="0" w:afterAutospacing="0" w:line="288" w:lineRule="auto"/>
        <w:rPr>
          <w:rFonts w:asciiTheme="majorHAnsi" w:hAnsiTheme="majorHAnsi"/>
          <w:i w:val="0"/>
          <w:iCs w:val="0"/>
          <w:sz w:val="18"/>
          <w:szCs w:val="18"/>
        </w:rPr>
      </w:pPr>
      <w:r w:rsidRPr="0069529D">
        <w:rPr>
          <w:rFonts w:asciiTheme="majorHAnsi" w:hAnsiTheme="majorHAnsi"/>
          <w:b/>
          <w:bCs/>
          <w:i w:val="0"/>
          <w:iCs w:val="0"/>
          <w:sz w:val="18"/>
          <w:szCs w:val="18"/>
        </w:rPr>
        <w:t>Producent</w:t>
      </w:r>
      <w:r w:rsidRPr="0069529D">
        <w:rPr>
          <w:rFonts w:asciiTheme="majorHAnsi" w:hAnsiTheme="majorHAnsi"/>
          <w:i w:val="0"/>
          <w:iCs w:val="0"/>
          <w:sz w:val="18"/>
          <w:szCs w:val="18"/>
        </w:rPr>
        <w:t>: .......................................................................................................................</w:t>
      </w:r>
    </w:p>
    <w:p w:rsidR="00592F96" w:rsidRDefault="00592F96" w:rsidP="00592F96"/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6237"/>
      </w:tblGrid>
      <w:tr w:rsidR="00592F96" w:rsidRPr="00520ED5" w:rsidTr="00592F96">
        <w:trPr>
          <w:trHeight w:val="4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F96" w:rsidRPr="00520ED5" w:rsidRDefault="00592F96" w:rsidP="00351E0C">
            <w:p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F96" w:rsidRPr="00520ED5" w:rsidRDefault="00592F96" w:rsidP="00351E0C">
            <w:p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Opis minimalnych wymaganych parametrów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96" w:rsidRPr="00520ED5" w:rsidRDefault="00592F96" w:rsidP="00351E0C">
            <w:p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E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lub zakres wartości oferowanych</w:t>
            </w:r>
          </w:p>
        </w:tc>
      </w:tr>
    </w:tbl>
    <w:tbl>
      <w:tblPr>
        <w:tblStyle w:val="Tabela-Siatka"/>
        <w:tblW w:w="14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43"/>
        <w:gridCol w:w="6237"/>
      </w:tblGrid>
      <w:tr w:rsidR="00592F96" w:rsidRPr="00A5248A" w:rsidTr="00351E0C">
        <w:trPr>
          <w:trHeight w:val="265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351E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JEDNOSTKA GŁOWNA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videoprinterem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B&amp;W sterowanymi z klawiatury.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Aparat fabrycznie nowy, rok produkcji 2022 dostarcz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>ny przez autoryzowanego dystrybutora producenta.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Cztery koła skrętne z możliwością blokowania min. 2 kół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Fabrycznie wbudowany monitor LED, kolorowy, bez przeplotu .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Przekątna ≥ 23 cala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>Rozdzielczość monitora≥1920x1080x24 bity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Aparat wyposażony w panel dotykowy z możliwością regulacji kąta pochylenia 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Min. 14 cali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>rozdzielczość≥1920x1080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 xml:space="preserve">osobno dla trybów: 2D, 2D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Color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Color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PD, PD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PW, PW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Freeze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184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 w:cs="Times New Roman"/>
                <w:sz w:val="20"/>
                <w:szCs w:val="20"/>
              </w:rPr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Wirtualna klawiatura numeryczna dostępna na ekranie dotykowym.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Regulacja wysokości panelu sterowania. Regulacja Góra /dół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>Zakres min 18 cm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52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Panel sterowania z możliwością obrotu lewo/prawo Lewo/prawo≥ +/- 30°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Dedykowany, wbudowany podgrzewacz żelu (montowany z prawej lub lewej strony aparatu) z możliwością regulacji temperatury.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Cyfrowa regulacja TGC dostępna na panelu dotykowym, z funkcją zapamiętywania kilku preferowanych ustawień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70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Cyfrowy układ formowania wiązki ultradźwiękowej min. 2 500 000  kanałów procesowych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Zakres pracy dostępnych głowic obrazowych min. 1-18 MHz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Ilość aktywnych, równoważnych gniazd do podłączenia głowic obrazowych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≥3 aktywne g</w:t>
            </w:r>
            <w:r>
              <w:rPr>
                <w:rFonts w:asciiTheme="majorHAnsi" w:hAnsiTheme="majorHAnsi"/>
                <w:sz w:val="20"/>
                <w:szCs w:val="20"/>
              </w:rPr>
              <w:t>niazda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 w:cs="Times New Roman"/>
                <w:sz w:val="20"/>
                <w:szCs w:val="20"/>
              </w:rPr>
              <w:t xml:space="preserve">Wbudowany moduł EKG wraz z  kablem </w:t>
            </w:r>
            <w:proofErr w:type="spellStart"/>
            <w:r w:rsidRPr="00A5248A">
              <w:rPr>
                <w:rFonts w:asciiTheme="majorHAnsi" w:hAnsiTheme="majorHAnsi" w:cs="Times New Roman"/>
                <w:sz w:val="20"/>
                <w:szCs w:val="20"/>
              </w:rPr>
              <w:t>trójodprowadzeniowym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Dysk twardy SSD min. 512 GB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Aktywne gniazdo USB 3.0 do archiwizacji obrazów statycznych oraz ruchomych na przenośnej pamięci USB (Flash,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Pendrive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).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zarządzania uprawnieniami  użytkowników nim. export obrazów, usuwanie badań 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526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exportu obrazów i pętli obrazowych na dyski CD, DVD, pamięci Pen-Drive w formatach min. BMP, JPG, TIFF, DICOM, AVI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30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Waga aparatu Min. 75 kg, Max. 100 kg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7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351E0C">
            <w:pPr>
              <w:pStyle w:val="Akapitzlist"/>
              <w:spacing w:after="0" w:line="240" w:lineRule="auto"/>
              <w:ind w:lef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TRYBY OBRAZOWANIA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Tryb B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Głębokość penetracji ≥2-50 cm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Wyświetlany zakres pola obrazowego ≥0-50 cm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31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Maksymalna prędkość obrazowania (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frame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rate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) ≥5000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Zmiana wzmocnienia obrazu zamrożonego 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Obrazowanie harmoniczne kodowane z odwróconym impulsem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86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Funkcja automatycznej optymalizacji obrazu B przy pomocy jednego przycisku.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592F96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Obrazowanie wieloczęstotliwościowe   wykorzystujące technologię obrazowania na min. dwóch częstotliwościach fundamentalnych jednocześnie.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Tryb M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67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Tryb M z Dopplerem Kolorowym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81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Anatomiczny tryb 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Tryb Doppler Kolorowy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Zakres PRF dla Dopplera kolorowego Min.  od 0,2KHz do 25 KHz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592F96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3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Tryb Power Doppler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81"/>
        </w:trPr>
        <w:tc>
          <w:tcPr>
            <w:tcW w:w="567" w:type="dxa"/>
            <w:shd w:val="clear" w:color="auto" w:fill="FFFFFF" w:themeFill="background1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Tryb Power Doppler z detekcją kierunku</w:t>
            </w:r>
          </w:p>
        </w:tc>
        <w:tc>
          <w:tcPr>
            <w:tcW w:w="6237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592F96">
        <w:trPr>
          <w:trHeight w:val="16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Zakres PRF dla trybu Power Doppler Min. od 1KHz do 5KHz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3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Spektralny Doppler Pulsacyjny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1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Zakres PRF dla Dopplera pulsacyjnego Min. od 1.5KHz do 35KHz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Regulacja wielkości bramki w Dopplerze Pulsacyjnym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>≥0,5-25 mm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592F96" w:rsidTr="00592F96">
        <w:trPr>
          <w:trHeight w:val="208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>Tryb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92F96" w:rsidRPr="00A5248A" w:rsidTr="00351E0C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6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Doppler ciągły CWD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 w:cs="Times New Roman"/>
                <w:sz w:val="20"/>
                <w:szCs w:val="20"/>
              </w:rPr>
              <w:t>Doppler fali ciągłej, o rejestrowanych, mierzonych prędkościach 12 m/s  (przy zerowym kącie bramki)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351E0C">
            <w:pPr>
              <w:pStyle w:val="Akapitzlist"/>
              <w:spacing w:after="0" w:line="240" w:lineRule="auto"/>
              <w:ind w:lef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INNE FUNKCJE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661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echogenicznością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od otaczających tkanek), umożliwiające dokładną wizualizację struktur anatomicznych, znacznie poprawiające rozdzielczość uzyskanych obrazów.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 xml:space="preserve">Technologia inna niż filtry do redukcji szumów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specklowych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(np. SRI,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ClearVision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XRes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) oraz niewykorzystująca technologii obrazowania składanego: przestrzennego (obrazowanie krzyżowe) i częstotliwościowego.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65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 xml:space="preserve"> Min. 4 kroki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77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specklowych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polepszający obrazowanie w trybie 2D z jednoczesnym uwydatnieniem granic tkanek o różnej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echogeniczności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(np. SRI,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Xres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Oprogramowanie służące do poprawy wizualizacji, likwidujące szumy i cienie akustyczne. Oprogramowanie wykorzystujące 2 naprzemiennie nadawane i odbierane częstotliwości z dolnego oraz górnego pasma pracy głowicy.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Oprogramowanie pomiarowe do badań min: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kardiologicznych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brzusznych 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położniczych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echo płodu (w tym Z-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score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ginekologicznych mięśniowo-szkieletowych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pediatrycznych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małych narządów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transkranialnych</w:t>
            </w:r>
            <w:proofErr w:type="spellEnd"/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urologicznych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tętnice szyjne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żyły kończyn górnych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tętnice kończyn górnych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żyły kończyn dolnych</w:t>
            </w:r>
          </w:p>
          <w:p w:rsidR="00592F96" w:rsidRPr="00A5248A" w:rsidRDefault="00592F96" w:rsidP="00351E0C">
            <w:pPr>
              <w:numPr>
                <w:ilvl w:val="0"/>
                <w:numId w:val="1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tętnice kończyn dolnych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464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Pomiary podstawowe na obrazie:</w:t>
            </w:r>
          </w:p>
          <w:p w:rsidR="00592F96" w:rsidRPr="00A5248A" w:rsidRDefault="00592F96" w:rsidP="00351E0C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pomiar odległości, </w:t>
            </w:r>
          </w:p>
          <w:p w:rsidR="00592F96" w:rsidRPr="00A5248A" w:rsidRDefault="00592F96" w:rsidP="00351E0C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obwodu, </w:t>
            </w:r>
          </w:p>
          <w:p w:rsidR="00592F96" w:rsidRPr="00A5248A" w:rsidRDefault="00592F96" w:rsidP="00351E0C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pola powierzchni, </w:t>
            </w:r>
          </w:p>
          <w:p w:rsidR="00592F96" w:rsidRPr="00A5248A" w:rsidRDefault="00592F96" w:rsidP="00351E0C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objętości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Funkcja automatycznego rozpoczynania kolejnego pomiaru po wykonaniu uprzedniego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stworzenia własnych pomiarów 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i formuł obliczeniowych.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A5248A">
              <w:rPr>
                <w:rFonts w:asciiTheme="majorHAnsi" w:hAnsiTheme="majorHAnsi" w:cs="Times New Roman"/>
                <w:sz w:val="20"/>
                <w:szCs w:val="20"/>
              </w:rPr>
              <w:t>Oprogramowanie do automatycznego wyznaczania frakcji wyrzutowej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 w:cs="Times New Roman"/>
                <w:sz w:val="20"/>
                <w:szCs w:val="20"/>
              </w:rPr>
              <w:t>Automatyczna analiza funkcji kurczliwości lewej komory, bazująca na technologii 2D-Strain z ilościową analizą 17  lub 19 segmentowego wykresu typu „Bycze Oko)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tworzenia protokołów badań – sekwencje następujących po sobie zdarzeń min. pomiary, zmiana trybów obrazowania.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351E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Głowice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Głowica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Phased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Array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wykonana w technologii pojedynczego kryształu lub matrycowej do badań kardiologicznych, TCD oraz brzusznych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lastRenderedPageBreak/>
              <w:t>zakres częstotliwości pracy min. 1-5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ilość elementów: min. 80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kąt skanowania:  min. 90°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Głowica liniowa wykonana w technologii pojedynczego kryształu lub matrycowej do badań położniczych, mięśniowo szkieletowych, małych narządów, naczyniowych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zakres częstotliwości pracy min.  2-14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ilość elementów: min. 250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 xml:space="preserve">szerokość </w:t>
            </w:r>
            <w:proofErr w:type="spellStart"/>
            <w:r w:rsidRPr="00B032DB">
              <w:rPr>
                <w:rFonts w:asciiTheme="majorHAnsi" w:hAnsiTheme="majorHAnsi"/>
                <w:sz w:val="20"/>
                <w:szCs w:val="20"/>
              </w:rPr>
              <w:t>skanu</w:t>
            </w:r>
            <w:proofErr w:type="spellEnd"/>
            <w:r w:rsidRPr="00B032DB">
              <w:rPr>
                <w:rFonts w:asciiTheme="majorHAnsi" w:hAnsiTheme="majorHAnsi"/>
                <w:sz w:val="20"/>
                <w:szCs w:val="20"/>
              </w:rPr>
              <w:t>: min 50 mm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pracy z przystawką biopsyjną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Głowica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wykonana w technologii pojedynczego kryształu lub matrycowej do badań brzusznych oraz ginekologiczno-położniczych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zakres częstotliwości pracy min. 1-7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ilość elementów: min. 192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kąt skanowania:  min. 65°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pracy z przystawką biopsyjną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92F96" w:rsidRPr="00A5248A" w:rsidRDefault="00592F96" w:rsidP="00351E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6A6A6" w:themeFill="background1" w:themeFillShade="A6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Możliwości rozbudowy aparatu dostępne na dzień składania ofert: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0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głowicę liniową do badań mięśniowo szkieletowych, małych narządów, naczyniowych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t>Zakres częstotliwości pracy min. 4-18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lość elementów: min. 288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podłączenia przystawki biopsyjnej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 wykonaną w technologii pojedynczego kryształu lub matrycowej do badań położniczych, ginekologicznych brzusznych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akres częstotliwości pracy min. 3-10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ąt skanowania:  min. 58°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podłączenia przystawki biopsyjnej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głowicę 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woluemtryczną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wykonana w technologii pojedynczego kryształu lub matrycowej do badań brzusznych oraz ginekologiczno-położniczych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zakres częstotliwości pracy min. 1-8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ilość elementów: min. 190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kąt skanowania:  min. 90°x 80°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pracy z przystawką biopsyjną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głowicę 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endowaginalna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do badań ginekologiczno-położniczych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akres częstotliwości pracy min. 2-11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ąt skanowania:  min. 150°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podłączenia przystawki biopsyjnej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lość elementów: min. 192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głowicę liniową do badań mięśniowo-szkieletowych, małych narządów, naczyniowych oraz brzusznych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zakres częstotliwości pracy min. 2-9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ilość elementów: min. 190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 xml:space="preserve">szerokość </w:t>
            </w:r>
            <w:proofErr w:type="spellStart"/>
            <w:r w:rsidRPr="00B032DB">
              <w:rPr>
                <w:rFonts w:asciiTheme="majorHAnsi" w:hAnsiTheme="majorHAnsi"/>
                <w:sz w:val="20"/>
                <w:szCs w:val="20"/>
              </w:rPr>
              <w:t>skanu</w:t>
            </w:r>
            <w:proofErr w:type="spellEnd"/>
            <w:r w:rsidRPr="00B032DB">
              <w:rPr>
                <w:rFonts w:asciiTheme="majorHAnsi" w:hAnsiTheme="majorHAnsi"/>
                <w:sz w:val="20"/>
                <w:szCs w:val="20"/>
              </w:rPr>
              <w:t>: min 44 mm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pracy z przystawką biopsyjną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głowicę wolumetryczną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endokawitarną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do badań ginekologicznych, położniczych i urologicznych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Zakres częstotliwości pracy 3-10 MHz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lość elementów: min. 190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B032DB">
              <w:rPr>
                <w:rFonts w:asciiTheme="majorHAnsi" w:hAnsiTheme="majorHAnsi"/>
                <w:sz w:val="20"/>
                <w:szCs w:val="20"/>
              </w:rPr>
              <w:t>ąt skanowania:  min. 170° x 120°</w:t>
            </w:r>
          </w:p>
          <w:p w:rsidR="00592F96" w:rsidRPr="00B032DB" w:rsidRDefault="00592F96" w:rsidP="00351E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B032DB">
              <w:rPr>
                <w:rFonts w:asciiTheme="majorHAnsi" w:hAnsiTheme="majorHAnsi"/>
                <w:sz w:val="20"/>
                <w:szCs w:val="20"/>
              </w:rPr>
              <w:t>możliwość podłączenia przystawki biopsyjnej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0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Tryb 3D/4D na głowicach wolumetrycznych ≥40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Oprogramowanie do automatycznego wykrywania twarzy płodu na zeskanowanej bryle 3D, usuwające wszystkie artefakty oraz struktury przykrywające twarz płodu w rekonstruowanej wizualizacji.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403"/>
        </w:trPr>
        <w:tc>
          <w:tcPr>
            <w:tcW w:w="567" w:type="dxa"/>
            <w:shd w:val="clear" w:color="auto" w:fill="FFFFFF" w:themeFill="background1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6237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fizyczną klawiaturę numeryczna wysuwana spod pulpitu sterowania.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oprogramowanie poprawiające jakość uzyskanych obrazów wolumetrycznych poprzez znaczące poprawienie rozdzielczości przestrzennej rekonstruowanej struktury np. HDVI lub VSRI działające zarówno w trybie 3D  jak i 4D.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963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</w:t>
            </w:r>
            <w:r w:rsidRPr="00A5248A">
              <w:rPr>
                <w:rFonts w:asciiTheme="majorHAnsi" w:hAnsiTheme="majorHAnsi" w:cs="Times New Roman"/>
                <w:sz w:val="20"/>
                <w:szCs w:val="20"/>
              </w:rPr>
              <w:t xml:space="preserve"> moduł zaawansowanego obrazowania 3D/4D umożliwiający wykonanie bardzo realistycznych wizualizacji płodu wyposażony w funkcję wirtualnego źródła światła (3 źródła światła – poprawiające wrażenie głębokości obiektu zrekonstruowanego obiektu trójwymiarowego) z możliwością regulacji kąta oświetlenia rekonstruowanej bryły.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oprogramowanie służące do rekonstruowania uzyskanej bryły wolumetrycznej (3D/4D) umożliwiające wizualizację struktur kostnych oraz narządów wewnętrznych z pominięciem tkanek miękkich wraz z możliwością wybrania stopnia transparentności. Oprogramowanie współpracujące z trybem kolor Doppler.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00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histerosalpingosonografii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HyCoSy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quazi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-przestrzenna mapa przepływu dopplerowskiego w oparciu o obrazowanie dwuwymiarowe 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Zaawansowany tryb służący do detekcji i obrazowania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micronaczyń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(średnica &lt; 0,6mm) w położnictwie oraz ginekologii (m.in. tętnice środkowe mózgu, unaczynienie łożyska).  Z możliwością wycięcia tła obrazu tak aby na ekranie w obszarze zainteresowania ROI widoczne były tylko naczynia. Oprogramowanie ma umożliwiać wyliczenie współczynnika VI (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vacular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index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) z zaznaczonego przez użytkownika obszaru.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Moduł komunikacji DICOM 3.0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Moduł komunikacji DICOM Q/R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705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pen-drive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, zewnętrzne dyski twarde, płyty DVD.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obrazowanie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elastograficzne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typu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Strain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dostępne na głowicach liniowych oraz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endokawitarnych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oprogramowanie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elastograficzne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dedykowane do badań piersi – obliczanie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strain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ratio na podstawie wybranego  jednego obszaru </w:t>
            </w:r>
            <w:r w:rsidRPr="00A5248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zainteresowania (ROI). System automatycznie wykrywa tkankę referencyjną i kalkuluje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strain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ratio.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693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oprogramowanie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elastograficzne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dedykowane do badania tarczycy -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elastografia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bez uciskowa wykorzystująca tętnienie tętnicy wspólnej do ugięcia płata tarczycy. Możliwość pomiaru współczynnika elastyczności wybranego obszaru.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748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moduł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elastografii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uciskowej dedykowany do badań szyjki macicy, z wyliczeniem stosunku elastyczności wewnętrznego ujścia szyjki macicy do zewnętrznego celem oceny ryzyka przedwczesnego porodu.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FFFFFF" w:themeFill="background1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moduł dedykowany do badania piersi w trybie B-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Mode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, umożliwiający analizę morfologiczną z automatycznym oraz półautomatycznym obrysem ewentualnych zmian nowotworowych oraz możliwością klasyfikacji nowotworowej według BI-RADS. Aplikacja zawiera dedykowany raport z badania piersi.</w:t>
            </w:r>
          </w:p>
        </w:tc>
        <w:tc>
          <w:tcPr>
            <w:tcW w:w="6237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FFFFFF" w:themeFill="background1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moduł dedykowany do badania tarczyc w trybie B-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Mode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6237" w:type="dxa"/>
            <w:shd w:val="clear" w:color="auto" w:fill="FFFFFF" w:themeFill="background1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780"/>
        </w:trPr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moduł: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Elastografia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akustyczna typu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Shearwave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umożliwiająca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max. oraz wartości średniej dla poszczególnych zaznaczonych obszarów pomiarowych. Możliwość wyliczenia stosunku sztywności  dwóch różnych zaznaczonych obszarów pomiarowych. Możliwość wyświetlenia mapy jakości w obszarze ROI informującej użytkownika o poprawności wykonanego badania.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365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oprogramowanie umożliwiające detekcję i pomiar kości długich płodu przy wykorzystaniu danych objętościowych.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921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aplikację służącą do analizy centralnego układu nerwowego płodu z uzyskanych danych wolumetrycznych  w sposób automatyczny  wyświetlającą 9 płaszczyzn diagnostycznych ( 3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axialne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4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coronalne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oraz 2 sagitalne) wraz z automatycznym zmierzeniem HC, BPD, OFD,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Vp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>, CEREB, CM.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592F96" w:rsidTr="00351E0C">
        <w:trPr>
          <w:trHeight w:val="1210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aplikację służącą do estymacji wagi płodu z uwzględnieniem objętości uda lub ramienia (wyliczoną z uzyskanych danych wolumetrycznych) oraz BPD i AC. Możliwość porównania w raporcie tak wyliczonej wagi płodu z estymowaną wagą uzyskaną ze standardowych pomiarów biometrii płodu (np. </w:t>
            </w:r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Campbell,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>Hadlock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 Hadlock1, Hadlock2,  Hadlock3, Hadlock4, 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>Hansmann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>Merz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 Osaka, Shepard,  Shinozuka1, Shinozuka2) </w:t>
            </w:r>
          </w:p>
        </w:tc>
        <w:tc>
          <w:tcPr>
            <w:tcW w:w="6237" w:type="dxa"/>
          </w:tcPr>
          <w:p w:rsidR="00592F96" w:rsidRPr="0069529D" w:rsidRDefault="00592F96" w:rsidP="00351E0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92F96" w:rsidRPr="00A5248A" w:rsidTr="00351E0C">
        <w:trPr>
          <w:trHeight w:val="777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aplikację służącą do automatycznego wykrywania właściwej płaszczyzny pomiarowej przezierności fałdu karkowego (NT) z uzyskanych danych wolumetrycznych wraz z możliwością półautomatycznego pomiaru NT.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1194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oprogramowanie służącego do półautomatycznego znajdowania  9 płaszczyzn diagnostycznych w zeskanowanej bryle (serce płodu w STIC) wraz z równoczesnym wyświetleniem na ekranie. Uzyskane płaszczyzny min:  4 jamy serca, 5 jam serca, drogi odpływu lewej komory, drogi odpływu prawej komory, 3 naczynia, jama brzuszna z żołądkiem,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ductal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arch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aortic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arch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vena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cava</w:t>
            </w:r>
            <w:proofErr w:type="spellEnd"/>
            <w:r w:rsidRPr="00A5248A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rPr>
          <w:trHeight w:val="761"/>
        </w:trPr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Możliwość rozbudowy o obrazowanie panoramiczne dostępne na głowicach liniowych oraz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auto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A5248A">
              <w:rPr>
                <w:rFonts w:asciiTheme="majorHAnsi" w:hAnsiTheme="majorHAnsi"/>
                <w:sz w:val="20"/>
                <w:szCs w:val="20"/>
              </w:rPr>
              <w:t xml:space="preserve">Aplikacja służąca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A5248A">
              <w:rPr>
                <w:rFonts w:asciiTheme="majorHAnsi" w:hAnsiTheme="majorHAnsi"/>
                <w:sz w:val="20"/>
                <w:szCs w:val="20"/>
              </w:rPr>
              <w:t>Framingham’a</w:t>
            </w:r>
            <w:proofErr w:type="spellEnd"/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2F96" w:rsidRPr="00A5248A" w:rsidRDefault="00592F96" w:rsidP="00351E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5248A">
              <w:rPr>
                <w:rFonts w:asciiTheme="majorHAnsi" w:hAnsiTheme="majorHAnsi"/>
                <w:b/>
                <w:sz w:val="20"/>
                <w:szCs w:val="20"/>
              </w:rPr>
              <w:t>Inne wymagania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92F96" w:rsidRPr="00A5248A" w:rsidRDefault="00592F96" w:rsidP="00351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69529D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69529D">
              <w:rPr>
                <w:rFonts w:asciiTheme="majorHAnsi" w:hAnsiTheme="majorHAnsi"/>
                <w:sz w:val="20"/>
                <w:szCs w:val="20"/>
              </w:rPr>
              <w:t>Dostarczony sprzęt musi posiadać co najmniej:</w:t>
            </w:r>
          </w:p>
          <w:p w:rsidR="00592F96" w:rsidRPr="0069529D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69529D">
              <w:rPr>
                <w:rFonts w:asciiTheme="majorHAnsi" w:hAnsiTheme="majorHAnsi"/>
                <w:sz w:val="20"/>
                <w:szCs w:val="20"/>
              </w:rPr>
              <w:t>- zgodność oprogramowania obsługującego aparat ze standardem DICOM 3.0,</w:t>
            </w:r>
          </w:p>
          <w:p w:rsidR="00592F96" w:rsidRPr="0069529D" w:rsidRDefault="00592F96" w:rsidP="00351E0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- </w:t>
            </w:r>
            <w:r w:rsidRPr="00592F96">
              <w:rPr>
                <w:rFonts w:asciiTheme="majorHAnsi" w:hAnsiTheme="majorHAnsi"/>
                <w:sz w:val="20"/>
                <w:szCs w:val="20"/>
              </w:rPr>
              <w:t>obsługa</w:t>
            </w:r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592F96">
              <w:rPr>
                <w:rFonts w:asciiTheme="majorHAnsi" w:hAnsiTheme="majorHAnsi"/>
                <w:sz w:val="20"/>
                <w:szCs w:val="20"/>
              </w:rPr>
              <w:t>protok</w:t>
            </w:r>
            <w:bookmarkStart w:id="0" w:name="_GoBack"/>
            <w:bookmarkEnd w:id="0"/>
            <w:r w:rsidRPr="00592F96">
              <w:rPr>
                <w:rFonts w:asciiTheme="majorHAnsi" w:hAnsiTheme="majorHAnsi"/>
                <w:sz w:val="20"/>
                <w:szCs w:val="20"/>
              </w:rPr>
              <w:t>ołów</w:t>
            </w:r>
            <w:r w:rsidRPr="0069529D">
              <w:rPr>
                <w:rFonts w:asciiTheme="majorHAnsi" w:hAnsiTheme="majorHAnsi"/>
                <w:sz w:val="20"/>
                <w:szCs w:val="20"/>
                <w:lang w:val="en-US"/>
              </w:rPr>
              <w:t>: DICOM Store, DICOM QUERY/RETRIVE, DICOM WORKLISTS,</w:t>
            </w:r>
          </w:p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  <w:r w:rsidRPr="0069529D">
              <w:rPr>
                <w:rFonts w:asciiTheme="majorHAnsi" w:hAnsiTheme="majorHAnsi"/>
                <w:sz w:val="20"/>
                <w:szCs w:val="20"/>
              </w:rPr>
              <w:t xml:space="preserve">- możliwość przekazywania informacji do systemu </w:t>
            </w:r>
            <w:proofErr w:type="spellStart"/>
            <w:r w:rsidRPr="0069529D">
              <w:rPr>
                <w:rFonts w:asciiTheme="majorHAnsi" w:hAnsiTheme="majorHAnsi"/>
                <w:sz w:val="20"/>
                <w:szCs w:val="20"/>
              </w:rPr>
              <w:t>MediCom</w:t>
            </w:r>
            <w:proofErr w:type="spellEnd"/>
            <w:r w:rsidRPr="0069529D">
              <w:rPr>
                <w:rFonts w:asciiTheme="majorHAnsi" w:hAnsiTheme="majorHAnsi"/>
                <w:sz w:val="20"/>
                <w:szCs w:val="20"/>
              </w:rPr>
              <w:t xml:space="preserve"> RIS o personelu wykonującym badanie w </w:t>
            </w:r>
            <w:proofErr w:type="spellStart"/>
            <w:r w:rsidRPr="0069529D">
              <w:rPr>
                <w:rFonts w:asciiTheme="majorHAnsi" w:hAnsiTheme="majorHAnsi"/>
                <w:sz w:val="20"/>
                <w:szCs w:val="20"/>
              </w:rPr>
              <w:t>tagach</w:t>
            </w:r>
            <w:proofErr w:type="spellEnd"/>
            <w:r w:rsidRPr="0069529D">
              <w:rPr>
                <w:rFonts w:asciiTheme="majorHAnsi" w:hAnsiTheme="majorHAnsi"/>
                <w:sz w:val="20"/>
                <w:szCs w:val="20"/>
              </w:rPr>
              <w:t xml:space="preserve"> DICOM.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Montaż, uruchomienie i przeszkolenie obsługi zawarte w cenie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Instrukcja w języku polskim: drukowana plus paszport techniczny dostarczone w momencie dostawy. Paszport  techniczny z wpisem dotyczącym sprawności urządzenia a także podający termin wykonania następnego przeglądu technicznego.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Dostępność części zamiennych w Polsce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Gwarancja 24 miesiące od dnia instalacji aparatu</w:t>
            </w:r>
            <w:r w:rsidRPr="004D212B">
              <w:rPr>
                <w:rFonts w:asciiTheme="majorHAnsi" w:hAnsiTheme="majorHAnsi"/>
                <w:sz w:val="20"/>
                <w:szCs w:val="20"/>
              </w:rPr>
              <w:t xml:space="preserve"> zapewniona przez autoryzowanego dystrybutora producenta min. 24 miesiące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W okresie gwarancji nieodpłatne przeglądy serwisowe realizowane według zaleceń producent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a aparatu.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Ostatni przegląd wynikający z udzielonej gwarancji zostanie przeprowadzony nie wcześniej niż na miesiąc przed końcem gwarancji. Każdy przegląd powinien być zakończony wpisem do paszport urządzenia.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Autoryzowany przez Producenta punkt serwisowy w Polsce – dostarczenie listy autoryzowanych punktów serwisowych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Zapewnieniem w dniach roboczych (od poniedziałku do piątku) czasu reakcji serwisu rozumianego jako przystąpienie do działań naprawczych do 24 godzin od chwili zgłoszenia przez Zamawiającego  awarii: telefonicznie, e-mail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Zapewnienie 48 godzinnego czasu naprawy w dniach roboczych (od poniedziałku do piątku) liczone od daty zgłoszenia przez Zamawiającego awarii. W przypadku konieczności przesłania urządzenia lub jego części (w okresie gwarancji) „do” i „z” miejsca naprawy - koszty transportu ponosi Wykonawca.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F96" w:rsidRPr="00A5248A" w:rsidTr="00351E0C">
        <w:tc>
          <w:tcPr>
            <w:tcW w:w="567" w:type="dxa"/>
            <w:vAlign w:val="center"/>
          </w:tcPr>
          <w:p w:rsidR="00592F96" w:rsidRPr="00A5248A" w:rsidRDefault="00592F96" w:rsidP="00592F9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3" w:type="dxa"/>
          </w:tcPr>
          <w:p w:rsidR="00592F96" w:rsidRPr="004D212B" w:rsidRDefault="00592F96" w:rsidP="00351E0C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4D212B">
              <w:rPr>
                <w:rFonts w:asciiTheme="majorHAnsi" w:hAnsiTheme="majorHAnsi"/>
                <w:sz w:val="20"/>
                <w:szCs w:val="20"/>
                <w:lang w:eastAsia="ar-SA"/>
              </w:rPr>
              <w:t>Certyfikat lub inny dokument dopuszczający aparat do użytkowania na terenie Polski i UE wymagany obowiązującymi przepisami prawa, jak: Zgłoszenie w Urzędzie Rejestracji Produktów Leczniczych , Wyrobów Medycznych i produktów Bakteriobójczych, atesty, certyfikaty CE, deklaracje zgodności  - zgodnie  z Ustawą z dnia  20 maja 2010 roku o wyrobach medycznych .</w:t>
            </w:r>
          </w:p>
        </w:tc>
        <w:tc>
          <w:tcPr>
            <w:tcW w:w="6237" w:type="dxa"/>
          </w:tcPr>
          <w:p w:rsidR="00592F96" w:rsidRPr="00A5248A" w:rsidRDefault="00592F96" w:rsidP="00351E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92F96" w:rsidRDefault="00592F96" w:rsidP="00592F96"/>
    <w:p w:rsidR="00592F96" w:rsidRDefault="00592F96"/>
    <w:sectPr w:rsidR="00592F96" w:rsidSect="0069529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E4" w:rsidRDefault="007516E4" w:rsidP="00592F96">
      <w:r>
        <w:separator/>
      </w:r>
    </w:p>
  </w:endnote>
  <w:endnote w:type="continuationSeparator" w:id="0">
    <w:p w:rsidR="007516E4" w:rsidRDefault="007516E4" w:rsidP="0059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E4" w:rsidRDefault="007516E4" w:rsidP="00592F96">
      <w:r>
        <w:separator/>
      </w:r>
    </w:p>
  </w:footnote>
  <w:footnote w:type="continuationSeparator" w:id="0">
    <w:p w:rsidR="007516E4" w:rsidRDefault="007516E4" w:rsidP="0059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96" w:rsidRPr="009D3126" w:rsidRDefault="00592F96" w:rsidP="00592F96">
    <w:pPr>
      <w:pStyle w:val="Nagwek"/>
      <w:tabs>
        <w:tab w:val="clear" w:pos="4536"/>
        <w:tab w:val="left" w:pos="1080"/>
        <w:tab w:val="center" w:pos="4535"/>
      </w:tabs>
      <w:jc w:val="center"/>
      <w:rPr>
        <w:rFonts w:ascii="Cambria" w:hAnsi="Cambria"/>
      </w:rPr>
    </w:pPr>
    <w:r w:rsidRPr="009D3126">
      <w:rPr>
        <w:rFonts w:ascii="Cambria" w:hAnsi="Cambria"/>
      </w:rPr>
      <w:t>Specyfikacja Warunków Zamówienia</w:t>
    </w:r>
  </w:p>
  <w:p w:rsidR="00592F96" w:rsidRPr="009D3126" w:rsidRDefault="00592F96" w:rsidP="00592F96">
    <w:pPr>
      <w:jc w:val="center"/>
      <w:rPr>
        <w:rFonts w:ascii="Cambria" w:hAnsi="Cambria"/>
      </w:rPr>
    </w:pPr>
    <w:r>
      <w:rPr>
        <w:rFonts w:ascii="Cambria" w:hAnsi="Cambria"/>
      </w:rPr>
      <w:t xml:space="preserve">Dostawa wraz instalacją aparatów ultrasonograficznych – </w:t>
    </w:r>
    <w:r w:rsidRPr="009D3126">
      <w:rPr>
        <w:rFonts w:ascii="Cambria" w:hAnsi="Cambria"/>
      </w:rPr>
      <w:t>sprawa</w:t>
    </w:r>
    <w:r>
      <w:rPr>
        <w:rFonts w:ascii="Cambria" w:hAnsi="Cambria"/>
      </w:rPr>
      <w:t xml:space="preserve"> </w:t>
    </w:r>
    <w:r w:rsidRPr="009D3126">
      <w:rPr>
        <w:rFonts w:ascii="Cambria" w:hAnsi="Cambria"/>
      </w:rPr>
      <w:t xml:space="preserve">nr </w:t>
    </w:r>
    <w:r w:rsidRPr="009D3126">
      <w:rPr>
        <w:rFonts w:ascii="Cambria" w:hAnsi="Cambria"/>
        <w:lang w:eastAsia="x-none"/>
      </w:rPr>
      <w:t>SZPZLO/</w:t>
    </w:r>
    <w:r>
      <w:rPr>
        <w:rFonts w:ascii="Cambria" w:hAnsi="Cambria"/>
        <w:lang w:eastAsia="x-none"/>
      </w:rPr>
      <w:t>Z-11</w:t>
    </w:r>
    <w:r w:rsidRPr="009D3126">
      <w:rPr>
        <w:rFonts w:ascii="Cambria" w:hAnsi="Cambria"/>
        <w:lang w:eastAsia="x-none"/>
      </w:rPr>
      <w:t>/</w:t>
    </w:r>
    <w:r>
      <w:rPr>
        <w:rFonts w:ascii="Cambria" w:hAnsi="Cambria"/>
        <w:lang w:eastAsia="x-none"/>
      </w:rPr>
      <w:t>2022</w:t>
    </w:r>
  </w:p>
  <w:p w:rsidR="00592F96" w:rsidRDefault="00592F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46F"/>
    <w:multiLevelType w:val="hybridMultilevel"/>
    <w:tmpl w:val="87124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829"/>
    <w:multiLevelType w:val="hybridMultilevel"/>
    <w:tmpl w:val="16DAE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34503"/>
    <w:multiLevelType w:val="hybridMultilevel"/>
    <w:tmpl w:val="97F89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A7BA8"/>
    <w:multiLevelType w:val="hybridMultilevel"/>
    <w:tmpl w:val="7076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D248A"/>
    <w:multiLevelType w:val="hybridMultilevel"/>
    <w:tmpl w:val="DF5ED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7176E"/>
    <w:multiLevelType w:val="hybridMultilevel"/>
    <w:tmpl w:val="F4E6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E2CCA"/>
    <w:multiLevelType w:val="hybridMultilevel"/>
    <w:tmpl w:val="00983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B2C28"/>
    <w:multiLevelType w:val="hybridMultilevel"/>
    <w:tmpl w:val="8B4C4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46B2"/>
    <w:multiLevelType w:val="hybridMultilevel"/>
    <w:tmpl w:val="A5149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6169C"/>
    <w:multiLevelType w:val="hybridMultilevel"/>
    <w:tmpl w:val="18B88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E09B5"/>
    <w:multiLevelType w:val="hybridMultilevel"/>
    <w:tmpl w:val="31807E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A23AF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7B2EAD"/>
    <w:multiLevelType w:val="hybridMultilevel"/>
    <w:tmpl w:val="D6D66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80540"/>
    <w:multiLevelType w:val="hybridMultilevel"/>
    <w:tmpl w:val="52D0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32CB3"/>
    <w:multiLevelType w:val="hybridMultilevel"/>
    <w:tmpl w:val="085C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912C2"/>
    <w:multiLevelType w:val="hybridMultilevel"/>
    <w:tmpl w:val="7F2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F710BA"/>
    <w:multiLevelType w:val="hybridMultilevel"/>
    <w:tmpl w:val="FE104E44"/>
    <w:lvl w:ilvl="0" w:tplc="BFC688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19"/>
  </w:num>
  <w:num w:numId="14">
    <w:abstractNumId w:val="17"/>
  </w:num>
  <w:num w:numId="15">
    <w:abstractNumId w:val="5"/>
  </w:num>
  <w:num w:numId="16">
    <w:abstractNumId w:val="15"/>
  </w:num>
  <w:num w:numId="17">
    <w:abstractNumId w:val="16"/>
  </w:num>
  <w:num w:numId="18">
    <w:abstractNumId w:val="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D"/>
    <w:rsid w:val="002D04F6"/>
    <w:rsid w:val="004D212B"/>
    <w:rsid w:val="00592F96"/>
    <w:rsid w:val="0069529D"/>
    <w:rsid w:val="007516E4"/>
    <w:rsid w:val="00D64252"/>
    <w:rsid w:val="00E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9D"/>
    <w:pPr>
      <w:spacing w:after="0" w:line="240" w:lineRule="auto"/>
    </w:pPr>
    <w:rPr>
      <w:rFonts w:ascii="Garamond" w:eastAsia="Times New Roman" w:hAnsi="Garamond" w:cs="Arial"/>
      <w:kern w:val="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529D"/>
    <w:pPr>
      <w:spacing w:before="100" w:beforeAutospacing="1" w:after="100" w:afterAutospacing="1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styleId="NormalnyWeb">
    <w:name w:val="Normal (Web)"/>
    <w:basedOn w:val="Normalny"/>
    <w:uiPriority w:val="99"/>
    <w:rsid w:val="0069529D"/>
    <w:pPr>
      <w:widowControl w:val="0"/>
      <w:suppressAutoHyphens/>
      <w:autoSpaceDN w:val="0"/>
      <w:spacing w:before="28" w:after="28"/>
      <w:jc w:val="both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952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table" w:styleId="Tabela-Siatka">
    <w:name w:val="Table Grid"/>
    <w:basedOn w:val="Standardowy"/>
    <w:uiPriority w:val="59"/>
    <w:rsid w:val="0069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592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2F96"/>
    <w:rPr>
      <w:rFonts w:ascii="Garamond" w:eastAsia="Times New Roman" w:hAnsi="Garamond" w:cs="Arial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F96"/>
    <w:rPr>
      <w:rFonts w:ascii="Garamond" w:eastAsia="Times New Roman" w:hAnsi="Garamond" w:cs="Arial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9D"/>
    <w:pPr>
      <w:spacing w:after="0" w:line="240" w:lineRule="auto"/>
    </w:pPr>
    <w:rPr>
      <w:rFonts w:ascii="Garamond" w:eastAsia="Times New Roman" w:hAnsi="Garamond" w:cs="Arial"/>
      <w:kern w:val="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529D"/>
    <w:pPr>
      <w:spacing w:before="100" w:beforeAutospacing="1" w:after="100" w:afterAutospacing="1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styleId="NormalnyWeb">
    <w:name w:val="Normal (Web)"/>
    <w:basedOn w:val="Normalny"/>
    <w:uiPriority w:val="99"/>
    <w:rsid w:val="0069529D"/>
    <w:pPr>
      <w:widowControl w:val="0"/>
      <w:suppressAutoHyphens/>
      <w:autoSpaceDN w:val="0"/>
      <w:spacing w:before="28" w:after="28"/>
      <w:jc w:val="both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952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table" w:styleId="Tabela-Siatka">
    <w:name w:val="Table Grid"/>
    <w:basedOn w:val="Standardowy"/>
    <w:uiPriority w:val="59"/>
    <w:rsid w:val="0069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592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2F96"/>
    <w:rPr>
      <w:rFonts w:ascii="Garamond" w:eastAsia="Times New Roman" w:hAnsi="Garamond" w:cs="Arial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F96"/>
    <w:rPr>
      <w:rFonts w:ascii="Garamond" w:eastAsia="Times New Roman" w:hAnsi="Garamond" w:cs="Arial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4693</Words>
  <Characters>28161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Artur Pianka</cp:lastModifiedBy>
  <cp:revision>2</cp:revision>
  <dcterms:created xsi:type="dcterms:W3CDTF">2022-03-11T08:09:00Z</dcterms:created>
  <dcterms:modified xsi:type="dcterms:W3CDTF">2022-03-11T08:09:00Z</dcterms:modified>
</cp:coreProperties>
</file>