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CA30" w14:textId="77777777" w:rsidR="00AA71FF" w:rsidRPr="00E45740" w:rsidRDefault="00AA71FF" w:rsidP="00AA71FF">
      <w:pPr>
        <w:autoSpaceDE w:val="0"/>
        <w:autoSpaceDN w:val="0"/>
        <w:adjustRightInd w:val="0"/>
        <w:rPr>
          <w:rFonts w:ascii="Tahoma" w:eastAsiaTheme="minorHAnsi" w:hAnsi="Tahoma" w:cs="Tahoma"/>
          <w:b/>
          <w:bCs/>
          <w:sz w:val="24"/>
          <w:lang w:eastAsia="en-US"/>
          <w14:ligatures w14:val="standardContextual"/>
        </w:rPr>
      </w:pPr>
    </w:p>
    <w:p w14:paraId="48CBC9B5" w14:textId="1667A94A" w:rsidR="00AA71FF" w:rsidRPr="00E45740" w:rsidRDefault="00B02E6F" w:rsidP="00434CDC">
      <w:pPr>
        <w:autoSpaceDE w:val="0"/>
        <w:autoSpaceDN w:val="0"/>
        <w:adjustRightInd w:val="0"/>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1</w:t>
      </w:r>
      <w:r w:rsidR="0070199A" w:rsidRPr="00E45740">
        <w:rPr>
          <w:rFonts w:ascii="Tahoma" w:eastAsiaTheme="minorHAnsi" w:hAnsi="Tahoma" w:cs="Tahoma"/>
          <w:b/>
          <w:bCs/>
          <w:sz w:val="24"/>
          <w:lang w:eastAsia="en-US"/>
          <w14:ligatures w14:val="standardContextual"/>
        </w:rPr>
        <w:t xml:space="preserve">. </w:t>
      </w:r>
      <w:r w:rsidR="00AA71FF" w:rsidRPr="00E45740">
        <w:rPr>
          <w:rFonts w:ascii="Tahoma" w:eastAsiaTheme="minorHAnsi" w:hAnsi="Tahoma" w:cs="Tahoma"/>
          <w:b/>
          <w:bCs/>
          <w:sz w:val="24"/>
          <w:lang w:eastAsia="en-US"/>
          <w14:ligatures w14:val="standardContextual"/>
        </w:rPr>
        <w:t>Punkt Dystrybucyjny</w:t>
      </w:r>
      <w:r w:rsidR="0070199A" w:rsidRPr="00E45740">
        <w:rPr>
          <w:rFonts w:ascii="Tahoma" w:eastAsiaTheme="minorHAnsi" w:hAnsi="Tahoma" w:cs="Tahoma"/>
          <w:b/>
          <w:bCs/>
          <w:sz w:val="24"/>
          <w:lang w:eastAsia="en-US"/>
          <w14:ligatures w14:val="standardContextual"/>
        </w:rPr>
        <w:t xml:space="preserve"> – 1 szt.</w:t>
      </w:r>
    </w:p>
    <w:p w14:paraId="18D8B375" w14:textId="77777777" w:rsidR="00A127D7" w:rsidRPr="00E45740" w:rsidRDefault="00A127D7" w:rsidP="00434CDC">
      <w:pPr>
        <w:autoSpaceDE w:val="0"/>
        <w:autoSpaceDN w:val="0"/>
        <w:adjustRightInd w:val="0"/>
        <w:jc w:val="both"/>
        <w:rPr>
          <w:rFonts w:ascii="Tahoma" w:eastAsiaTheme="minorHAnsi" w:hAnsi="Tahoma" w:cs="Tahoma"/>
          <w:b/>
          <w:bCs/>
          <w:sz w:val="24"/>
          <w:lang w:eastAsia="en-US"/>
          <w14:ligatures w14:val="standardContextual"/>
        </w:rPr>
      </w:pPr>
    </w:p>
    <w:p w14:paraId="4D05FF6B" w14:textId="322A0487" w:rsidR="00AA71FF" w:rsidRPr="00E45740" w:rsidRDefault="00AA71FF" w:rsidP="00434CDC">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1.Wymaga się wyposażyć Punkt Dystrybucyjny w niezbędną ilość przełączników dystrybucyjnych</w:t>
      </w:r>
      <w:r w:rsidR="00E45740" w:rsidRPr="00E45740">
        <w:rPr>
          <w:rFonts w:ascii="Tahoma" w:eastAsiaTheme="minorHAnsi" w:hAnsi="Tahoma" w:cs="Tahoma"/>
          <w:sz w:val="24"/>
          <w:lang w:eastAsia="en-US"/>
          <w14:ligatures w14:val="standardContextual"/>
        </w:rPr>
        <w:t xml:space="preserve"> (1szt)</w:t>
      </w:r>
      <w:r w:rsidRPr="00E45740">
        <w:rPr>
          <w:rFonts w:ascii="Tahoma" w:eastAsiaTheme="minorHAnsi" w:hAnsi="Tahoma" w:cs="Tahoma"/>
          <w:sz w:val="24"/>
          <w:lang w:eastAsia="en-US"/>
          <w14:ligatures w14:val="standardContextual"/>
        </w:rPr>
        <w:t>.</w:t>
      </w:r>
    </w:p>
    <w:p w14:paraId="7C0B0AE8" w14:textId="66311E4F" w:rsidR="00AA71FF" w:rsidRPr="00E45740" w:rsidRDefault="00AA71FF" w:rsidP="00434CDC">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2.Wymaga się dostawy oraz montażu przełącznik</w:t>
      </w:r>
      <w:r w:rsidR="00A127D7" w:rsidRPr="00E45740">
        <w:rPr>
          <w:rFonts w:ascii="Tahoma" w:eastAsiaTheme="minorHAnsi" w:hAnsi="Tahoma" w:cs="Tahoma"/>
          <w:sz w:val="24"/>
          <w:lang w:eastAsia="en-US"/>
          <w14:ligatures w14:val="standardContextual"/>
        </w:rPr>
        <w:t>a oraz konfiguracji dostarczonego przełącznika zgodnie z podanymi przez zamawiającego wytycznymi.</w:t>
      </w:r>
    </w:p>
    <w:p w14:paraId="64EE3703" w14:textId="38ED680E" w:rsidR="00AA71FF" w:rsidRPr="00E45740" w:rsidRDefault="000775DC" w:rsidP="00434CDC">
      <w:pPr>
        <w:autoSpaceDE w:val="0"/>
        <w:autoSpaceDN w:val="0"/>
        <w:adjustRightInd w:val="0"/>
        <w:jc w:val="both"/>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3</w:t>
      </w:r>
      <w:r w:rsidR="00AA71FF" w:rsidRPr="00E45740">
        <w:rPr>
          <w:rFonts w:ascii="Tahoma" w:eastAsiaTheme="minorHAnsi" w:hAnsi="Tahoma" w:cs="Tahoma"/>
          <w:sz w:val="24"/>
          <w:lang w:eastAsia="en-US"/>
          <w14:ligatures w14:val="standardContextual"/>
        </w:rPr>
        <w:t xml:space="preserve">.Wymaga się dostarczenia </w:t>
      </w:r>
      <w:r w:rsidR="00A127D7" w:rsidRPr="00E45740">
        <w:rPr>
          <w:rFonts w:ascii="Tahoma" w:eastAsiaTheme="minorHAnsi" w:hAnsi="Tahoma" w:cs="Tahoma"/>
          <w:sz w:val="24"/>
          <w:lang w:eastAsia="en-US"/>
          <w14:ligatures w14:val="standardContextual"/>
        </w:rPr>
        <w:t xml:space="preserve">i montażu panela wentylacyjnego wraz z termostatem 1U oraz dostarczenia i montażu </w:t>
      </w:r>
      <w:r w:rsidR="00AA71FF" w:rsidRPr="00E45740">
        <w:rPr>
          <w:rFonts w:ascii="Tahoma" w:eastAsiaTheme="minorHAnsi" w:hAnsi="Tahoma" w:cs="Tahoma"/>
          <w:sz w:val="24"/>
          <w:lang w:eastAsia="en-US"/>
          <w14:ligatures w14:val="standardContextual"/>
        </w:rPr>
        <w:t>niezbędnej do uruchomienia ilości organizerów, patchpaneli i listew zasilających</w:t>
      </w:r>
      <w:r w:rsidR="00157122" w:rsidRPr="00E45740">
        <w:rPr>
          <w:rFonts w:ascii="Tahoma" w:eastAsiaTheme="minorHAnsi" w:hAnsi="Tahoma" w:cs="Tahoma"/>
          <w:sz w:val="24"/>
          <w:lang w:eastAsia="en-US"/>
          <w14:ligatures w14:val="standardContextual"/>
        </w:rPr>
        <w:t xml:space="preserve">, </w:t>
      </w:r>
    </w:p>
    <w:p w14:paraId="529527B2" w14:textId="37A4C8AD" w:rsidR="00AA71FF" w:rsidRPr="00E45740" w:rsidRDefault="000775DC" w:rsidP="00434CDC">
      <w:pPr>
        <w:autoSpaceDE w:val="0"/>
        <w:autoSpaceDN w:val="0"/>
        <w:adjustRightInd w:val="0"/>
        <w:jc w:val="both"/>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4</w:t>
      </w:r>
      <w:r w:rsidR="00AA71FF" w:rsidRPr="00E45740">
        <w:rPr>
          <w:rFonts w:ascii="Tahoma" w:eastAsiaTheme="minorHAnsi" w:hAnsi="Tahoma" w:cs="Tahoma"/>
          <w:sz w:val="24"/>
          <w:lang w:eastAsia="en-US"/>
          <w14:ligatures w14:val="standardContextual"/>
        </w:rPr>
        <w:t>.Wymaga się dostarczenia patchcord</w:t>
      </w:r>
      <w:r w:rsidR="00A127D7" w:rsidRPr="00E45740">
        <w:rPr>
          <w:rFonts w:ascii="Tahoma" w:eastAsiaTheme="minorHAnsi" w:hAnsi="Tahoma" w:cs="Tahoma"/>
          <w:sz w:val="24"/>
          <w:lang w:eastAsia="en-US"/>
          <w14:ligatures w14:val="standardContextual"/>
        </w:rPr>
        <w:t>’ow</w:t>
      </w:r>
      <w:r w:rsidR="00AA71FF" w:rsidRPr="00E45740">
        <w:rPr>
          <w:rFonts w:ascii="Tahoma" w:eastAsiaTheme="minorHAnsi" w:hAnsi="Tahoma" w:cs="Tahoma"/>
          <w:sz w:val="24"/>
          <w:lang w:eastAsia="en-US"/>
          <w14:ligatures w14:val="standardContextual"/>
        </w:rPr>
        <w:t xml:space="preserve"> w ilości odpowiadającej ilości stworzonych punktów</w:t>
      </w:r>
      <w:r w:rsidR="00A127D7" w:rsidRPr="00E45740">
        <w:rPr>
          <w:rFonts w:ascii="Tahoma" w:eastAsiaTheme="minorHAnsi" w:hAnsi="Tahoma" w:cs="Tahoma"/>
          <w:sz w:val="24"/>
          <w:lang w:eastAsia="en-US"/>
          <w14:ligatures w14:val="standardContextual"/>
        </w:rPr>
        <w:t xml:space="preserve"> </w:t>
      </w:r>
      <w:r w:rsidR="00AA71FF" w:rsidRPr="00E45740">
        <w:rPr>
          <w:rFonts w:ascii="Tahoma" w:eastAsiaTheme="minorHAnsi" w:hAnsi="Tahoma" w:cs="Tahoma"/>
          <w:sz w:val="24"/>
          <w:lang w:eastAsia="en-US"/>
          <w14:ligatures w14:val="standardContextual"/>
        </w:rPr>
        <w:t>logicznych.</w:t>
      </w:r>
    </w:p>
    <w:p w14:paraId="2D68A551" w14:textId="482BD8CF" w:rsidR="00BA1C0D" w:rsidRPr="00E45740" w:rsidRDefault="000775DC" w:rsidP="00A66C98">
      <w:pPr>
        <w:jc w:val="both"/>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5</w:t>
      </w:r>
      <w:r w:rsidR="00AA71FF" w:rsidRPr="00E45740">
        <w:rPr>
          <w:rFonts w:ascii="Tahoma" w:eastAsiaTheme="minorHAnsi" w:hAnsi="Tahoma" w:cs="Tahoma"/>
          <w:sz w:val="24"/>
          <w:lang w:eastAsia="en-US"/>
          <w14:ligatures w14:val="standardContextual"/>
        </w:rPr>
        <w:t>.Wymaga się wykonania krosowania szafy.</w:t>
      </w:r>
    </w:p>
    <w:p w14:paraId="7C93A893" w14:textId="17CA9850" w:rsidR="00CB043A" w:rsidRDefault="000775DC" w:rsidP="00A66C98">
      <w:pPr>
        <w:jc w:val="both"/>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6</w:t>
      </w:r>
      <w:r w:rsidR="00CB043A" w:rsidRPr="00E45740">
        <w:rPr>
          <w:rFonts w:ascii="Tahoma" w:eastAsiaTheme="minorHAnsi" w:hAnsi="Tahoma" w:cs="Tahoma"/>
          <w:sz w:val="24"/>
          <w:lang w:eastAsia="en-US"/>
          <w14:ligatures w14:val="standardContextual"/>
        </w:rPr>
        <w:t>. Wymaga się doposażyć punkt dystrybucyjny w urządzenie typu UPS pozwalające na podtrzymanie zasilania w szafie dystrybucyjnej.</w:t>
      </w:r>
    </w:p>
    <w:p w14:paraId="6170032F" w14:textId="7DF431EA" w:rsidR="009A5635" w:rsidRDefault="009A5635" w:rsidP="009A5635">
      <w:pPr>
        <w:jc w:val="both"/>
        <w:rPr>
          <w:rFonts w:ascii="Tahoma" w:eastAsiaTheme="minorHAnsi" w:hAnsi="Tahoma" w:cs="Tahoma"/>
          <w:sz w:val="24"/>
          <w:lang w:eastAsia="en-US"/>
        </w:rPr>
      </w:pPr>
      <w:r>
        <w:rPr>
          <w:rFonts w:ascii="Tahoma" w:eastAsiaTheme="minorHAnsi" w:hAnsi="Tahoma" w:cs="Tahoma"/>
          <w:sz w:val="24"/>
          <w:lang w:eastAsia="en-US"/>
        </w:rPr>
        <w:t>7.Wykonawca zobowiązany jest również do dokonania niezbędnej konfiguracji przełącznika pozwalających na komunikację z istniejącą infrastrukturą teleinformatyczną</w:t>
      </w:r>
    </w:p>
    <w:p w14:paraId="7EEC3308" w14:textId="77777777" w:rsidR="009A5635" w:rsidRPr="00E45740" w:rsidRDefault="009A5635" w:rsidP="00A66C98">
      <w:pPr>
        <w:jc w:val="both"/>
        <w:rPr>
          <w:rFonts w:ascii="Tahoma" w:eastAsiaTheme="minorHAnsi" w:hAnsi="Tahoma" w:cs="Tahoma"/>
          <w:sz w:val="24"/>
          <w:lang w:eastAsia="en-US"/>
          <w14:ligatures w14:val="standardContextual"/>
        </w:rPr>
      </w:pPr>
    </w:p>
    <w:p w14:paraId="13E3EBB9" w14:textId="77777777" w:rsidR="00B02E6F" w:rsidRPr="00E45740" w:rsidRDefault="00B02E6F" w:rsidP="00A66C98">
      <w:pPr>
        <w:jc w:val="both"/>
        <w:rPr>
          <w:rFonts w:ascii="Tahoma" w:eastAsiaTheme="minorHAnsi" w:hAnsi="Tahoma" w:cs="Tahoma"/>
          <w:sz w:val="24"/>
          <w:lang w:eastAsia="en-US"/>
          <w14:ligatures w14:val="standardContextual"/>
        </w:rPr>
      </w:pPr>
    </w:p>
    <w:p w14:paraId="3344C83C" w14:textId="5CD3F8B9" w:rsidR="00B02E6F" w:rsidRPr="00E45740" w:rsidRDefault="00B02E6F" w:rsidP="00A66C98">
      <w:pPr>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Specyfikacja przełącznika</w:t>
      </w:r>
    </w:p>
    <w:p w14:paraId="3A548877" w14:textId="77777777" w:rsidR="00B02E6F" w:rsidRPr="00E45740" w:rsidRDefault="00B02E6F" w:rsidP="00B02E6F">
      <w:pPr>
        <w:keepNext/>
        <w:keepLines/>
        <w:suppressAutoHyphens/>
        <w:autoSpaceDE w:val="0"/>
        <w:autoSpaceDN w:val="0"/>
        <w:adjustRightInd w:val="0"/>
        <w:spacing w:line="276" w:lineRule="auto"/>
        <w:ind w:left="360" w:right="-284"/>
        <w:jc w:val="both"/>
        <w:rPr>
          <w:rFonts w:ascii="Tahoma" w:hAnsi="Tahoma" w:cs="Tahoma"/>
          <w:b/>
          <w:bCs/>
          <w:sz w:val="24"/>
        </w:rPr>
      </w:pPr>
    </w:p>
    <w:p w14:paraId="5F30D13B" w14:textId="5774E3D0" w:rsidR="00B02E6F" w:rsidRPr="00E45740" w:rsidRDefault="00B02E6F" w:rsidP="00E45740">
      <w:pPr>
        <w:keepNext/>
        <w:keepLines/>
        <w:suppressAutoHyphens/>
        <w:autoSpaceDE w:val="0"/>
        <w:autoSpaceDN w:val="0"/>
        <w:adjustRightInd w:val="0"/>
        <w:spacing w:line="276" w:lineRule="auto"/>
        <w:ind w:right="-284" w:firstLine="360"/>
        <w:jc w:val="both"/>
        <w:rPr>
          <w:rFonts w:ascii="Tahoma" w:hAnsi="Tahoma" w:cs="Tahoma"/>
          <w:b/>
          <w:bCs/>
          <w:sz w:val="24"/>
        </w:rPr>
      </w:pPr>
      <w:r w:rsidRPr="00E45740">
        <w:rPr>
          <w:rFonts w:ascii="Tahoma" w:hAnsi="Tahoma" w:cs="Tahoma"/>
          <w:b/>
          <w:bCs/>
          <w:sz w:val="24"/>
        </w:rPr>
        <w:t>Przełącznik sieciowy- 1 szt.</w:t>
      </w:r>
    </w:p>
    <w:p w14:paraId="6ED7AB88" w14:textId="77777777" w:rsidR="00B02E6F" w:rsidRPr="00E45740" w:rsidRDefault="00B02E6F" w:rsidP="00B02E6F">
      <w:pPr>
        <w:keepNext/>
        <w:keepLines/>
        <w:suppressAutoHyphens/>
        <w:autoSpaceDE w:val="0"/>
        <w:autoSpaceDN w:val="0"/>
        <w:adjustRightInd w:val="0"/>
        <w:spacing w:line="276" w:lineRule="auto"/>
        <w:ind w:left="360" w:right="-284"/>
        <w:jc w:val="both"/>
        <w:rPr>
          <w:rFonts w:ascii="Tahoma" w:hAnsi="Tahoma" w:cs="Tahoma"/>
          <w:b/>
          <w:bCs/>
          <w:sz w:val="24"/>
        </w:rPr>
      </w:pPr>
    </w:p>
    <w:p w14:paraId="62DC7E36" w14:textId="77777777" w:rsidR="00B02E6F" w:rsidRPr="00E45740" w:rsidRDefault="00B02E6F" w:rsidP="00B02E6F">
      <w:pPr>
        <w:keepNext/>
        <w:keepLines/>
        <w:suppressAutoHyphens/>
        <w:autoSpaceDE w:val="0"/>
        <w:autoSpaceDN w:val="0"/>
        <w:adjustRightInd w:val="0"/>
        <w:spacing w:line="276" w:lineRule="auto"/>
        <w:ind w:left="360" w:right="-284"/>
        <w:jc w:val="both"/>
        <w:rPr>
          <w:rFonts w:ascii="Tahoma" w:hAnsi="Tahoma" w:cs="Tahoma"/>
          <w:sz w:val="24"/>
        </w:rPr>
      </w:pPr>
      <w:r w:rsidRPr="00E45740">
        <w:rPr>
          <w:rFonts w:ascii="Tahoma" w:hAnsi="Tahoma" w:cs="Tahoma"/>
          <w:sz w:val="24"/>
        </w:rPr>
        <w:t xml:space="preserve">W poniższej tabeli przedstawiono wymagania dla urządzenia: </w:t>
      </w:r>
    </w:p>
    <w:p w14:paraId="4307BA87" w14:textId="77777777" w:rsidR="00E45740" w:rsidRPr="00E45740" w:rsidRDefault="00E45740" w:rsidP="00B02E6F">
      <w:pPr>
        <w:keepNext/>
        <w:keepLines/>
        <w:suppressAutoHyphens/>
        <w:autoSpaceDE w:val="0"/>
        <w:autoSpaceDN w:val="0"/>
        <w:adjustRightInd w:val="0"/>
        <w:spacing w:line="276" w:lineRule="auto"/>
        <w:ind w:left="360" w:right="-284"/>
        <w:jc w:val="both"/>
        <w:rPr>
          <w:rFonts w:ascii="Tahoma" w:hAnsi="Tahoma" w:cs="Tahoma"/>
          <w:sz w:val="24"/>
        </w:rPr>
      </w:pPr>
    </w:p>
    <w:p w14:paraId="7A9C5D20" w14:textId="77777777" w:rsidR="00E45740" w:rsidRPr="00E45740" w:rsidRDefault="00E45740" w:rsidP="00B02E6F">
      <w:pPr>
        <w:keepNext/>
        <w:keepLines/>
        <w:suppressAutoHyphens/>
        <w:autoSpaceDE w:val="0"/>
        <w:autoSpaceDN w:val="0"/>
        <w:adjustRightInd w:val="0"/>
        <w:spacing w:line="276" w:lineRule="auto"/>
        <w:ind w:left="360" w:right="-284"/>
        <w:jc w:val="both"/>
        <w:rPr>
          <w:rFonts w:ascii="Tahoma" w:hAnsi="Tahoma" w:cs="Tahoma"/>
          <w:sz w:val="24"/>
        </w:rPr>
      </w:pPr>
    </w:p>
    <w:tbl>
      <w:tblPr>
        <w:tblStyle w:val="Tabela-Siatka"/>
        <w:tblW w:w="0" w:type="auto"/>
        <w:tblInd w:w="-5" w:type="dxa"/>
        <w:tblLook w:val="04A0" w:firstRow="1" w:lastRow="0" w:firstColumn="1" w:lastColumn="0" w:noHBand="0" w:noVBand="1"/>
      </w:tblPr>
      <w:tblGrid>
        <w:gridCol w:w="8789"/>
      </w:tblGrid>
      <w:tr w:rsidR="00E45740" w:rsidRPr="00E45740" w14:paraId="70751327" w14:textId="77777777" w:rsidTr="00E45740">
        <w:tc>
          <w:tcPr>
            <w:tcW w:w="8789" w:type="dxa"/>
          </w:tcPr>
          <w:p w14:paraId="07F8D7A2"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być dedykowanym urządzeniem sieciowym o wysokości 1U przystosowanym do montowania w szafie rack.</w:t>
            </w:r>
          </w:p>
        </w:tc>
      </w:tr>
      <w:tr w:rsidR="00E45740" w:rsidRPr="00E45740" w14:paraId="23EC8D43" w14:textId="77777777" w:rsidTr="00E45740">
        <w:tc>
          <w:tcPr>
            <w:tcW w:w="8789" w:type="dxa"/>
          </w:tcPr>
          <w:p w14:paraId="566CB870"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posiadać 48 portów dostępowych Ethernet 10/100/1000 Auto-MDI/MDIX wspierających Power over Ethernet (PoE) w standardach IEEE 802.3af (PoE) oraz IEEE 802.3at (PoE+).</w:t>
            </w:r>
          </w:p>
        </w:tc>
      </w:tr>
      <w:tr w:rsidR="00E45740" w:rsidRPr="00E45740" w14:paraId="5F72D489" w14:textId="77777777" w:rsidTr="00E45740">
        <w:tc>
          <w:tcPr>
            <w:tcW w:w="8789" w:type="dxa"/>
          </w:tcPr>
          <w:p w14:paraId="44F3FE62"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Przełącznik </w:t>
            </w:r>
            <w:r w:rsidRPr="00E45740">
              <w:rPr>
                <w:rFonts w:ascii="Tahoma" w:hAnsi="Tahoma" w:cs="Tahoma"/>
                <w:bCs/>
                <w:sz w:val="24"/>
                <w:szCs w:val="24"/>
              </w:rPr>
              <w:t>musi</w:t>
            </w:r>
            <w:r w:rsidRPr="00E45740">
              <w:rPr>
                <w:rFonts w:ascii="Tahoma" w:hAnsi="Tahoma" w:cs="Tahoma"/>
                <w:sz w:val="24"/>
                <w:szCs w:val="24"/>
              </w:rPr>
              <w:t xml:space="preserve"> </w:t>
            </w:r>
            <w:r w:rsidRPr="00E45740">
              <w:rPr>
                <w:rFonts w:ascii="Tahoma" w:hAnsi="Tahoma" w:cs="Tahoma"/>
                <w:bCs/>
                <w:sz w:val="24"/>
                <w:szCs w:val="24"/>
              </w:rPr>
              <w:t>być wyposażony</w:t>
            </w:r>
            <w:r w:rsidRPr="00E45740">
              <w:rPr>
                <w:rFonts w:ascii="Tahoma" w:hAnsi="Tahoma" w:cs="Tahoma"/>
                <w:sz w:val="24"/>
                <w:szCs w:val="24"/>
              </w:rPr>
              <w:t xml:space="preserve"> w nie mniej niż 4 wbudowane porty uplink typu SFP/SFP+ obsługujące co najmniej standardy 10GBASE-USR, SR, LR, oraz 1000BASE-T, SX, LX, LH.</w:t>
            </w:r>
          </w:p>
        </w:tc>
      </w:tr>
      <w:tr w:rsidR="00E45740" w:rsidRPr="00E45740" w14:paraId="4F22FA29" w14:textId="77777777" w:rsidTr="00E45740">
        <w:tc>
          <w:tcPr>
            <w:tcW w:w="8789" w:type="dxa"/>
          </w:tcPr>
          <w:p w14:paraId="53506AED"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Przełącznik musi posiadać wbudowany zasilacz AC oraz wentylację. </w:t>
            </w:r>
          </w:p>
        </w:tc>
      </w:tr>
      <w:tr w:rsidR="00E45740" w:rsidRPr="00E45740" w14:paraId="3FDF560B" w14:textId="77777777" w:rsidTr="00E45740">
        <w:tc>
          <w:tcPr>
            <w:tcW w:w="8789" w:type="dxa"/>
          </w:tcPr>
          <w:p w14:paraId="0BE3DE99"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Przełącznik musi być wyposażony w port konsoli oraz dedykowany interfejs Ethernet do zarządzania OOB (out-of-band). </w:t>
            </w:r>
          </w:p>
        </w:tc>
      </w:tr>
      <w:tr w:rsidR="00E45740" w:rsidRPr="00E45740" w14:paraId="49CD24C9" w14:textId="77777777" w:rsidTr="00E45740">
        <w:tc>
          <w:tcPr>
            <w:tcW w:w="8789" w:type="dxa"/>
          </w:tcPr>
          <w:p w14:paraId="75F4C241"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być wyposażony w nie mniej niż 2 GB pamięci Flash oraz 2 GB pamięci DRAM. Przełącznik musi posiadać slot USB pozwalający na podłączenie zewnętrznego nośnika danych. Przełącznik musi umożliwiać uruchomienie systemu operacyjnego z zewnętrznego nośnika danych umieszczonego w slocie USB.</w:t>
            </w:r>
          </w:p>
        </w:tc>
      </w:tr>
      <w:tr w:rsidR="00E45740" w:rsidRPr="00E45740" w14:paraId="1A3F7C9E" w14:textId="77777777" w:rsidTr="00E45740">
        <w:tc>
          <w:tcPr>
            <w:tcW w:w="8789" w:type="dxa"/>
          </w:tcPr>
          <w:p w14:paraId="5E08FF85"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Zarządzanie urządzeniem musi odbywać się za pośrednictwem interfejsu linii komend (CLI) przez port konsoli, telnet, ssh, a także za pośrednictwem interfejsu WWW.</w:t>
            </w:r>
          </w:p>
        </w:tc>
      </w:tr>
      <w:tr w:rsidR="00E45740" w:rsidRPr="00E45740" w14:paraId="5CAA97CE" w14:textId="77777777" w:rsidTr="00E45740">
        <w:tc>
          <w:tcPr>
            <w:tcW w:w="8789" w:type="dxa"/>
          </w:tcPr>
          <w:p w14:paraId="109C7113"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lastRenderedPageBreak/>
              <w:t>Przełącznik musi posiadać architekturę non-blocking. Wydajność przełączania w warstwie 2 nie może być niższa niż 170 Gb/s i 130 milionów pakietów na sekundę. Przełącznik nie może obsługiwać mniej niż 16 000 adresów MAC.</w:t>
            </w:r>
          </w:p>
        </w:tc>
      </w:tr>
      <w:tr w:rsidR="00E45740" w:rsidRPr="00E45740" w14:paraId="539BE754" w14:textId="77777777" w:rsidTr="00E45740">
        <w:tc>
          <w:tcPr>
            <w:tcW w:w="8789" w:type="dxa"/>
          </w:tcPr>
          <w:p w14:paraId="178E92A1"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ramki Jumbo (9216 bajtów).</w:t>
            </w:r>
          </w:p>
        </w:tc>
      </w:tr>
      <w:tr w:rsidR="00E45740" w:rsidRPr="00E45740" w14:paraId="54BFE324" w14:textId="77777777" w:rsidTr="00E45740">
        <w:tc>
          <w:tcPr>
            <w:tcW w:w="8789" w:type="dxa"/>
          </w:tcPr>
          <w:p w14:paraId="1F066E3D"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sieci VLAN zgodne z IEEE 802.1Q w ilości nie mniejszej niż 2048. Przełącznik musi obsługiwać sieci VLAN oparte o porty fizyczne (port-based) i adresy MAC (MAC-based).</w:t>
            </w:r>
          </w:p>
        </w:tc>
      </w:tr>
      <w:tr w:rsidR="00E45740" w:rsidRPr="00E45740" w14:paraId="37CC0F7A" w14:textId="77777777" w:rsidTr="00E45740">
        <w:tc>
          <w:tcPr>
            <w:tcW w:w="8789" w:type="dxa"/>
          </w:tcPr>
          <w:p w14:paraId="6079B2C5"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Urządzenie musi obsługiwać agregowanie połączeń zgodne z IEEE 802.3AD - nie mniej niż 128 grup LAG, maksymalna liczba portów wspieranych w grupie LAG nie może być mniejsza niż 8. </w:t>
            </w:r>
          </w:p>
        </w:tc>
      </w:tr>
      <w:tr w:rsidR="00E45740" w:rsidRPr="00E45740" w14:paraId="38D938AD" w14:textId="77777777" w:rsidTr="00E45740">
        <w:tc>
          <w:tcPr>
            <w:tcW w:w="8789" w:type="dxa"/>
          </w:tcPr>
          <w:p w14:paraId="2A7A81FB"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protokół Spanning Tree i Rapid Spannig Tree, , a także Multiple Spanning Tree (nie mniej niż 64 instancje MSTP).</w:t>
            </w:r>
          </w:p>
        </w:tc>
      </w:tr>
      <w:tr w:rsidR="00E45740" w:rsidRPr="00E45740" w14:paraId="7F94F97D" w14:textId="77777777" w:rsidTr="00E45740">
        <w:tc>
          <w:tcPr>
            <w:tcW w:w="8789" w:type="dxa"/>
          </w:tcPr>
          <w:p w14:paraId="00600B0F"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protokół LLDP i LLDP-MED.</w:t>
            </w:r>
          </w:p>
        </w:tc>
      </w:tr>
      <w:tr w:rsidR="00E45740" w:rsidRPr="00E45740" w14:paraId="1AFD4E60" w14:textId="77777777" w:rsidTr="00E45740">
        <w:tc>
          <w:tcPr>
            <w:tcW w:w="8789" w:type="dxa"/>
          </w:tcPr>
          <w:p w14:paraId="113435B6"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Urządzenie musi obsługiwać routing między sieciami VLAN – routing statyczny, oraz protokół routingu dynamicznego RIP. Ilość tras obsługiwanych sprzętowo nie może być mniejsza niż 512 podsieci (prefixów) i 4096 tras typu „host” (host routes). </w:t>
            </w:r>
          </w:p>
        </w:tc>
      </w:tr>
      <w:tr w:rsidR="00E45740" w:rsidRPr="00E45740" w14:paraId="62EEF95A" w14:textId="77777777" w:rsidTr="00E45740">
        <w:tc>
          <w:tcPr>
            <w:tcW w:w="8789" w:type="dxa"/>
          </w:tcPr>
          <w:p w14:paraId="02B488C1"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Urządzenie musi posiadać mechanizmy priorytetyzowania i zarządzania ruchem sieciowym (QoS) w warstwie 2 i 3 dla ruchu wchodzącego i wychodzącego. Klasyfikacja ruchu musi odbywać się w zależności od co najmniej: interfejsu, typu ramki Ethernet, sieci VLAN, priorytetu w warstwie 2 (802.1P), adresów MAC, adresów IP, wartości pola ToS/DSCP w nagłówkach IP, portów TCP i UDP. Urządzenie musi obsługiwać sprzętowo nie mniej niż 8 kolejek per port fizyczny.</w:t>
            </w:r>
          </w:p>
        </w:tc>
      </w:tr>
      <w:tr w:rsidR="00E45740" w:rsidRPr="00E45740" w14:paraId="40827D36" w14:textId="77777777" w:rsidTr="00E45740">
        <w:tc>
          <w:tcPr>
            <w:tcW w:w="8789" w:type="dxa"/>
          </w:tcPr>
          <w:p w14:paraId="04E0D61B"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Urządzenie musi obsługiwać filtrowanie ruchu na co najmniej na poziomie portu i sieci VLAN dla kryteriów z warstw 2-4. Urządzenie musi realizować sprzętowo nie mniej niż 1500 reguł filtrowania ruchu. W regułach filtrowania ruchu musi być dostępny mechanizm zliczania dla zaakceptowanych lub zablokowanych pakietów. Musi być dostępna funkcja edycji reguł filtrowania ruchu na samym urządzeniu.</w:t>
            </w:r>
          </w:p>
        </w:tc>
      </w:tr>
      <w:tr w:rsidR="00E45740" w:rsidRPr="00E45740" w14:paraId="4AF8664D" w14:textId="77777777" w:rsidTr="00E45740">
        <w:tc>
          <w:tcPr>
            <w:tcW w:w="8789" w:type="dxa"/>
          </w:tcPr>
          <w:p w14:paraId="690A4B52"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takie mechanizmu bezpieczeństwa jak limitowanie adresów MAC, Dynamic ARP Inspection, DHCP snooping.</w:t>
            </w:r>
          </w:p>
        </w:tc>
      </w:tr>
      <w:tr w:rsidR="00E45740" w:rsidRPr="00E45740" w14:paraId="6A441EED" w14:textId="77777777" w:rsidTr="00E45740">
        <w:tc>
          <w:tcPr>
            <w:tcW w:w="8789" w:type="dxa"/>
          </w:tcPr>
          <w:p w14:paraId="367965D3"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Przełącznik musi obsługiwać IEEE 802.1X zarówno dla pojedynczego, jak i wielu suplikantów na porcie. Przełącznik musi przypisywać ustawienia dla użytkownika na podstawie atrybutów zwracanych przez serwer RADIUS (co najmniej VLAN oraz reguła filtrowania ruchu). Musi istnieć możliwość pominięcia uwierzytelnienia 802.1x dla zdefiniowanych adresów MAC. Przełącznik musi obsługiwać co najmniej następujące typy EAP: MD5, TLS, TTLS, PEAP.</w:t>
            </w:r>
          </w:p>
        </w:tc>
      </w:tr>
      <w:tr w:rsidR="00E45740" w:rsidRPr="00E45740" w14:paraId="4634D438" w14:textId="77777777" w:rsidTr="00E45740">
        <w:tc>
          <w:tcPr>
            <w:tcW w:w="8789" w:type="dxa"/>
          </w:tcPr>
          <w:p w14:paraId="52634AAE"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Urządzenie musi obsługiwać protokół SNMP (wersje 2c i 3), oraz grupy RMON 1, 2, 3, 9. Musi być dostępna funkcja kopiowania (mirroring) ruchu na poziomie portu i sieci VLAN.</w:t>
            </w:r>
          </w:p>
        </w:tc>
      </w:tr>
      <w:tr w:rsidR="00E45740" w:rsidRPr="00E45740" w14:paraId="66D54189" w14:textId="77777777" w:rsidTr="00E45740">
        <w:tc>
          <w:tcPr>
            <w:tcW w:w="8789" w:type="dxa"/>
          </w:tcPr>
          <w:p w14:paraId="73BE4E78"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Architektura systemu operacyjnego urządzenia musi posiadać budowę modularną (poszczególne moduły muszą działać w odseparowanych obszarach pamięci), m.in. moduł przekazywania pakietów, odpowiedzialny </w:t>
            </w:r>
            <w:r w:rsidRPr="00E45740">
              <w:rPr>
                <w:rFonts w:ascii="Tahoma" w:hAnsi="Tahoma" w:cs="Tahoma"/>
                <w:sz w:val="24"/>
                <w:szCs w:val="24"/>
              </w:rPr>
              <w:lastRenderedPageBreak/>
              <w:t>za przełączanie pakietów musi być oddzielony od modułu routingu IP, odpowiedzialnego za ustalanie tras routingu i zarządzanie urządzeniem.</w:t>
            </w:r>
          </w:p>
        </w:tc>
      </w:tr>
      <w:tr w:rsidR="00E45740" w:rsidRPr="00E45740" w14:paraId="1A3F5F84" w14:textId="77777777" w:rsidTr="00E45740">
        <w:tc>
          <w:tcPr>
            <w:tcW w:w="8789" w:type="dxa"/>
          </w:tcPr>
          <w:p w14:paraId="1E400CFF"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lastRenderedPageBreak/>
              <w:t>Urządzenie musi posiadać mechanizm szybkiego odtwarzania systemu i przywracania konfiguracji. W urządzeniu musi być przechowywanych nie mniej niż 40 poprzednich, kompletnych konfiguracji.</w:t>
            </w:r>
          </w:p>
        </w:tc>
      </w:tr>
      <w:tr w:rsidR="00E45740" w:rsidRPr="00E45740" w14:paraId="10273B95" w14:textId="77777777" w:rsidTr="00E45740">
        <w:tc>
          <w:tcPr>
            <w:tcW w:w="8789" w:type="dxa"/>
          </w:tcPr>
          <w:p w14:paraId="0C400C5E"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Urządzenie powinno umożliwiać stackowanie z innymi urządzeniami takiego samego typu w ilości nie mniejszej niż 4 sztuki. Stackowanie powinno być możliwe przy wykorzystaniu standardowych portów typu uplink. Dopuszczalne są rozwiązania gdzie stackownie jest wbudowaną funkcjonalnością, oraz takie gdzie stackowanie wymaga zakupu dodatkowej licencji. Jeśli licencje na stackowanie jest dodatkowo płatna, Zamawiający nie wymaga jej dostarczenia.</w:t>
            </w:r>
          </w:p>
        </w:tc>
      </w:tr>
      <w:tr w:rsidR="00E45740" w:rsidRPr="00E45740" w14:paraId="544F6976" w14:textId="77777777" w:rsidTr="00E45740">
        <w:tc>
          <w:tcPr>
            <w:tcW w:w="8789" w:type="dxa"/>
          </w:tcPr>
          <w:p w14:paraId="4C2576E7" w14:textId="77777777"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Urządzenie musi umożliwiać rozbudowę funkcjonalności np. poprzez zastosowanie licencji, o co najmniej takie protokoły jak: OSPF, OSPFv3, MLD, PIM, VRRP. Jeśli wymieniony funkcjonalności są dodatkowo płatne, Zamawiający nie wymaga ich dostarczenia.</w:t>
            </w:r>
          </w:p>
        </w:tc>
      </w:tr>
      <w:tr w:rsidR="00E45740" w:rsidRPr="00E45740" w14:paraId="2A83E571" w14:textId="77777777" w:rsidTr="00E45740">
        <w:tc>
          <w:tcPr>
            <w:tcW w:w="8789" w:type="dxa"/>
          </w:tcPr>
          <w:p w14:paraId="058DC324" w14:textId="0607F2FF" w:rsidR="00E45740" w:rsidRPr="00E45740" w:rsidRDefault="00E45740" w:rsidP="00E45740">
            <w:pPr>
              <w:pStyle w:val="Zwykytekst"/>
              <w:numPr>
                <w:ilvl w:val="0"/>
                <w:numId w:val="8"/>
              </w:numPr>
              <w:jc w:val="both"/>
              <w:rPr>
                <w:rFonts w:ascii="Tahoma" w:hAnsi="Tahoma" w:cs="Tahoma"/>
                <w:sz w:val="24"/>
                <w:szCs w:val="24"/>
              </w:rPr>
            </w:pPr>
            <w:r w:rsidRPr="00E45740">
              <w:rPr>
                <w:rFonts w:ascii="Tahoma" w:hAnsi="Tahoma" w:cs="Tahoma"/>
                <w:sz w:val="24"/>
                <w:szCs w:val="24"/>
              </w:rPr>
              <w:t xml:space="preserve">Wraz z urządzeniem wymagane jest dostarczenie opieki technicznej ważnej przez okres </w:t>
            </w:r>
            <w:r w:rsidR="00F45001">
              <w:rPr>
                <w:rFonts w:ascii="Tahoma" w:hAnsi="Tahoma" w:cs="Tahoma"/>
                <w:sz w:val="24"/>
                <w:szCs w:val="24"/>
              </w:rPr>
              <w:t>1 roku</w:t>
            </w:r>
            <w:r w:rsidRPr="00E45740">
              <w:rPr>
                <w:rFonts w:ascii="Tahoma" w:hAnsi="Tahoma" w:cs="Tahoma"/>
                <w:sz w:val="24"/>
                <w:szCs w:val="24"/>
              </w:rPr>
              <w:t xml:space="preserve"> . Opieka musi zawierać wsparcie techniczne świadczone telefonicznie oraz pocztą elektroniczną przez producenta oraz polskiego dystrybutora sprzętu, wymianę uszkodzonego sprzętu w ciągu X dni, dostęp do nowych wersji oprogramowania, a także dostęp do baz wiedzy, przewodników konfiguracyjnych i narzędzi diagnostycznych.</w:t>
            </w:r>
          </w:p>
        </w:tc>
      </w:tr>
      <w:tr w:rsidR="00E45740" w:rsidRPr="00E45740" w14:paraId="7917A220" w14:textId="77777777" w:rsidTr="00E45740">
        <w:tc>
          <w:tcPr>
            <w:tcW w:w="8789" w:type="dxa"/>
          </w:tcPr>
          <w:p w14:paraId="2105DDB8" w14:textId="77777777" w:rsidR="00E45740" w:rsidRPr="00E45740" w:rsidRDefault="00E45740" w:rsidP="00E45740">
            <w:pPr>
              <w:pStyle w:val="Zwykytekst"/>
              <w:numPr>
                <w:ilvl w:val="0"/>
                <w:numId w:val="8"/>
              </w:numPr>
              <w:suppressAutoHyphens/>
              <w:jc w:val="both"/>
              <w:rPr>
                <w:rFonts w:ascii="Tahoma" w:hAnsi="Tahoma" w:cs="Tahoma"/>
                <w:sz w:val="24"/>
                <w:szCs w:val="24"/>
              </w:rPr>
            </w:pPr>
            <w:r w:rsidRPr="00E45740">
              <w:rPr>
                <w:rFonts w:ascii="Tahoma" w:hAnsi="Tahoma" w:cs="Tahoma"/>
                <w:sz w:val="24"/>
                <w:szCs w:val="24"/>
              </w:rPr>
              <w:t>Całość dostarczanego sprzętu i oprogramowania musi pochodzić z autoryzowanego przez producenta kanału sprzedaży, na terenie Unii Europejskiej – do oferty należy dołączyć oświadczenie producenta lub autoryzowanego dystrybutora sprzętu i oprogramowania poświadczające pochodzenie sprzętu z autoryzowanego kanału sprzedaży.</w:t>
            </w:r>
          </w:p>
        </w:tc>
      </w:tr>
      <w:tr w:rsidR="00161293" w:rsidRPr="00E45740" w14:paraId="0923B490" w14:textId="77777777" w:rsidTr="00E45740">
        <w:tc>
          <w:tcPr>
            <w:tcW w:w="8789" w:type="dxa"/>
          </w:tcPr>
          <w:p w14:paraId="44B5AFBD" w14:textId="4E66C54D" w:rsidR="00161293" w:rsidRPr="00E45740" w:rsidRDefault="00161293" w:rsidP="00E45740">
            <w:pPr>
              <w:pStyle w:val="Zwykytekst"/>
              <w:numPr>
                <w:ilvl w:val="0"/>
                <w:numId w:val="8"/>
              </w:numPr>
              <w:suppressAutoHyphens/>
              <w:jc w:val="both"/>
              <w:rPr>
                <w:rFonts w:ascii="Tahoma" w:hAnsi="Tahoma" w:cs="Tahoma"/>
                <w:sz w:val="24"/>
                <w:szCs w:val="24"/>
              </w:rPr>
            </w:pPr>
            <w:r>
              <w:rPr>
                <w:rFonts w:ascii="Tahoma" w:hAnsi="Tahoma" w:cs="Tahoma"/>
                <w:sz w:val="24"/>
                <w:szCs w:val="24"/>
              </w:rPr>
              <w:t>Gwarancja min. 36 miesięcy</w:t>
            </w:r>
          </w:p>
        </w:tc>
      </w:tr>
    </w:tbl>
    <w:p w14:paraId="5FF7EE91" w14:textId="77777777" w:rsidR="001029CF" w:rsidRPr="00E45740" w:rsidRDefault="001029CF" w:rsidP="00A66C98">
      <w:pPr>
        <w:jc w:val="both"/>
        <w:rPr>
          <w:rFonts w:ascii="Tahoma" w:eastAsiaTheme="minorHAnsi" w:hAnsi="Tahoma" w:cs="Tahoma"/>
          <w:sz w:val="24"/>
          <w:lang w:eastAsia="en-US"/>
          <w14:ligatures w14:val="standardContextual"/>
        </w:rPr>
      </w:pPr>
    </w:p>
    <w:p w14:paraId="398FD99A" w14:textId="4C1B83EA" w:rsidR="00CB043A" w:rsidRPr="00E45740" w:rsidRDefault="00CB043A" w:rsidP="00A66C98">
      <w:pPr>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Specyfikacja UPS</w:t>
      </w:r>
      <w:r w:rsidR="00E45740" w:rsidRPr="00E45740">
        <w:rPr>
          <w:rFonts w:ascii="Tahoma" w:eastAsiaTheme="minorHAnsi" w:hAnsi="Tahoma" w:cs="Tahoma"/>
          <w:b/>
          <w:bCs/>
          <w:sz w:val="24"/>
          <w:lang w:eastAsia="en-US"/>
          <w14:ligatures w14:val="standardContextual"/>
        </w:rPr>
        <w:t xml:space="preserve"> – 1 szt.</w:t>
      </w:r>
    </w:p>
    <w:p w14:paraId="6205B001" w14:textId="77777777" w:rsidR="00CB043A" w:rsidRPr="00E45740" w:rsidRDefault="00CB043A" w:rsidP="00A66C98">
      <w:pPr>
        <w:jc w:val="both"/>
        <w:rPr>
          <w:rFonts w:ascii="Tahoma" w:eastAsiaTheme="minorHAnsi" w:hAnsi="Tahoma" w:cs="Tahoma"/>
          <w:sz w:val="24"/>
          <w:lang w:eastAsia="en-US"/>
          <w14:ligatures w14:val="standardContextual"/>
        </w:rPr>
      </w:pPr>
    </w:p>
    <w:tbl>
      <w:tblPr>
        <w:tblStyle w:val="Tabela-Siatka"/>
        <w:tblW w:w="8783" w:type="dxa"/>
        <w:tblLook w:val="04A0" w:firstRow="1" w:lastRow="0" w:firstColumn="1" w:lastColumn="0" w:noHBand="0" w:noVBand="1"/>
      </w:tblPr>
      <w:tblGrid>
        <w:gridCol w:w="580"/>
        <w:gridCol w:w="4524"/>
        <w:gridCol w:w="3679"/>
      </w:tblGrid>
      <w:tr w:rsidR="00E45740" w:rsidRPr="00E45740" w14:paraId="7F8CBB6D" w14:textId="77777777" w:rsidTr="005A17AA">
        <w:tc>
          <w:tcPr>
            <w:tcW w:w="562" w:type="dxa"/>
            <w:tcBorders>
              <w:top w:val="single" w:sz="4" w:space="0" w:color="000000"/>
              <w:left w:val="single" w:sz="4" w:space="0" w:color="000000"/>
              <w:bottom w:val="single" w:sz="4" w:space="0" w:color="000000"/>
              <w:right w:val="single" w:sz="4" w:space="0" w:color="000000"/>
            </w:tcBorders>
          </w:tcPr>
          <w:p w14:paraId="0928C30F" w14:textId="1B8CDF30"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hAnsi="Tahoma" w:cs="Tahoma"/>
                <w:b/>
                <w:sz w:val="24"/>
              </w:rPr>
              <w:t>Lp.</w:t>
            </w:r>
          </w:p>
        </w:tc>
        <w:tc>
          <w:tcPr>
            <w:tcW w:w="4536" w:type="dxa"/>
            <w:tcBorders>
              <w:top w:val="single" w:sz="4" w:space="0" w:color="000000"/>
              <w:left w:val="single" w:sz="4" w:space="0" w:color="000000"/>
              <w:bottom w:val="single" w:sz="4" w:space="0" w:color="000000"/>
              <w:right w:val="single" w:sz="4" w:space="0" w:color="000000"/>
            </w:tcBorders>
          </w:tcPr>
          <w:p w14:paraId="7BCFD546" w14:textId="065AE37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hAnsi="Tahoma" w:cs="Tahoma"/>
                <w:b/>
                <w:sz w:val="24"/>
              </w:rPr>
              <w:t>Kategoria</w:t>
            </w:r>
          </w:p>
        </w:tc>
        <w:tc>
          <w:tcPr>
            <w:tcW w:w="3685" w:type="dxa"/>
            <w:tcBorders>
              <w:top w:val="single" w:sz="4" w:space="0" w:color="000000"/>
              <w:left w:val="single" w:sz="4" w:space="0" w:color="000000"/>
              <w:bottom w:val="single" w:sz="4" w:space="0" w:color="000000"/>
              <w:right w:val="single" w:sz="4" w:space="0" w:color="000000"/>
            </w:tcBorders>
          </w:tcPr>
          <w:p w14:paraId="6F35D72D" w14:textId="67D6354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hAnsi="Tahoma" w:cs="Tahoma"/>
                <w:b/>
                <w:sz w:val="24"/>
              </w:rPr>
              <w:t>Minimalne wymagania</w:t>
            </w:r>
          </w:p>
        </w:tc>
      </w:tr>
      <w:tr w:rsidR="00E45740" w:rsidRPr="00E45740" w14:paraId="507FE201" w14:textId="77777777" w:rsidTr="00CB043A">
        <w:tc>
          <w:tcPr>
            <w:tcW w:w="562" w:type="dxa"/>
          </w:tcPr>
          <w:p w14:paraId="402476F3" w14:textId="50B56453"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w:t>
            </w:r>
          </w:p>
        </w:tc>
        <w:tc>
          <w:tcPr>
            <w:tcW w:w="4536" w:type="dxa"/>
          </w:tcPr>
          <w:p w14:paraId="29799837" w14:textId="43862C7D"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Moc wyjściowa pozorna [VA]:</w:t>
            </w:r>
          </w:p>
        </w:tc>
        <w:tc>
          <w:tcPr>
            <w:tcW w:w="3685" w:type="dxa"/>
          </w:tcPr>
          <w:p w14:paraId="38D14CE6"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1200</w:t>
            </w:r>
          </w:p>
        </w:tc>
      </w:tr>
      <w:tr w:rsidR="00E45740" w:rsidRPr="00E45740" w14:paraId="4B1327C0" w14:textId="77777777" w:rsidTr="00CB043A">
        <w:tc>
          <w:tcPr>
            <w:tcW w:w="562" w:type="dxa"/>
          </w:tcPr>
          <w:p w14:paraId="1E3DC587" w14:textId="59D6AE66"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w:t>
            </w:r>
          </w:p>
        </w:tc>
        <w:tc>
          <w:tcPr>
            <w:tcW w:w="4536" w:type="dxa"/>
          </w:tcPr>
          <w:p w14:paraId="550E2105" w14:textId="0D657D8C"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Moc wyjściowa czynna [W]:</w:t>
            </w:r>
          </w:p>
        </w:tc>
        <w:tc>
          <w:tcPr>
            <w:tcW w:w="3685" w:type="dxa"/>
          </w:tcPr>
          <w:p w14:paraId="1A15A2CC"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780</w:t>
            </w:r>
          </w:p>
        </w:tc>
      </w:tr>
      <w:tr w:rsidR="00E45740" w:rsidRPr="00E45740" w14:paraId="365A2FA2" w14:textId="77777777" w:rsidTr="00CB043A">
        <w:tc>
          <w:tcPr>
            <w:tcW w:w="562" w:type="dxa"/>
          </w:tcPr>
          <w:p w14:paraId="31F38E18" w14:textId="356F5DF8"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w:t>
            </w:r>
          </w:p>
        </w:tc>
        <w:tc>
          <w:tcPr>
            <w:tcW w:w="4536" w:type="dxa"/>
          </w:tcPr>
          <w:p w14:paraId="38E8E111" w14:textId="098E17F0"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Topologia :</w:t>
            </w:r>
          </w:p>
        </w:tc>
        <w:tc>
          <w:tcPr>
            <w:tcW w:w="3685" w:type="dxa"/>
          </w:tcPr>
          <w:p w14:paraId="590F2DBA"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VI (line-interactive)</w:t>
            </w:r>
          </w:p>
        </w:tc>
      </w:tr>
      <w:tr w:rsidR="00E45740" w:rsidRPr="00E45740" w14:paraId="631ECEBA" w14:textId="77777777" w:rsidTr="00CB043A">
        <w:tc>
          <w:tcPr>
            <w:tcW w:w="562" w:type="dxa"/>
          </w:tcPr>
          <w:p w14:paraId="5B65C421" w14:textId="273974B2"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w:t>
            </w:r>
          </w:p>
        </w:tc>
        <w:tc>
          <w:tcPr>
            <w:tcW w:w="4536" w:type="dxa"/>
          </w:tcPr>
          <w:p w14:paraId="3CE22561" w14:textId="2B390EE2"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Liczba faz napięcia (wej / wyj) :</w:t>
            </w:r>
          </w:p>
        </w:tc>
        <w:tc>
          <w:tcPr>
            <w:tcW w:w="3685" w:type="dxa"/>
          </w:tcPr>
          <w:p w14:paraId="4AC0D7AC"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 / 1</w:t>
            </w:r>
          </w:p>
        </w:tc>
      </w:tr>
      <w:tr w:rsidR="00E45740" w:rsidRPr="00E45740" w14:paraId="67BDE0BC" w14:textId="77777777" w:rsidTr="00CB043A">
        <w:tc>
          <w:tcPr>
            <w:tcW w:w="562" w:type="dxa"/>
          </w:tcPr>
          <w:p w14:paraId="35E193DE" w14:textId="623E8B2E"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w:t>
            </w:r>
          </w:p>
        </w:tc>
        <w:tc>
          <w:tcPr>
            <w:tcW w:w="4536" w:type="dxa"/>
          </w:tcPr>
          <w:p w14:paraId="2FEDAF55" w14:textId="46FCAC86"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Typ obudowy :</w:t>
            </w:r>
          </w:p>
        </w:tc>
        <w:tc>
          <w:tcPr>
            <w:tcW w:w="3685" w:type="dxa"/>
          </w:tcPr>
          <w:p w14:paraId="4C6C09B9"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Rack</w:t>
            </w:r>
          </w:p>
        </w:tc>
      </w:tr>
      <w:tr w:rsidR="00E45740" w:rsidRPr="00E45740" w14:paraId="4E242B6E" w14:textId="77777777" w:rsidTr="00CB043A">
        <w:tc>
          <w:tcPr>
            <w:tcW w:w="562" w:type="dxa"/>
          </w:tcPr>
          <w:p w14:paraId="58DAF3DD" w14:textId="146E5E99"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6</w:t>
            </w:r>
          </w:p>
        </w:tc>
        <w:tc>
          <w:tcPr>
            <w:tcW w:w="4536" w:type="dxa"/>
          </w:tcPr>
          <w:p w14:paraId="7A638707" w14:textId="667361E6"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Temperatury pracy [°C]:</w:t>
            </w:r>
          </w:p>
        </w:tc>
        <w:tc>
          <w:tcPr>
            <w:tcW w:w="3685" w:type="dxa"/>
          </w:tcPr>
          <w:p w14:paraId="5740059D"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0 ÷ +40</w:t>
            </w:r>
          </w:p>
        </w:tc>
      </w:tr>
      <w:tr w:rsidR="00E45740" w:rsidRPr="00E45740" w14:paraId="23D6438A" w14:textId="77777777" w:rsidTr="00CB043A">
        <w:tc>
          <w:tcPr>
            <w:tcW w:w="562" w:type="dxa"/>
          </w:tcPr>
          <w:p w14:paraId="06C73F10" w14:textId="692FC2DC"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7</w:t>
            </w:r>
          </w:p>
        </w:tc>
        <w:tc>
          <w:tcPr>
            <w:tcW w:w="4536" w:type="dxa"/>
          </w:tcPr>
          <w:p w14:paraId="5CA2FB2B" w14:textId="737FB0DC"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Chłodzenie :</w:t>
            </w:r>
          </w:p>
        </w:tc>
        <w:tc>
          <w:tcPr>
            <w:tcW w:w="3685" w:type="dxa"/>
          </w:tcPr>
          <w:p w14:paraId="738A8326"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Naturalne</w:t>
            </w:r>
          </w:p>
        </w:tc>
      </w:tr>
      <w:tr w:rsidR="00E45740" w:rsidRPr="00E45740" w14:paraId="22D62DC5" w14:textId="77777777" w:rsidTr="00CB043A">
        <w:tc>
          <w:tcPr>
            <w:tcW w:w="562" w:type="dxa"/>
          </w:tcPr>
          <w:p w14:paraId="1C6DFB57" w14:textId="6853635C"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8</w:t>
            </w:r>
          </w:p>
        </w:tc>
        <w:tc>
          <w:tcPr>
            <w:tcW w:w="4536" w:type="dxa"/>
          </w:tcPr>
          <w:p w14:paraId="6DE9CCFD" w14:textId="04B0CEE1"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Znamionowe napięcie wejściowe (wartość skuteczna) [V]:</w:t>
            </w:r>
          </w:p>
        </w:tc>
        <w:tc>
          <w:tcPr>
            <w:tcW w:w="3685" w:type="dxa"/>
          </w:tcPr>
          <w:p w14:paraId="3D69E72B"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230</w:t>
            </w:r>
          </w:p>
        </w:tc>
      </w:tr>
      <w:tr w:rsidR="00E45740" w:rsidRPr="00E45740" w14:paraId="4B962462" w14:textId="77777777" w:rsidTr="00CB043A">
        <w:tc>
          <w:tcPr>
            <w:tcW w:w="562" w:type="dxa"/>
          </w:tcPr>
          <w:p w14:paraId="0F5D1097" w14:textId="6217C0C6"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9</w:t>
            </w:r>
          </w:p>
        </w:tc>
        <w:tc>
          <w:tcPr>
            <w:tcW w:w="4536" w:type="dxa"/>
          </w:tcPr>
          <w:p w14:paraId="0DA6AD8B" w14:textId="0DFD3108"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napięcia wejściowego (wartości skuteczne) [V] i tolerancja [%]:</w:t>
            </w:r>
          </w:p>
        </w:tc>
        <w:tc>
          <w:tcPr>
            <w:tcW w:w="3685" w:type="dxa"/>
          </w:tcPr>
          <w:p w14:paraId="4E5C7234"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168 ÷ 264 ± 2</w:t>
            </w:r>
          </w:p>
        </w:tc>
      </w:tr>
      <w:tr w:rsidR="00E45740" w:rsidRPr="00E45740" w14:paraId="2CE527DA" w14:textId="77777777" w:rsidTr="00CB043A">
        <w:tc>
          <w:tcPr>
            <w:tcW w:w="562" w:type="dxa"/>
          </w:tcPr>
          <w:p w14:paraId="68BED444" w14:textId="179DBE48"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10</w:t>
            </w:r>
          </w:p>
        </w:tc>
        <w:tc>
          <w:tcPr>
            <w:tcW w:w="4536" w:type="dxa"/>
          </w:tcPr>
          <w:p w14:paraId="59FEA83B" w14:textId="454EC896"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Częstotliwość znamionowa napięcia wejściowego [Hz]:</w:t>
            </w:r>
          </w:p>
        </w:tc>
        <w:tc>
          <w:tcPr>
            <w:tcW w:w="3685" w:type="dxa"/>
          </w:tcPr>
          <w:p w14:paraId="1988B71A"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50</w:t>
            </w:r>
          </w:p>
        </w:tc>
      </w:tr>
      <w:tr w:rsidR="00E45740" w:rsidRPr="00E45740" w14:paraId="17065539" w14:textId="77777777" w:rsidTr="00CB043A">
        <w:tc>
          <w:tcPr>
            <w:tcW w:w="562" w:type="dxa"/>
          </w:tcPr>
          <w:p w14:paraId="2E627BDE" w14:textId="357AA010"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11</w:t>
            </w:r>
          </w:p>
        </w:tc>
        <w:tc>
          <w:tcPr>
            <w:tcW w:w="4536" w:type="dxa"/>
          </w:tcPr>
          <w:p w14:paraId="6E36B401" w14:textId="7A7203AC"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częstotliwości wejściowej [Hz] i tolerancja [Hz]:</w:t>
            </w:r>
          </w:p>
        </w:tc>
        <w:tc>
          <w:tcPr>
            <w:tcW w:w="3685" w:type="dxa"/>
          </w:tcPr>
          <w:p w14:paraId="43A47416"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45 ÷ 55 ± 1</w:t>
            </w:r>
          </w:p>
        </w:tc>
      </w:tr>
      <w:tr w:rsidR="00E45740" w:rsidRPr="00E45740" w14:paraId="7ED9B394" w14:textId="77777777" w:rsidTr="00CB043A">
        <w:tc>
          <w:tcPr>
            <w:tcW w:w="562" w:type="dxa"/>
          </w:tcPr>
          <w:p w14:paraId="38F48064" w14:textId="15F0582F"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lastRenderedPageBreak/>
              <w:t>12</w:t>
            </w:r>
          </w:p>
        </w:tc>
        <w:tc>
          <w:tcPr>
            <w:tcW w:w="4536" w:type="dxa"/>
          </w:tcPr>
          <w:p w14:paraId="69002E64" w14:textId="0303CDE1"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Progi przełączania: sieć – UPS [V]:</w:t>
            </w:r>
          </w:p>
        </w:tc>
        <w:tc>
          <w:tcPr>
            <w:tcW w:w="3685" w:type="dxa"/>
          </w:tcPr>
          <w:p w14:paraId="4700A57E"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184 ÷ 264 ± 2 %</w:t>
            </w:r>
          </w:p>
        </w:tc>
      </w:tr>
      <w:tr w:rsidR="00E45740" w:rsidRPr="00E45740" w14:paraId="336B4566" w14:textId="77777777" w:rsidTr="00CB043A">
        <w:tc>
          <w:tcPr>
            <w:tcW w:w="562" w:type="dxa"/>
          </w:tcPr>
          <w:p w14:paraId="51EDAFF6" w14:textId="31DBB4A5"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13</w:t>
            </w:r>
          </w:p>
        </w:tc>
        <w:tc>
          <w:tcPr>
            <w:tcW w:w="4536" w:type="dxa"/>
          </w:tcPr>
          <w:p w14:paraId="00CB28AF" w14:textId="43FDF5E6"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Znamionowe napięcie wyjściowe (wartość skuteczna) [V]:</w:t>
            </w:r>
          </w:p>
        </w:tc>
        <w:tc>
          <w:tcPr>
            <w:tcW w:w="3685" w:type="dxa"/>
          </w:tcPr>
          <w:p w14:paraId="0CE4750E"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230</w:t>
            </w:r>
          </w:p>
        </w:tc>
      </w:tr>
      <w:tr w:rsidR="00E45740" w:rsidRPr="00E45740" w14:paraId="11489788" w14:textId="77777777" w:rsidTr="00CB043A">
        <w:tc>
          <w:tcPr>
            <w:tcW w:w="562" w:type="dxa"/>
          </w:tcPr>
          <w:p w14:paraId="3F897D9C" w14:textId="319FDE7A"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14</w:t>
            </w:r>
          </w:p>
        </w:tc>
        <w:tc>
          <w:tcPr>
            <w:tcW w:w="4536" w:type="dxa"/>
          </w:tcPr>
          <w:p w14:paraId="35521895" w14:textId="4381E42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napięcia wyjściowego (wartości skuteczne) [V] i tolerancja [%] - praca sieciowa:</w:t>
            </w:r>
          </w:p>
        </w:tc>
        <w:tc>
          <w:tcPr>
            <w:tcW w:w="3685" w:type="dxa"/>
          </w:tcPr>
          <w:p w14:paraId="2985E901"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184 ÷ 264 ± 2</w:t>
            </w:r>
          </w:p>
        </w:tc>
      </w:tr>
      <w:tr w:rsidR="00E45740" w:rsidRPr="00E45740" w14:paraId="6D9DE89C" w14:textId="77777777" w:rsidTr="00CB043A">
        <w:tc>
          <w:tcPr>
            <w:tcW w:w="562" w:type="dxa"/>
          </w:tcPr>
          <w:p w14:paraId="010A5448" w14:textId="2FCBED41"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15</w:t>
            </w:r>
          </w:p>
        </w:tc>
        <w:tc>
          <w:tcPr>
            <w:tcW w:w="4536" w:type="dxa"/>
          </w:tcPr>
          <w:p w14:paraId="28E9F52B" w14:textId="66278AF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napięcia wyjściowego (wartości skuteczne) [V] i tolerancja [%] - praca rezerwowa:</w:t>
            </w:r>
          </w:p>
        </w:tc>
        <w:tc>
          <w:tcPr>
            <w:tcW w:w="3685" w:type="dxa"/>
          </w:tcPr>
          <w:p w14:paraId="326F29A8"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230 ± 5</w:t>
            </w:r>
          </w:p>
        </w:tc>
      </w:tr>
      <w:tr w:rsidR="00E45740" w:rsidRPr="00E45740" w14:paraId="67E2BDF0" w14:textId="77777777" w:rsidTr="00CB043A">
        <w:tc>
          <w:tcPr>
            <w:tcW w:w="562" w:type="dxa"/>
          </w:tcPr>
          <w:p w14:paraId="0AC907A2" w14:textId="337D1334"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16</w:t>
            </w:r>
          </w:p>
        </w:tc>
        <w:tc>
          <w:tcPr>
            <w:tcW w:w="4536" w:type="dxa"/>
          </w:tcPr>
          <w:p w14:paraId="5DF1914F" w14:textId="3F8F10D3"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Automatyczna regulacja napięcia (AVR) :</w:t>
            </w:r>
          </w:p>
        </w:tc>
        <w:tc>
          <w:tcPr>
            <w:tcW w:w="3685" w:type="dxa"/>
          </w:tcPr>
          <w:p w14:paraId="176063D6"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+ 10 %</w:t>
            </w:r>
          </w:p>
        </w:tc>
      </w:tr>
      <w:tr w:rsidR="00E45740" w:rsidRPr="00E45740" w14:paraId="0EA9DD5D" w14:textId="77777777" w:rsidTr="00CB043A">
        <w:tc>
          <w:tcPr>
            <w:tcW w:w="562" w:type="dxa"/>
          </w:tcPr>
          <w:p w14:paraId="1187058B" w14:textId="71EB05BC"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17</w:t>
            </w:r>
          </w:p>
        </w:tc>
        <w:tc>
          <w:tcPr>
            <w:tcW w:w="4536" w:type="dxa"/>
          </w:tcPr>
          <w:p w14:paraId="009D9F0C" w14:textId="6E85539E"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Kształt napięcia wyjściowego (przy pracy rezerwowej / sieciowej) :</w:t>
            </w:r>
          </w:p>
        </w:tc>
        <w:tc>
          <w:tcPr>
            <w:tcW w:w="3685" w:type="dxa"/>
          </w:tcPr>
          <w:p w14:paraId="39EB3054"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Sinusoidalny / Tak jak na wejściu</w:t>
            </w:r>
          </w:p>
        </w:tc>
      </w:tr>
      <w:tr w:rsidR="00E45740" w:rsidRPr="00E45740" w14:paraId="69EF7689" w14:textId="77777777" w:rsidTr="00CB043A">
        <w:tc>
          <w:tcPr>
            <w:tcW w:w="562" w:type="dxa"/>
          </w:tcPr>
          <w:p w14:paraId="1BC249C8" w14:textId="42486687"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18</w:t>
            </w:r>
          </w:p>
        </w:tc>
        <w:tc>
          <w:tcPr>
            <w:tcW w:w="4536" w:type="dxa"/>
          </w:tcPr>
          <w:p w14:paraId="259DE55F" w14:textId="0BE5B835"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Częstotliwość znamionowa napięcia wyjściowego [Hz]:</w:t>
            </w:r>
          </w:p>
        </w:tc>
        <w:tc>
          <w:tcPr>
            <w:tcW w:w="3685" w:type="dxa"/>
          </w:tcPr>
          <w:p w14:paraId="357523E9"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50</w:t>
            </w:r>
          </w:p>
        </w:tc>
      </w:tr>
      <w:tr w:rsidR="00E45740" w:rsidRPr="00E45740" w14:paraId="3DDAD7A4" w14:textId="77777777" w:rsidTr="00CB043A">
        <w:tc>
          <w:tcPr>
            <w:tcW w:w="562" w:type="dxa"/>
          </w:tcPr>
          <w:p w14:paraId="017697EF" w14:textId="79761112"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19</w:t>
            </w:r>
          </w:p>
        </w:tc>
        <w:tc>
          <w:tcPr>
            <w:tcW w:w="4536" w:type="dxa"/>
          </w:tcPr>
          <w:p w14:paraId="22A35E42" w14:textId="06D87AA3"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częstotliwości (tolerancja) - praca sieciowa [Hz]:</w:t>
            </w:r>
          </w:p>
        </w:tc>
        <w:tc>
          <w:tcPr>
            <w:tcW w:w="3685" w:type="dxa"/>
          </w:tcPr>
          <w:p w14:paraId="7063C072"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Synchronicznie z siecią</w:t>
            </w:r>
          </w:p>
        </w:tc>
      </w:tr>
      <w:tr w:rsidR="00E45740" w:rsidRPr="00E45740" w14:paraId="312A20F1" w14:textId="77777777" w:rsidTr="00CB043A">
        <w:tc>
          <w:tcPr>
            <w:tcW w:w="562" w:type="dxa"/>
          </w:tcPr>
          <w:p w14:paraId="0A698FD9" w14:textId="788130AF"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20</w:t>
            </w:r>
          </w:p>
        </w:tc>
        <w:tc>
          <w:tcPr>
            <w:tcW w:w="4536" w:type="dxa"/>
          </w:tcPr>
          <w:p w14:paraId="0F8F7CBB" w14:textId="39E5673A"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Zakres częstotliwości (tolerancja) - praca rezerwowa [Hz]:</w:t>
            </w:r>
          </w:p>
        </w:tc>
        <w:tc>
          <w:tcPr>
            <w:tcW w:w="3685" w:type="dxa"/>
          </w:tcPr>
          <w:p w14:paraId="0EB0D6B9"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50 ± 1</w:t>
            </w:r>
          </w:p>
        </w:tc>
      </w:tr>
      <w:tr w:rsidR="00E45740" w:rsidRPr="00E45740" w14:paraId="72D50EA8" w14:textId="77777777" w:rsidTr="00CB043A">
        <w:tc>
          <w:tcPr>
            <w:tcW w:w="562" w:type="dxa"/>
          </w:tcPr>
          <w:p w14:paraId="0097615A" w14:textId="19BEDD75"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21</w:t>
            </w:r>
          </w:p>
        </w:tc>
        <w:tc>
          <w:tcPr>
            <w:tcW w:w="4536" w:type="dxa"/>
          </w:tcPr>
          <w:p w14:paraId="383E9E0F" w14:textId="2DB81EBC"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Filtracja napięcia wyjściowego:</w:t>
            </w:r>
          </w:p>
        </w:tc>
        <w:tc>
          <w:tcPr>
            <w:tcW w:w="3685" w:type="dxa"/>
          </w:tcPr>
          <w:p w14:paraId="55427D7D"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Filtr przeciwzakłóceniowy RFI/EMI, tłumik warystorowy</w:t>
            </w:r>
          </w:p>
        </w:tc>
      </w:tr>
      <w:tr w:rsidR="00E45740" w:rsidRPr="00E45740" w14:paraId="5C03AF33" w14:textId="77777777" w:rsidTr="00CB043A">
        <w:tc>
          <w:tcPr>
            <w:tcW w:w="562" w:type="dxa"/>
          </w:tcPr>
          <w:p w14:paraId="7184E7C1" w14:textId="7769E688"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22</w:t>
            </w:r>
          </w:p>
        </w:tc>
        <w:tc>
          <w:tcPr>
            <w:tcW w:w="4536" w:type="dxa"/>
          </w:tcPr>
          <w:p w14:paraId="72A03299" w14:textId="4FA1FD93"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Progi przełączania: UPS – sieć [V]:</w:t>
            </w:r>
          </w:p>
        </w:tc>
        <w:tc>
          <w:tcPr>
            <w:tcW w:w="3685" w:type="dxa"/>
          </w:tcPr>
          <w:p w14:paraId="06C20342"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189 / 259 ± 2 %</w:t>
            </w:r>
          </w:p>
        </w:tc>
      </w:tr>
      <w:tr w:rsidR="00E45740" w:rsidRPr="00E45740" w14:paraId="5D2165E4" w14:textId="77777777" w:rsidTr="00CB043A">
        <w:tc>
          <w:tcPr>
            <w:tcW w:w="562" w:type="dxa"/>
          </w:tcPr>
          <w:p w14:paraId="4AECB3FF" w14:textId="728788E8"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23</w:t>
            </w:r>
          </w:p>
        </w:tc>
        <w:tc>
          <w:tcPr>
            <w:tcW w:w="4536" w:type="dxa"/>
          </w:tcPr>
          <w:p w14:paraId="14652886" w14:textId="1489D20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Czas przełączenia na pracę rezerwową [ms]:</w:t>
            </w:r>
          </w:p>
        </w:tc>
        <w:tc>
          <w:tcPr>
            <w:tcW w:w="3685" w:type="dxa"/>
          </w:tcPr>
          <w:p w14:paraId="07D04CDD"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&lt; 3</w:t>
            </w:r>
          </w:p>
        </w:tc>
      </w:tr>
      <w:tr w:rsidR="00E45740" w:rsidRPr="00E45740" w14:paraId="0700D31F" w14:textId="77777777" w:rsidTr="00CB043A">
        <w:tc>
          <w:tcPr>
            <w:tcW w:w="562" w:type="dxa"/>
          </w:tcPr>
          <w:p w14:paraId="34BA7616" w14:textId="03AEA20A"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24</w:t>
            </w:r>
          </w:p>
        </w:tc>
        <w:tc>
          <w:tcPr>
            <w:tcW w:w="4536" w:type="dxa"/>
          </w:tcPr>
          <w:p w14:paraId="654ED117" w14:textId="064B70C0"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Czas powrotu na pracę sieciową [ms]:</w:t>
            </w:r>
          </w:p>
        </w:tc>
        <w:tc>
          <w:tcPr>
            <w:tcW w:w="3685" w:type="dxa"/>
          </w:tcPr>
          <w:p w14:paraId="1BB84376"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0</w:t>
            </w:r>
          </w:p>
        </w:tc>
      </w:tr>
      <w:tr w:rsidR="00E45740" w:rsidRPr="00E45740" w14:paraId="5C116012" w14:textId="77777777" w:rsidTr="00CB043A">
        <w:tc>
          <w:tcPr>
            <w:tcW w:w="562" w:type="dxa"/>
          </w:tcPr>
          <w:p w14:paraId="6B1EC150" w14:textId="3BE44CF0"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25</w:t>
            </w:r>
          </w:p>
        </w:tc>
        <w:tc>
          <w:tcPr>
            <w:tcW w:w="4536" w:type="dxa"/>
          </w:tcPr>
          <w:p w14:paraId="45B00A27" w14:textId="1731222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Przeciążalność [%]:</w:t>
            </w:r>
          </w:p>
        </w:tc>
        <w:tc>
          <w:tcPr>
            <w:tcW w:w="3685" w:type="dxa"/>
          </w:tcPr>
          <w:p w14:paraId="0D82555C"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&gt; 105 - 3 s (wyłączenie UPS – praca bateryjna); &gt;120 (wyłączenie UPS – praca bateryjna)</w:t>
            </w:r>
          </w:p>
        </w:tc>
      </w:tr>
      <w:tr w:rsidR="00E45740" w:rsidRPr="00E45740" w14:paraId="4016D6F9" w14:textId="77777777" w:rsidTr="00CB043A">
        <w:tc>
          <w:tcPr>
            <w:tcW w:w="562" w:type="dxa"/>
          </w:tcPr>
          <w:p w14:paraId="74FA0FDD" w14:textId="7FE0E615"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26</w:t>
            </w:r>
          </w:p>
        </w:tc>
        <w:tc>
          <w:tcPr>
            <w:tcW w:w="4536" w:type="dxa"/>
          </w:tcPr>
          <w:p w14:paraId="219F6E7A" w14:textId="0A892C62"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Akumulatory wewnętrzne:</w:t>
            </w:r>
          </w:p>
        </w:tc>
        <w:tc>
          <w:tcPr>
            <w:tcW w:w="3685" w:type="dxa"/>
          </w:tcPr>
          <w:p w14:paraId="7C5E1349"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12 V / 5 Ah VRLA</w:t>
            </w:r>
          </w:p>
        </w:tc>
      </w:tr>
      <w:tr w:rsidR="00E45740" w:rsidRPr="00E45740" w14:paraId="35EE4214" w14:textId="77777777" w:rsidTr="00CB043A">
        <w:tc>
          <w:tcPr>
            <w:tcW w:w="562" w:type="dxa"/>
          </w:tcPr>
          <w:p w14:paraId="7969DDFB" w14:textId="62E1CD91"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27</w:t>
            </w:r>
          </w:p>
        </w:tc>
        <w:tc>
          <w:tcPr>
            <w:tcW w:w="4536" w:type="dxa"/>
          </w:tcPr>
          <w:p w14:paraId="4741E73F" w14:textId="6617BA96"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Liczba akumulatorów wewnętrznych:</w:t>
            </w:r>
          </w:p>
        </w:tc>
        <w:tc>
          <w:tcPr>
            <w:tcW w:w="3685" w:type="dxa"/>
          </w:tcPr>
          <w:p w14:paraId="46513F17"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w:t>
            </w:r>
          </w:p>
        </w:tc>
      </w:tr>
      <w:tr w:rsidR="00E45740" w:rsidRPr="00E45740" w14:paraId="76082AAC" w14:textId="77777777" w:rsidTr="00CB043A">
        <w:tc>
          <w:tcPr>
            <w:tcW w:w="562" w:type="dxa"/>
          </w:tcPr>
          <w:p w14:paraId="5C037917" w14:textId="572998C3"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28</w:t>
            </w:r>
          </w:p>
        </w:tc>
        <w:tc>
          <w:tcPr>
            <w:tcW w:w="4536" w:type="dxa"/>
          </w:tcPr>
          <w:p w14:paraId="1069C240" w14:textId="2F20E6AD"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Dopuszczalna całkowita pojemność akumulatorów wewnętrznych [Ah]:</w:t>
            </w:r>
          </w:p>
        </w:tc>
        <w:tc>
          <w:tcPr>
            <w:tcW w:w="3685" w:type="dxa"/>
          </w:tcPr>
          <w:p w14:paraId="444DC194"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w:t>
            </w:r>
          </w:p>
        </w:tc>
      </w:tr>
      <w:tr w:rsidR="00E45740" w:rsidRPr="00E45740" w14:paraId="7BD84AEB" w14:textId="77777777" w:rsidTr="00CB043A">
        <w:tc>
          <w:tcPr>
            <w:tcW w:w="562" w:type="dxa"/>
          </w:tcPr>
          <w:p w14:paraId="753F3FD4" w14:textId="4837A1A3"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29</w:t>
            </w:r>
          </w:p>
        </w:tc>
        <w:tc>
          <w:tcPr>
            <w:tcW w:w="4536" w:type="dxa"/>
          </w:tcPr>
          <w:p w14:paraId="3259F582" w14:textId="1C3E385E"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Czas podtrzymania z baterii wewnętrznych (100 % / 80 % / 50 % Pmax) [min]:</w:t>
            </w:r>
          </w:p>
        </w:tc>
        <w:tc>
          <w:tcPr>
            <w:tcW w:w="3685" w:type="dxa"/>
          </w:tcPr>
          <w:p w14:paraId="402C3ACB"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 / 4 / 7</w:t>
            </w:r>
          </w:p>
        </w:tc>
      </w:tr>
      <w:tr w:rsidR="00E45740" w:rsidRPr="00E45740" w14:paraId="51180F22" w14:textId="77777777" w:rsidTr="00CB043A">
        <w:tc>
          <w:tcPr>
            <w:tcW w:w="562" w:type="dxa"/>
          </w:tcPr>
          <w:p w14:paraId="5E7D9836" w14:textId="64FE9B22"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30</w:t>
            </w:r>
          </w:p>
        </w:tc>
        <w:tc>
          <w:tcPr>
            <w:tcW w:w="4536" w:type="dxa"/>
          </w:tcPr>
          <w:p w14:paraId="33BF1D05" w14:textId="1A05267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Napięcie nominalne obwodu DC [V]:</w:t>
            </w:r>
          </w:p>
        </w:tc>
        <w:tc>
          <w:tcPr>
            <w:tcW w:w="3685" w:type="dxa"/>
          </w:tcPr>
          <w:p w14:paraId="45C92833"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24</w:t>
            </w:r>
          </w:p>
        </w:tc>
      </w:tr>
      <w:tr w:rsidR="00E45740" w:rsidRPr="00E45740" w14:paraId="59F97329" w14:textId="77777777" w:rsidTr="00CB043A">
        <w:tc>
          <w:tcPr>
            <w:tcW w:w="562" w:type="dxa"/>
          </w:tcPr>
          <w:p w14:paraId="645365A0" w14:textId="097EC58E"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31</w:t>
            </w:r>
          </w:p>
        </w:tc>
        <w:tc>
          <w:tcPr>
            <w:tcW w:w="4536" w:type="dxa"/>
          </w:tcPr>
          <w:p w14:paraId="230966B1" w14:textId="52A2A064"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Maksymalny czas ładowania baterii wewnętrznych UPS - po 80 % wyładowaniu baterii [h]:</w:t>
            </w:r>
          </w:p>
        </w:tc>
        <w:tc>
          <w:tcPr>
            <w:tcW w:w="3685" w:type="dxa"/>
          </w:tcPr>
          <w:p w14:paraId="3AB557E3"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5</w:t>
            </w:r>
          </w:p>
        </w:tc>
      </w:tr>
      <w:tr w:rsidR="00E45740" w:rsidRPr="00E45740" w14:paraId="13A9D980" w14:textId="77777777" w:rsidTr="00CB043A">
        <w:tc>
          <w:tcPr>
            <w:tcW w:w="562" w:type="dxa"/>
          </w:tcPr>
          <w:p w14:paraId="2200DD1E" w14:textId="08FF0F59"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32</w:t>
            </w:r>
          </w:p>
        </w:tc>
        <w:tc>
          <w:tcPr>
            <w:tcW w:w="4536" w:type="dxa"/>
          </w:tcPr>
          <w:p w14:paraId="51C3C19D" w14:textId="43EFF664"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Wymiary (wys. x szer. x gł.) [mm]:</w:t>
            </w:r>
          </w:p>
        </w:tc>
        <w:tc>
          <w:tcPr>
            <w:tcW w:w="3685" w:type="dxa"/>
          </w:tcPr>
          <w:p w14:paraId="5DE77615"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88(2U) x 485 (19’’) x 200</w:t>
            </w:r>
          </w:p>
        </w:tc>
      </w:tr>
      <w:tr w:rsidR="00E45740" w:rsidRPr="00E45740" w14:paraId="689FB432" w14:textId="77777777" w:rsidTr="00CB043A">
        <w:tc>
          <w:tcPr>
            <w:tcW w:w="562" w:type="dxa"/>
          </w:tcPr>
          <w:p w14:paraId="3B206F8F" w14:textId="63777E66"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33</w:t>
            </w:r>
          </w:p>
        </w:tc>
        <w:tc>
          <w:tcPr>
            <w:tcW w:w="4536" w:type="dxa"/>
          </w:tcPr>
          <w:p w14:paraId="7609BD1E" w14:textId="67CC40E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Masa zasilacza [kg]:</w:t>
            </w:r>
          </w:p>
        </w:tc>
        <w:tc>
          <w:tcPr>
            <w:tcW w:w="3685" w:type="dxa"/>
          </w:tcPr>
          <w:p w14:paraId="6EA91BE3"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11,40</w:t>
            </w:r>
          </w:p>
        </w:tc>
      </w:tr>
      <w:tr w:rsidR="00E45740" w:rsidRPr="00E45740" w14:paraId="3DADCAAB" w14:textId="77777777" w:rsidTr="00CB043A">
        <w:tc>
          <w:tcPr>
            <w:tcW w:w="562" w:type="dxa"/>
          </w:tcPr>
          <w:p w14:paraId="3B7395FD" w14:textId="784ABCD2"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34</w:t>
            </w:r>
          </w:p>
        </w:tc>
        <w:tc>
          <w:tcPr>
            <w:tcW w:w="4536" w:type="dxa"/>
          </w:tcPr>
          <w:p w14:paraId="51D0CF2F" w14:textId="21E2D14F"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Masa transportowa (brutto) [kg]:</w:t>
            </w:r>
          </w:p>
        </w:tc>
        <w:tc>
          <w:tcPr>
            <w:tcW w:w="3685" w:type="dxa"/>
          </w:tcPr>
          <w:p w14:paraId="52A922ED"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12,10</w:t>
            </w:r>
          </w:p>
        </w:tc>
      </w:tr>
      <w:tr w:rsidR="00E45740" w:rsidRPr="00E45740" w14:paraId="559BA5FA" w14:textId="77777777" w:rsidTr="00CB043A">
        <w:tc>
          <w:tcPr>
            <w:tcW w:w="562" w:type="dxa"/>
          </w:tcPr>
          <w:p w14:paraId="31C0BD45" w14:textId="7620F812"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35</w:t>
            </w:r>
          </w:p>
        </w:tc>
        <w:tc>
          <w:tcPr>
            <w:tcW w:w="4536" w:type="dxa"/>
          </w:tcPr>
          <w:p w14:paraId="4F44E387" w14:textId="1584930D"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Wymiary transportowe (wys. x szer. x gł.) [mm]:</w:t>
            </w:r>
          </w:p>
        </w:tc>
        <w:tc>
          <w:tcPr>
            <w:tcW w:w="3685" w:type="dxa"/>
          </w:tcPr>
          <w:p w14:paraId="20D990FB"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160 x 505 x 260</w:t>
            </w:r>
          </w:p>
        </w:tc>
      </w:tr>
      <w:tr w:rsidR="00E45740" w:rsidRPr="00E45740" w14:paraId="5930A54C" w14:textId="77777777" w:rsidTr="00CB043A">
        <w:tc>
          <w:tcPr>
            <w:tcW w:w="562" w:type="dxa"/>
          </w:tcPr>
          <w:p w14:paraId="4185775E" w14:textId="62CDD225"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36</w:t>
            </w:r>
          </w:p>
        </w:tc>
        <w:tc>
          <w:tcPr>
            <w:tcW w:w="4536" w:type="dxa"/>
          </w:tcPr>
          <w:p w14:paraId="4F3B5BE2" w14:textId="57034515"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Pozycja transportu:</w:t>
            </w:r>
          </w:p>
        </w:tc>
        <w:tc>
          <w:tcPr>
            <w:tcW w:w="3685" w:type="dxa"/>
          </w:tcPr>
          <w:p w14:paraId="3340D4CE"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Pozioma</w:t>
            </w:r>
          </w:p>
        </w:tc>
      </w:tr>
      <w:tr w:rsidR="00E45740" w:rsidRPr="00E45740" w14:paraId="411D53B7" w14:textId="77777777" w:rsidTr="00CB043A">
        <w:tc>
          <w:tcPr>
            <w:tcW w:w="562" w:type="dxa"/>
          </w:tcPr>
          <w:p w14:paraId="38D5A9AB" w14:textId="65C09CC7"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lastRenderedPageBreak/>
              <w:t>37</w:t>
            </w:r>
          </w:p>
        </w:tc>
        <w:tc>
          <w:tcPr>
            <w:tcW w:w="4536" w:type="dxa"/>
          </w:tcPr>
          <w:p w14:paraId="3A4232DF" w14:textId="10B7378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Maksymalna długość przewodów wyjściowych [m]:</w:t>
            </w:r>
          </w:p>
        </w:tc>
        <w:tc>
          <w:tcPr>
            <w:tcW w:w="3685" w:type="dxa"/>
          </w:tcPr>
          <w:p w14:paraId="18A65BD2"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&lt; 10</w:t>
            </w:r>
          </w:p>
        </w:tc>
      </w:tr>
      <w:tr w:rsidR="00E45740" w:rsidRPr="00E45740" w14:paraId="5B78D4F3" w14:textId="77777777" w:rsidTr="00CB043A">
        <w:tc>
          <w:tcPr>
            <w:tcW w:w="562" w:type="dxa"/>
          </w:tcPr>
          <w:p w14:paraId="1F77F9C5" w14:textId="4CE5267A"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38</w:t>
            </w:r>
          </w:p>
        </w:tc>
        <w:tc>
          <w:tcPr>
            <w:tcW w:w="4536" w:type="dxa"/>
          </w:tcPr>
          <w:p w14:paraId="1D2177D0" w14:textId="3B68A80C"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Zabezpieczenie wejściowe:</w:t>
            </w:r>
          </w:p>
        </w:tc>
        <w:tc>
          <w:tcPr>
            <w:tcW w:w="3685" w:type="dxa"/>
          </w:tcPr>
          <w:p w14:paraId="27FE225B"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Przeciwzwarciowe – Bezpiecznik automatyczny 6 A / 250 V AC; Przeciwprzepięciowe</w:t>
            </w:r>
          </w:p>
        </w:tc>
      </w:tr>
      <w:tr w:rsidR="00E45740" w:rsidRPr="00E45740" w14:paraId="193EF8D3" w14:textId="77777777" w:rsidTr="00CB043A">
        <w:tc>
          <w:tcPr>
            <w:tcW w:w="562" w:type="dxa"/>
          </w:tcPr>
          <w:p w14:paraId="4FC28C8F" w14:textId="7C053F73"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39</w:t>
            </w:r>
          </w:p>
        </w:tc>
        <w:tc>
          <w:tcPr>
            <w:tcW w:w="4536" w:type="dxa"/>
          </w:tcPr>
          <w:p w14:paraId="458E4A97" w14:textId="56F78411"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Zabezpieczenie wyjściowe:</w:t>
            </w:r>
          </w:p>
        </w:tc>
        <w:tc>
          <w:tcPr>
            <w:tcW w:w="3685" w:type="dxa"/>
          </w:tcPr>
          <w:p w14:paraId="7ED0544D"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Elektroniczne – przeciwzwarciowe i przeciążeniowe</w:t>
            </w:r>
          </w:p>
        </w:tc>
      </w:tr>
      <w:tr w:rsidR="00E45740" w:rsidRPr="00E45740" w14:paraId="132A347A" w14:textId="77777777" w:rsidTr="00CB043A">
        <w:tc>
          <w:tcPr>
            <w:tcW w:w="562" w:type="dxa"/>
          </w:tcPr>
          <w:p w14:paraId="45136DB9" w14:textId="33072F8E"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40</w:t>
            </w:r>
          </w:p>
        </w:tc>
        <w:tc>
          <w:tcPr>
            <w:tcW w:w="4536" w:type="dxa"/>
          </w:tcPr>
          <w:p w14:paraId="1FDC6B08" w14:textId="5A420E9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Przyłącze zasilania UPS:</w:t>
            </w:r>
          </w:p>
        </w:tc>
        <w:tc>
          <w:tcPr>
            <w:tcW w:w="3685" w:type="dxa"/>
          </w:tcPr>
          <w:p w14:paraId="6602C41B"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Przewód zakończony wtyczką z uziemieniem 16A (PN-E-93201:1997) + uni-schuko</w:t>
            </w:r>
          </w:p>
        </w:tc>
      </w:tr>
      <w:tr w:rsidR="00E45740" w:rsidRPr="00E45740" w14:paraId="2293946F" w14:textId="77777777" w:rsidTr="00CB043A">
        <w:tc>
          <w:tcPr>
            <w:tcW w:w="562" w:type="dxa"/>
          </w:tcPr>
          <w:p w14:paraId="661B113C" w14:textId="745EA6AF"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41</w:t>
            </w:r>
          </w:p>
        </w:tc>
        <w:tc>
          <w:tcPr>
            <w:tcW w:w="4536" w:type="dxa"/>
          </w:tcPr>
          <w:p w14:paraId="552BD8AD" w14:textId="3336F300"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Przyłącza wyjściowe (liczba i typ gniazd):</w:t>
            </w:r>
          </w:p>
        </w:tc>
        <w:tc>
          <w:tcPr>
            <w:tcW w:w="3685" w:type="dxa"/>
          </w:tcPr>
          <w:p w14:paraId="0E245312"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 x IEC320 C13 (10 A); 2 x PN-E-93201</w:t>
            </w:r>
          </w:p>
        </w:tc>
      </w:tr>
      <w:tr w:rsidR="00E45740" w:rsidRPr="00E45740" w14:paraId="7A0920C0" w14:textId="77777777" w:rsidTr="00CB043A">
        <w:tc>
          <w:tcPr>
            <w:tcW w:w="562" w:type="dxa"/>
          </w:tcPr>
          <w:p w14:paraId="09B9C5A0" w14:textId="625FFED1"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42</w:t>
            </w:r>
          </w:p>
        </w:tc>
        <w:tc>
          <w:tcPr>
            <w:tcW w:w="4536" w:type="dxa"/>
          </w:tcPr>
          <w:p w14:paraId="12B23753" w14:textId="6C2C432E"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Sygnalizacja:</w:t>
            </w:r>
          </w:p>
        </w:tc>
        <w:tc>
          <w:tcPr>
            <w:tcW w:w="3685" w:type="dxa"/>
          </w:tcPr>
          <w:p w14:paraId="5A012C30"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Akustyczno – optyczna; dioda LED</w:t>
            </w:r>
          </w:p>
        </w:tc>
      </w:tr>
      <w:tr w:rsidR="00E45740" w:rsidRPr="00E45740" w14:paraId="7AEF1CAA" w14:textId="77777777" w:rsidTr="00CB043A">
        <w:tc>
          <w:tcPr>
            <w:tcW w:w="562" w:type="dxa"/>
          </w:tcPr>
          <w:p w14:paraId="2FB051C1" w14:textId="28146B83"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43</w:t>
            </w:r>
          </w:p>
        </w:tc>
        <w:tc>
          <w:tcPr>
            <w:tcW w:w="4536" w:type="dxa"/>
          </w:tcPr>
          <w:p w14:paraId="4B3A547E" w14:textId="7BA7D223"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Interfejsy komunikacyjne:</w:t>
            </w:r>
          </w:p>
        </w:tc>
        <w:tc>
          <w:tcPr>
            <w:tcW w:w="3685" w:type="dxa"/>
          </w:tcPr>
          <w:p w14:paraId="17C85199"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USB HID</w:t>
            </w:r>
          </w:p>
        </w:tc>
      </w:tr>
      <w:tr w:rsidR="00E45740" w:rsidRPr="00E45740" w14:paraId="4D55314E" w14:textId="77777777" w:rsidTr="00CB043A">
        <w:tc>
          <w:tcPr>
            <w:tcW w:w="562" w:type="dxa"/>
          </w:tcPr>
          <w:p w14:paraId="35FE6D2A" w14:textId="26AC1139"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44</w:t>
            </w:r>
          </w:p>
        </w:tc>
        <w:tc>
          <w:tcPr>
            <w:tcW w:w="4536" w:type="dxa"/>
          </w:tcPr>
          <w:p w14:paraId="422BADE7" w14:textId="7CB7D92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Oprogramowanie monitorująco-zarządzające:</w:t>
            </w:r>
          </w:p>
        </w:tc>
        <w:tc>
          <w:tcPr>
            <w:tcW w:w="3685" w:type="dxa"/>
          </w:tcPr>
          <w:p w14:paraId="20BB5268" w14:textId="6ABD2E4F" w:rsidR="00E45740" w:rsidRPr="00E45740" w:rsidRDefault="00161293" w:rsidP="00E45740">
            <w:pPr>
              <w:jc w:val="center"/>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TAK</w:t>
            </w:r>
          </w:p>
        </w:tc>
      </w:tr>
      <w:tr w:rsidR="00E45740" w:rsidRPr="00E45740" w14:paraId="71D1CD32" w14:textId="77777777" w:rsidTr="00CB043A">
        <w:tc>
          <w:tcPr>
            <w:tcW w:w="562" w:type="dxa"/>
          </w:tcPr>
          <w:p w14:paraId="529246DD" w14:textId="3115542C" w:rsidR="00E45740" w:rsidRPr="00E45740" w:rsidRDefault="00E45740" w:rsidP="00E45740">
            <w:pPr>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45</w:t>
            </w:r>
          </w:p>
        </w:tc>
        <w:tc>
          <w:tcPr>
            <w:tcW w:w="4536" w:type="dxa"/>
          </w:tcPr>
          <w:p w14:paraId="585148CA" w14:textId="508D7439"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Zimny start:</w:t>
            </w:r>
          </w:p>
        </w:tc>
        <w:tc>
          <w:tcPr>
            <w:tcW w:w="3685" w:type="dxa"/>
          </w:tcPr>
          <w:p w14:paraId="416243DA" w14:textId="77777777" w:rsidR="00E45740" w:rsidRPr="00E45740" w:rsidRDefault="00E45740" w:rsidP="00E45740">
            <w:pPr>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TAK</w:t>
            </w:r>
          </w:p>
        </w:tc>
      </w:tr>
      <w:tr w:rsidR="00161293" w:rsidRPr="00E45740" w14:paraId="6C4E2355" w14:textId="77777777" w:rsidTr="00CB043A">
        <w:tc>
          <w:tcPr>
            <w:tcW w:w="562" w:type="dxa"/>
          </w:tcPr>
          <w:p w14:paraId="51EB4E53" w14:textId="1AF023A8" w:rsidR="00161293" w:rsidRPr="00E45740" w:rsidRDefault="00161293" w:rsidP="00E45740">
            <w:pPr>
              <w:jc w:val="both"/>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46</w:t>
            </w:r>
          </w:p>
        </w:tc>
        <w:tc>
          <w:tcPr>
            <w:tcW w:w="4536" w:type="dxa"/>
          </w:tcPr>
          <w:p w14:paraId="4B28A157" w14:textId="6EDE6288" w:rsidR="00161293" w:rsidRPr="00E45740" w:rsidRDefault="00161293" w:rsidP="00E45740">
            <w:pPr>
              <w:jc w:val="center"/>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Gwarancja</w:t>
            </w:r>
          </w:p>
        </w:tc>
        <w:tc>
          <w:tcPr>
            <w:tcW w:w="3685" w:type="dxa"/>
          </w:tcPr>
          <w:p w14:paraId="70C2629D" w14:textId="257F2F9D" w:rsidR="00161293" w:rsidRPr="00E45740" w:rsidRDefault="00161293" w:rsidP="00E45740">
            <w:pPr>
              <w:jc w:val="center"/>
              <w:rPr>
                <w:rFonts w:ascii="Tahoma" w:eastAsiaTheme="minorHAnsi" w:hAnsi="Tahoma" w:cs="Tahoma"/>
                <w:sz w:val="24"/>
                <w:lang w:eastAsia="en-US"/>
                <w14:ligatures w14:val="standardContextual"/>
              </w:rPr>
            </w:pPr>
            <w:r>
              <w:rPr>
                <w:rFonts w:ascii="Tahoma" w:eastAsiaTheme="minorHAnsi" w:hAnsi="Tahoma" w:cs="Tahoma"/>
                <w:sz w:val="24"/>
                <w:lang w:eastAsia="en-US"/>
                <w14:ligatures w14:val="standardContextual"/>
              </w:rPr>
              <w:t>Min. 12 miesięcy</w:t>
            </w:r>
          </w:p>
        </w:tc>
      </w:tr>
    </w:tbl>
    <w:p w14:paraId="55D09DD8" w14:textId="77777777" w:rsidR="00CB043A" w:rsidRPr="00E45740" w:rsidRDefault="00CB043A" w:rsidP="00A66C98">
      <w:pPr>
        <w:jc w:val="both"/>
        <w:rPr>
          <w:rFonts w:ascii="Tahoma" w:eastAsiaTheme="minorHAnsi" w:hAnsi="Tahoma" w:cs="Tahoma"/>
          <w:sz w:val="24"/>
          <w:lang w:eastAsia="en-US"/>
          <w14:ligatures w14:val="standardContextual"/>
        </w:rPr>
      </w:pPr>
    </w:p>
    <w:p w14:paraId="068D77FF" w14:textId="172F85CF" w:rsidR="001029CF" w:rsidRPr="00E45740" w:rsidRDefault="00B02E6F" w:rsidP="001029CF">
      <w:pPr>
        <w:autoSpaceDE w:val="0"/>
        <w:autoSpaceDN w:val="0"/>
        <w:adjustRightInd w:val="0"/>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2</w:t>
      </w:r>
      <w:r w:rsidR="001029CF" w:rsidRPr="00E45740">
        <w:rPr>
          <w:rFonts w:ascii="Tahoma" w:eastAsiaTheme="minorHAnsi" w:hAnsi="Tahoma" w:cs="Tahoma"/>
          <w:b/>
          <w:bCs/>
          <w:sz w:val="24"/>
          <w:lang w:eastAsia="en-US"/>
          <w14:ligatures w14:val="standardContextual"/>
        </w:rPr>
        <w:t>. Punkt</w:t>
      </w:r>
      <w:r w:rsidRPr="00E45740">
        <w:rPr>
          <w:rFonts w:ascii="Tahoma" w:eastAsiaTheme="minorHAnsi" w:hAnsi="Tahoma" w:cs="Tahoma"/>
          <w:b/>
          <w:bCs/>
          <w:sz w:val="24"/>
          <w:lang w:eastAsia="en-US"/>
          <w14:ligatures w14:val="standardContextual"/>
        </w:rPr>
        <w:t>y</w:t>
      </w:r>
      <w:r w:rsidR="001029CF" w:rsidRPr="00E45740">
        <w:rPr>
          <w:rFonts w:ascii="Tahoma" w:eastAsiaTheme="minorHAnsi" w:hAnsi="Tahoma" w:cs="Tahoma"/>
          <w:b/>
          <w:bCs/>
          <w:sz w:val="24"/>
          <w:lang w:eastAsia="en-US"/>
          <w14:ligatures w14:val="standardContextual"/>
        </w:rPr>
        <w:t xml:space="preserve"> Elektryczno-Logiczn</w:t>
      </w:r>
      <w:r w:rsidR="00E45740" w:rsidRPr="00E45740">
        <w:rPr>
          <w:rFonts w:ascii="Tahoma" w:eastAsiaTheme="minorHAnsi" w:hAnsi="Tahoma" w:cs="Tahoma"/>
          <w:b/>
          <w:bCs/>
          <w:sz w:val="24"/>
          <w:lang w:eastAsia="en-US"/>
          <w14:ligatures w14:val="standardContextual"/>
        </w:rPr>
        <w:t>e</w:t>
      </w:r>
      <w:r w:rsidR="001029CF" w:rsidRPr="00E45740">
        <w:rPr>
          <w:rFonts w:ascii="Tahoma" w:eastAsiaTheme="minorHAnsi" w:hAnsi="Tahoma" w:cs="Tahoma"/>
          <w:b/>
          <w:bCs/>
          <w:sz w:val="24"/>
          <w:lang w:eastAsia="en-US"/>
          <w14:ligatures w14:val="standardContextual"/>
        </w:rPr>
        <w:t xml:space="preserve"> PEL</w:t>
      </w:r>
      <w:r w:rsidR="000775DC">
        <w:rPr>
          <w:rFonts w:ascii="Tahoma" w:eastAsiaTheme="minorHAnsi" w:hAnsi="Tahoma" w:cs="Tahoma"/>
          <w:b/>
          <w:bCs/>
          <w:sz w:val="24"/>
          <w:lang w:eastAsia="en-US"/>
          <w14:ligatures w14:val="standardContextual"/>
        </w:rPr>
        <w:t xml:space="preserve"> – 4 szt.</w:t>
      </w:r>
    </w:p>
    <w:p w14:paraId="7C4119F2" w14:textId="6B144CFC"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xml:space="preserve">Przez punkt elektryczno-logiczny rozumie się: 1 gniazdo logiczne podtynkowe </w:t>
      </w:r>
      <w:r w:rsidR="000775DC">
        <w:rPr>
          <w:rFonts w:ascii="Tahoma" w:eastAsiaTheme="minorHAnsi" w:hAnsi="Tahoma" w:cs="Tahoma"/>
          <w:sz w:val="24"/>
          <w:lang w:eastAsia="en-US"/>
          <w14:ligatures w14:val="standardContextual"/>
        </w:rPr>
        <w:t>2</w:t>
      </w:r>
      <w:r w:rsidRPr="00E45740">
        <w:rPr>
          <w:rFonts w:ascii="Tahoma" w:eastAsiaTheme="minorHAnsi" w:hAnsi="Tahoma" w:cs="Tahoma"/>
          <w:sz w:val="24"/>
          <w:lang w:eastAsia="en-US"/>
          <w14:ligatures w14:val="standardContextual"/>
        </w:rPr>
        <w:t>*RJ 45 oraz 1 gniazdo podtynkowe potrójne nie odwracające fazy wyposażone w styk ochronny „PE" i blokady uniemożliwiające podłączenie innych odbiorów niż urządzenia komputerowe wyposażone w klucze.</w:t>
      </w:r>
    </w:p>
    <w:p w14:paraId="688D4E79"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Każde gniazdo RJ45 w punkcie elektryczno-logicznym musi posiadać oznaczanie jednoznacznie je identyfikujące, odpowiadające oznaczeniu wyprowadzenia przewodu do jakiego jest podłączone w Punkcie Dystrybucyjnym i oznaczeniu gniazda w panelu krosowym gdzie jest ten przewód wpięty (w celu łatwego zarządzania okablowaniem strukturalnym). Schemat oznaczania:</w:t>
      </w:r>
    </w:p>
    <w:p w14:paraId="10087803"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p>
    <w:p w14:paraId="2FF0CED4" w14:textId="0F498B33" w:rsidR="001029CF" w:rsidRPr="00E45740" w:rsidRDefault="001029CF" w:rsidP="001029CF">
      <w:pPr>
        <w:autoSpaceDE w:val="0"/>
        <w:autoSpaceDN w:val="0"/>
        <w:adjustRightInd w:val="0"/>
        <w:jc w:val="center"/>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PPD.</w:t>
      </w:r>
      <w:r w:rsidR="000775DC">
        <w:rPr>
          <w:rFonts w:ascii="Tahoma" w:eastAsiaTheme="minorHAnsi" w:hAnsi="Tahoma" w:cs="Tahoma"/>
          <w:b/>
          <w:bCs/>
          <w:sz w:val="24"/>
          <w:lang w:eastAsia="en-US"/>
          <w14:ligatures w14:val="standardContextual"/>
        </w:rPr>
        <w:t>D.</w:t>
      </w:r>
      <w:r w:rsidR="00426B29">
        <w:rPr>
          <w:rFonts w:ascii="Tahoma" w:eastAsiaTheme="minorHAnsi" w:hAnsi="Tahoma" w:cs="Tahoma"/>
          <w:b/>
          <w:bCs/>
          <w:sz w:val="24"/>
          <w:lang w:eastAsia="en-US"/>
          <w14:ligatures w14:val="standardContextual"/>
        </w:rPr>
        <w:t>2</w:t>
      </w:r>
      <w:r w:rsidRPr="00E45740">
        <w:rPr>
          <w:rFonts w:ascii="Tahoma" w:eastAsiaTheme="minorHAnsi" w:hAnsi="Tahoma" w:cs="Tahoma"/>
          <w:b/>
          <w:bCs/>
          <w:sz w:val="24"/>
          <w:lang w:eastAsia="en-US"/>
          <w14:ligatures w14:val="standardContextual"/>
        </w:rPr>
        <w:t>.</w:t>
      </w:r>
      <w:r w:rsidR="00426B29">
        <w:rPr>
          <w:rFonts w:ascii="Tahoma" w:eastAsiaTheme="minorHAnsi" w:hAnsi="Tahoma" w:cs="Tahoma"/>
          <w:b/>
          <w:bCs/>
          <w:sz w:val="24"/>
          <w:lang w:eastAsia="en-US"/>
          <w14:ligatures w14:val="standardContextual"/>
        </w:rPr>
        <w:t>2</w:t>
      </w:r>
      <w:r w:rsidRPr="00E45740">
        <w:rPr>
          <w:rFonts w:ascii="Tahoma" w:eastAsiaTheme="minorHAnsi" w:hAnsi="Tahoma" w:cs="Tahoma"/>
          <w:b/>
          <w:bCs/>
          <w:sz w:val="24"/>
          <w:lang w:eastAsia="en-US"/>
          <w14:ligatures w14:val="standardContextual"/>
        </w:rPr>
        <w:t xml:space="preserve"> – A/B, gdzie:</w:t>
      </w:r>
    </w:p>
    <w:p w14:paraId="443B5649" w14:textId="18E37CE9" w:rsidR="001029CF" w:rsidRPr="00E45740" w:rsidRDefault="001029CF" w:rsidP="001029CF">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PPD.</w:t>
      </w:r>
      <w:r w:rsidR="007F7B5D">
        <w:rPr>
          <w:rFonts w:ascii="Tahoma" w:eastAsiaTheme="minorHAnsi" w:hAnsi="Tahoma" w:cs="Tahoma"/>
          <w:sz w:val="24"/>
          <w:lang w:eastAsia="en-US"/>
          <w14:ligatures w14:val="standardContextual"/>
        </w:rPr>
        <w:t>D</w:t>
      </w:r>
      <w:r w:rsidRPr="00E45740">
        <w:rPr>
          <w:rFonts w:ascii="Tahoma" w:eastAsiaTheme="minorHAnsi" w:hAnsi="Tahoma" w:cs="Tahoma"/>
          <w:sz w:val="24"/>
          <w:lang w:eastAsia="en-US"/>
          <w14:ligatures w14:val="standardContextual"/>
        </w:rPr>
        <w:t>.1</w:t>
      </w:r>
      <w:r w:rsidR="007F7B5D">
        <w:rPr>
          <w:rFonts w:ascii="Tahoma" w:eastAsiaTheme="minorHAnsi" w:hAnsi="Tahoma" w:cs="Tahoma"/>
          <w:sz w:val="24"/>
          <w:lang w:eastAsia="en-US"/>
          <w14:ligatures w14:val="standardContextual"/>
        </w:rPr>
        <w:t>.1</w:t>
      </w:r>
      <w:r w:rsidRPr="00E45740">
        <w:rPr>
          <w:rFonts w:ascii="Tahoma" w:eastAsiaTheme="minorHAnsi" w:hAnsi="Tahoma" w:cs="Tahoma"/>
          <w:sz w:val="24"/>
          <w:lang w:eastAsia="en-US"/>
          <w14:ligatures w14:val="standardContextual"/>
        </w:rPr>
        <w:t xml:space="preserve"> – numer szafy dystrybucyjnej</w:t>
      </w:r>
    </w:p>
    <w:p w14:paraId="3369FBFF" w14:textId="77777777" w:rsidR="001029CF" w:rsidRPr="00E45740" w:rsidRDefault="001029CF" w:rsidP="001029CF">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A – numer panela w szafie</w:t>
      </w:r>
    </w:p>
    <w:p w14:paraId="03F53870" w14:textId="77777777" w:rsidR="001029CF" w:rsidRPr="00E45740" w:rsidRDefault="001029CF" w:rsidP="001029CF">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B – numer portu w panelu</w:t>
      </w:r>
    </w:p>
    <w:p w14:paraId="7182C925"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p>
    <w:p w14:paraId="416B93F1" w14:textId="77777777" w:rsidR="001029CF" w:rsidRPr="00E45740" w:rsidRDefault="001029CF" w:rsidP="001029CF">
      <w:pPr>
        <w:pStyle w:val="v1default"/>
        <w:shd w:val="clear" w:color="auto" w:fill="FFFFFF"/>
        <w:spacing w:before="0" w:beforeAutospacing="0" w:after="0" w:afterAutospacing="0"/>
        <w:jc w:val="both"/>
        <w:rPr>
          <w:rFonts w:ascii="Tahoma" w:hAnsi="Tahoma" w:cs="Tahoma"/>
          <w:color w:val="000000"/>
        </w:rPr>
      </w:pPr>
      <w:r w:rsidRPr="00E45740">
        <w:rPr>
          <w:rFonts w:ascii="Tahoma" w:hAnsi="Tahoma" w:cs="Tahoma"/>
          <w:b/>
          <w:bCs/>
          <w:color w:val="000000"/>
        </w:rPr>
        <w:t>Konfiguracja PEL-a i zapotrzebowanie mocy dla tego punktu.</w:t>
      </w:r>
    </w:p>
    <w:p w14:paraId="571755FF" w14:textId="77777777" w:rsidR="001029CF" w:rsidRPr="00E45740" w:rsidRDefault="001029CF" w:rsidP="001029CF">
      <w:pPr>
        <w:pStyle w:val="v1default"/>
        <w:shd w:val="clear" w:color="auto" w:fill="FFFFFF"/>
        <w:spacing w:before="0" w:beforeAutospacing="0" w:after="0" w:afterAutospacing="0"/>
        <w:jc w:val="both"/>
        <w:rPr>
          <w:rFonts w:ascii="Tahoma" w:hAnsi="Tahoma" w:cs="Tahoma"/>
          <w:b/>
          <w:bCs/>
          <w:color w:val="FF0000"/>
        </w:rPr>
      </w:pPr>
    </w:p>
    <w:p w14:paraId="354B027C" w14:textId="255906EA" w:rsidR="001029CF" w:rsidRPr="00E45740" w:rsidRDefault="001029CF" w:rsidP="001029CF">
      <w:pPr>
        <w:pStyle w:val="v1default"/>
        <w:shd w:val="clear" w:color="auto" w:fill="FFFFFF"/>
        <w:spacing w:before="0" w:beforeAutospacing="0" w:after="0" w:afterAutospacing="0"/>
        <w:jc w:val="both"/>
        <w:rPr>
          <w:rFonts w:ascii="Tahoma" w:hAnsi="Tahoma" w:cs="Tahoma"/>
          <w:color w:val="000000"/>
        </w:rPr>
      </w:pPr>
      <w:r w:rsidRPr="00E45740">
        <w:rPr>
          <w:rFonts w:ascii="Tahoma" w:hAnsi="Tahoma" w:cs="Tahoma"/>
          <w:b/>
          <w:bCs/>
          <w:color w:val="FF0000"/>
        </w:rPr>
        <w:t xml:space="preserve">Konfiguracja jednego PEL-a: </w:t>
      </w:r>
      <w:r w:rsidRPr="00E45740">
        <w:rPr>
          <w:rFonts w:ascii="Tahoma" w:hAnsi="Tahoma" w:cs="Tahoma"/>
          <w:b/>
          <w:bCs/>
          <w:color w:val="FF0000"/>
          <w:u w:val="single"/>
        </w:rPr>
        <w:t>1</w:t>
      </w:r>
      <w:r w:rsidRPr="00E45740">
        <w:rPr>
          <w:rFonts w:ascii="Tahoma" w:hAnsi="Tahoma" w:cs="Tahoma"/>
          <w:b/>
          <w:bCs/>
          <w:color w:val="FF0000"/>
        </w:rPr>
        <w:t xml:space="preserve"> gniazdo logiczne </w:t>
      </w:r>
      <w:r w:rsidR="000775DC">
        <w:rPr>
          <w:rFonts w:ascii="Tahoma" w:hAnsi="Tahoma" w:cs="Tahoma"/>
          <w:b/>
          <w:bCs/>
          <w:color w:val="FF0000"/>
          <w:u w:val="single"/>
        </w:rPr>
        <w:t>2</w:t>
      </w:r>
      <w:r w:rsidRPr="00E45740">
        <w:rPr>
          <w:rFonts w:ascii="Tahoma" w:hAnsi="Tahoma" w:cs="Tahoma"/>
          <w:b/>
          <w:bCs/>
          <w:color w:val="FF0000"/>
          <w:u w:val="single"/>
        </w:rPr>
        <w:t>*RJ 45</w:t>
      </w:r>
      <w:r w:rsidRPr="00E45740">
        <w:rPr>
          <w:rFonts w:ascii="Tahoma" w:hAnsi="Tahoma" w:cs="Tahoma"/>
          <w:b/>
          <w:bCs/>
          <w:color w:val="FF0000"/>
        </w:rPr>
        <w:t xml:space="preserve"> oraz 1 gniazdo natynkowe </w:t>
      </w:r>
      <w:r w:rsidRPr="00E45740">
        <w:rPr>
          <w:rFonts w:ascii="Tahoma" w:hAnsi="Tahoma" w:cs="Tahoma"/>
          <w:b/>
          <w:bCs/>
          <w:color w:val="FF0000"/>
          <w:u w:val="single"/>
        </w:rPr>
        <w:t>potrójne</w:t>
      </w:r>
      <w:r w:rsidRPr="00E45740">
        <w:rPr>
          <w:rFonts w:ascii="Tahoma" w:hAnsi="Tahoma" w:cs="Tahoma"/>
          <w:color w:val="FF0000"/>
        </w:rPr>
        <w:t xml:space="preserve"> </w:t>
      </w:r>
      <w:r w:rsidRPr="00E45740">
        <w:rPr>
          <w:rFonts w:ascii="Tahoma" w:hAnsi="Tahoma" w:cs="Tahoma"/>
          <w:color w:val="000000"/>
        </w:rPr>
        <w:t>nieodwracające fazy wyposażone w styk ochronny „PE" i blokady uniemożliwiające podłączenie innych odbiorów niż urządzenia komputerowe wyposażone w klucze.</w:t>
      </w:r>
    </w:p>
    <w:p w14:paraId="19AB29A3" w14:textId="77777777" w:rsidR="001029CF" w:rsidRPr="00E45740" w:rsidRDefault="001029CF" w:rsidP="001029CF">
      <w:pPr>
        <w:pStyle w:val="v1msonormal"/>
        <w:shd w:val="clear" w:color="auto" w:fill="FFFFFF"/>
        <w:spacing w:before="0" w:beforeAutospacing="0" w:after="0" w:afterAutospacing="0"/>
        <w:jc w:val="both"/>
        <w:rPr>
          <w:rFonts w:ascii="Tahoma" w:hAnsi="Tahoma" w:cs="Tahoma"/>
          <w:color w:val="000000"/>
        </w:rPr>
      </w:pPr>
      <w:r w:rsidRPr="00E45740">
        <w:rPr>
          <w:rFonts w:ascii="Tahoma" w:hAnsi="Tahoma" w:cs="Tahoma"/>
          <w:color w:val="000000"/>
        </w:rPr>
        <w:t>Na jednym obwodzie elektrycznym umieścić maksymalnie 5 PEL (punkt elektryczno-logiczny).</w:t>
      </w:r>
    </w:p>
    <w:p w14:paraId="56691CD8" w14:textId="77777777" w:rsidR="001029CF" w:rsidRPr="00E45740" w:rsidRDefault="001029CF" w:rsidP="001029CF">
      <w:pPr>
        <w:pStyle w:val="v1default"/>
        <w:shd w:val="clear" w:color="auto" w:fill="FFFFFF"/>
        <w:spacing w:before="0" w:beforeAutospacing="0" w:after="0" w:afterAutospacing="0" w:line="360" w:lineRule="atLeast"/>
        <w:jc w:val="both"/>
        <w:rPr>
          <w:rFonts w:ascii="Tahoma" w:hAnsi="Tahoma" w:cs="Tahoma"/>
          <w:color w:val="000000"/>
        </w:rPr>
      </w:pPr>
      <w:r w:rsidRPr="00E45740">
        <w:rPr>
          <w:rFonts w:ascii="Tahoma" w:hAnsi="Tahoma" w:cs="Tahoma"/>
          <w:color w:val="000000"/>
        </w:rPr>
        <w:t> </w:t>
      </w:r>
      <w:r w:rsidRPr="00E45740">
        <w:rPr>
          <w:rFonts w:ascii="Tahoma" w:hAnsi="Tahoma" w:cs="Tahoma"/>
          <w:b/>
          <w:bCs/>
          <w:color w:val="000000"/>
        </w:rPr>
        <w:t>Uwaga: </w:t>
      </w:r>
      <w:r w:rsidRPr="00E45740">
        <w:rPr>
          <w:rFonts w:ascii="Tahoma" w:hAnsi="Tahoma" w:cs="Tahoma"/>
          <w:color w:val="000000"/>
          <w:u w:val="single"/>
        </w:rPr>
        <w:t xml:space="preserve">Wykorzystując istniejące instalacje elektryczne należy w maksymalnym, uzasadnionym technicznie stopniu zachować jednolitość typów i producentów osprzętu </w:t>
      </w:r>
      <w:r w:rsidRPr="00E45740">
        <w:rPr>
          <w:rFonts w:ascii="Tahoma" w:hAnsi="Tahoma" w:cs="Tahoma"/>
          <w:color w:val="000000"/>
          <w:u w:val="single"/>
        </w:rPr>
        <w:lastRenderedPageBreak/>
        <w:t>już zainstalowanego i projektowanego. W przypadku zastosowania osprzętu od dwóch różnych producentów, należy przed jego zainstalowaniem upewnić się co do poprawnej współpracy takich elementów.</w:t>
      </w:r>
    </w:p>
    <w:p w14:paraId="19846103"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p>
    <w:p w14:paraId="6F870A3A" w14:textId="7372F77B" w:rsidR="00E45740" w:rsidRPr="00E45740" w:rsidRDefault="00E45740" w:rsidP="00E45740">
      <w:pPr>
        <w:autoSpaceDE w:val="0"/>
        <w:autoSpaceDN w:val="0"/>
        <w:adjustRightInd w:val="0"/>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 xml:space="preserve">Punkt Logiczny </w:t>
      </w:r>
      <w:r w:rsidR="009A5635">
        <w:rPr>
          <w:rFonts w:ascii="Tahoma" w:eastAsiaTheme="minorHAnsi" w:hAnsi="Tahoma" w:cs="Tahoma"/>
          <w:b/>
          <w:bCs/>
          <w:sz w:val="24"/>
          <w:lang w:eastAsia="en-US"/>
          <w14:ligatures w14:val="standardContextual"/>
        </w:rPr>
        <w:t xml:space="preserve">– </w:t>
      </w:r>
      <w:r w:rsidR="00BD46F3">
        <w:rPr>
          <w:rFonts w:ascii="Tahoma" w:eastAsiaTheme="minorHAnsi" w:hAnsi="Tahoma" w:cs="Tahoma"/>
          <w:b/>
          <w:bCs/>
          <w:sz w:val="24"/>
          <w:lang w:eastAsia="en-US"/>
          <w14:ligatures w14:val="standardContextual"/>
        </w:rPr>
        <w:t xml:space="preserve">2 </w:t>
      </w:r>
      <w:r w:rsidR="009A5635">
        <w:rPr>
          <w:rFonts w:ascii="Tahoma" w:eastAsiaTheme="minorHAnsi" w:hAnsi="Tahoma" w:cs="Tahoma"/>
          <w:b/>
          <w:bCs/>
          <w:sz w:val="24"/>
          <w:lang w:eastAsia="en-US"/>
          <w14:ligatures w14:val="standardContextual"/>
        </w:rPr>
        <w:t>szt.</w:t>
      </w:r>
    </w:p>
    <w:p w14:paraId="5F7D0614" w14:textId="77777777" w:rsidR="00E45740" w:rsidRPr="00E45740" w:rsidRDefault="00E45740" w:rsidP="00E45740">
      <w:pPr>
        <w:autoSpaceDE w:val="0"/>
        <w:autoSpaceDN w:val="0"/>
        <w:adjustRightInd w:val="0"/>
        <w:jc w:val="both"/>
        <w:rPr>
          <w:rFonts w:ascii="Tahoma" w:eastAsiaTheme="minorHAnsi" w:hAnsi="Tahoma" w:cs="Tahoma"/>
          <w:b/>
          <w:bCs/>
          <w:sz w:val="24"/>
          <w:lang w:eastAsia="en-US"/>
          <w14:ligatures w14:val="standardContextual"/>
        </w:rPr>
      </w:pPr>
    </w:p>
    <w:p w14:paraId="768B10C7" w14:textId="4814EE78" w:rsidR="00E45740" w:rsidRPr="00E45740" w:rsidRDefault="00E45740" w:rsidP="00E45740">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 xml:space="preserve">Przez punkt logiczny rozumie się: 1 gniazdo logiczne podtynkowe </w:t>
      </w:r>
      <w:r w:rsidR="000775DC">
        <w:rPr>
          <w:rFonts w:ascii="Tahoma" w:eastAsiaTheme="minorHAnsi" w:hAnsi="Tahoma" w:cs="Tahoma"/>
          <w:sz w:val="24"/>
          <w:lang w:eastAsia="en-US"/>
          <w14:ligatures w14:val="standardContextual"/>
        </w:rPr>
        <w:t>2</w:t>
      </w:r>
      <w:r w:rsidRPr="00E45740">
        <w:rPr>
          <w:rFonts w:ascii="Tahoma" w:eastAsiaTheme="minorHAnsi" w:hAnsi="Tahoma" w:cs="Tahoma"/>
          <w:sz w:val="24"/>
          <w:lang w:eastAsia="en-US"/>
          <w14:ligatures w14:val="standardContextual"/>
        </w:rPr>
        <w:t xml:space="preserve">*RJ 45 </w:t>
      </w:r>
    </w:p>
    <w:p w14:paraId="500F9B60" w14:textId="152BC840" w:rsidR="00E45740" w:rsidRPr="00E45740" w:rsidRDefault="00E45740" w:rsidP="00E45740">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Każde gniazdo RJ45 w punkcie logicznym musi posiadać oznaczanie jednoznacznie je identyfikujące, odpowiadające oznaczeniu wyprowadzenia przewodu do jakiego jest podłączone w Punkcie Dystrybucyjnym i oznaczeniu gniazda w panelu krosowym gdzie jest ten przewód wpięty (w celu łatwego zarządzania okablowaniem strukturalnym). Schemat oznaczania:</w:t>
      </w:r>
    </w:p>
    <w:p w14:paraId="01C8A019" w14:textId="77777777" w:rsidR="00E45740" w:rsidRPr="00E45740" w:rsidRDefault="00E45740" w:rsidP="00E45740">
      <w:pPr>
        <w:autoSpaceDE w:val="0"/>
        <w:autoSpaceDN w:val="0"/>
        <w:adjustRightInd w:val="0"/>
        <w:jc w:val="both"/>
        <w:rPr>
          <w:rFonts w:ascii="Tahoma" w:eastAsiaTheme="minorHAnsi" w:hAnsi="Tahoma" w:cs="Tahoma"/>
          <w:sz w:val="24"/>
          <w:lang w:eastAsia="en-US"/>
          <w14:ligatures w14:val="standardContextual"/>
        </w:rPr>
      </w:pPr>
    </w:p>
    <w:p w14:paraId="08B299FB" w14:textId="0AD9CED0" w:rsidR="00E45740" w:rsidRPr="00E45740" w:rsidRDefault="00E45740" w:rsidP="00E45740">
      <w:pPr>
        <w:autoSpaceDE w:val="0"/>
        <w:autoSpaceDN w:val="0"/>
        <w:adjustRightInd w:val="0"/>
        <w:jc w:val="center"/>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PPD.</w:t>
      </w:r>
      <w:r w:rsidR="000775DC">
        <w:rPr>
          <w:rFonts w:ascii="Tahoma" w:eastAsiaTheme="minorHAnsi" w:hAnsi="Tahoma" w:cs="Tahoma"/>
          <w:b/>
          <w:bCs/>
          <w:sz w:val="24"/>
          <w:lang w:eastAsia="en-US"/>
          <w14:ligatures w14:val="standardContextual"/>
        </w:rPr>
        <w:t>D.</w:t>
      </w:r>
      <w:r w:rsidR="00BD46F3">
        <w:rPr>
          <w:rFonts w:ascii="Tahoma" w:eastAsiaTheme="minorHAnsi" w:hAnsi="Tahoma" w:cs="Tahoma"/>
          <w:b/>
          <w:bCs/>
          <w:sz w:val="24"/>
          <w:lang w:eastAsia="en-US"/>
          <w14:ligatures w14:val="standardContextual"/>
        </w:rPr>
        <w:t>2</w:t>
      </w:r>
      <w:r w:rsidRPr="00E45740">
        <w:rPr>
          <w:rFonts w:ascii="Tahoma" w:eastAsiaTheme="minorHAnsi" w:hAnsi="Tahoma" w:cs="Tahoma"/>
          <w:b/>
          <w:bCs/>
          <w:sz w:val="24"/>
          <w:lang w:eastAsia="en-US"/>
          <w14:ligatures w14:val="standardContextual"/>
        </w:rPr>
        <w:t>.</w:t>
      </w:r>
      <w:r w:rsidR="00BD46F3">
        <w:rPr>
          <w:rFonts w:ascii="Tahoma" w:eastAsiaTheme="minorHAnsi" w:hAnsi="Tahoma" w:cs="Tahoma"/>
          <w:b/>
          <w:bCs/>
          <w:sz w:val="24"/>
          <w:lang w:eastAsia="en-US"/>
          <w14:ligatures w14:val="standardContextual"/>
        </w:rPr>
        <w:t>2</w:t>
      </w:r>
      <w:r w:rsidRPr="00E45740">
        <w:rPr>
          <w:rFonts w:ascii="Tahoma" w:eastAsiaTheme="minorHAnsi" w:hAnsi="Tahoma" w:cs="Tahoma"/>
          <w:b/>
          <w:bCs/>
          <w:sz w:val="24"/>
          <w:lang w:eastAsia="en-US"/>
          <w14:ligatures w14:val="standardContextual"/>
        </w:rPr>
        <w:t xml:space="preserve"> – A/B, gdzie:</w:t>
      </w:r>
    </w:p>
    <w:p w14:paraId="46C9DCD2" w14:textId="26A765C9" w:rsidR="00E45740" w:rsidRPr="00E45740" w:rsidRDefault="00E45740" w:rsidP="00E45740">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PPD.</w:t>
      </w:r>
      <w:r w:rsidR="007F7B5D">
        <w:rPr>
          <w:rFonts w:ascii="Tahoma" w:eastAsiaTheme="minorHAnsi" w:hAnsi="Tahoma" w:cs="Tahoma"/>
          <w:sz w:val="24"/>
          <w:lang w:eastAsia="en-US"/>
          <w14:ligatures w14:val="standardContextual"/>
        </w:rPr>
        <w:t>D 1</w:t>
      </w:r>
      <w:r w:rsidRPr="00E45740">
        <w:rPr>
          <w:rFonts w:ascii="Tahoma" w:eastAsiaTheme="minorHAnsi" w:hAnsi="Tahoma" w:cs="Tahoma"/>
          <w:sz w:val="24"/>
          <w:lang w:eastAsia="en-US"/>
          <w14:ligatures w14:val="standardContextual"/>
        </w:rPr>
        <w:t>.1 – numer szafy dystrybucyjnej</w:t>
      </w:r>
    </w:p>
    <w:p w14:paraId="49293C52" w14:textId="77777777" w:rsidR="00E45740" w:rsidRPr="00E45740" w:rsidRDefault="00E45740" w:rsidP="00E45740">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A – numer panela w szafie</w:t>
      </w:r>
    </w:p>
    <w:p w14:paraId="4DFBF0C0" w14:textId="77777777" w:rsidR="00E45740" w:rsidRPr="00E45740" w:rsidRDefault="00E45740" w:rsidP="00E45740">
      <w:pPr>
        <w:autoSpaceDE w:val="0"/>
        <w:autoSpaceDN w:val="0"/>
        <w:adjustRightInd w:val="0"/>
        <w:jc w:val="center"/>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B – numer portu w panelu</w:t>
      </w:r>
    </w:p>
    <w:p w14:paraId="5E54CEB6" w14:textId="77777777" w:rsidR="00E45740" w:rsidRPr="00E45740" w:rsidRDefault="00E45740" w:rsidP="001029CF">
      <w:pPr>
        <w:autoSpaceDE w:val="0"/>
        <w:autoSpaceDN w:val="0"/>
        <w:adjustRightInd w:val="0"/>
        <w:rPr>
          <w:rFonts w:ascii="Tahoma" w:eastAsiaTheme="minorHAnsi" w:hAnsi="Tahoma" w:cs="Tahoma"/>
          <w:sz w:val="24"/>
          <w:lang w:eastAsia="en-US"/>
          <w14:ligatures w14:val="standardContextual"/>
        </w:rPr>
      </w:pPr>
    </w:p>
    <w:p w14:paraId="068A8211" w14:textId="77777777" w:rsidR="001029CF" w:rsidRPr="00E45740" w:rsidRDefault="001029CF" w:rsidP="001029CF">
      <w:pPr>
        <w:autoSpaceDE w:val="0"/>
        <w:autoSpaceDN w:val="0"/>
        <w:adjustRightInd w:val="0"/>
        <w:rPr>
          <w:rFonts w:ascii="Tahoma" w:eastAsiaTheme="minorHAnsi" w:hAnsi="Tahoma" w:cs="Tahoma"/>
          <w:b/>
          <w:bCs/>
          <w:sz w:val="24"/>
          <w:lang w:eastAsia="en-US"/>
          <w14:ligatures w14:val="standardContextual"/>
        </w:rPr>
      </w:pPr>
    </w:p>
    <w:p w14:paraId="0AAC6EB7" w14:textId="77777777" w:rsidR="001029CF" w:rsidRPr="00E45740" w:rsidRDefault="001029CF" w:rsidP="001029CF">
      <w:pPr>
        <w:autoSpaceDE w:val="0"/>
        <w:autoSpaceDN w:val="0"/>
        <w:adjustRightInd w:val="0"/>
        <w:jc w:val="both"/>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Okablowanie poziome - medium transmisyjne miedziane:</w:t>
      </w:r>
    </w:p>
    <w:p w14:paraId="14202039" w14:textId="77777777" w:rsidR="001029CF" w:rsidRPr="00E45740" w:rsidRDefault="001029CF" w:rsidP="001029CF">
      <w:pPr>
        <w:autoSpaceDE w:val="0"/>
        <w:autoSpaceDN w:val="0"/>
        <w:adjustRightInd w:val="0"/>
        <w:jc w:val="both"/>
        <w:rPr>
          <w:rFonts w:ascii="Tahoma" w:eastAsiaTheme="minorHAnsi" w:hAnsi="Tahoma" w:cs="Tahoma"/>
          <w:b/>
          <w:bCs/>
          <w:sz w:val="24"/>
          <w:lang w:eastAsia="en-US"/>
          <w14:ligatures w14:val="standardContextual"/>
        </w:rPr>
      </w:pPr>
    </w:p>
    <w:p w14:paraId="2F80F7F6"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System okablowania strukturalnego będzie służył do przesyłu danych o częstotliwościach 500 MHz, (10-GB Ethernet) powinien spełniać wymagania kategorii 6a zarówno w odniesieniu do zastosowanych poszczególnych komponentów jak i do całości systemu.</w:t>
      </w:r>
    </w:p>
    <w:p w14:paraId="01B55643"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Szafę dystrybucyjną należy doposażyć w odpowiednią ilość kabli krosowych, paneli krosowych i prowadnic kablowych.</w:t>
      </w:r>
    </w:p>
    <w:p w14:paraId="24BAFD2B"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Do każdego PEL-a należy dostarczyć 2 szt. kabli transmisyjnych kat. 6a o długości 3m.</w:t>
      </w:r>
    </w:p>
    <w:p w14:paraId="348F1046"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p>
    <w:p w14:paraId="6F701A01"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Parametry systemu powinny być potwierdzone deklaracjami producenta oraz certyfikatem niezależnego instytutu np. Instytutu Łączności w Warszawie.</w:t>
      </w:r>
    </w:p>
    <w:p w14:paraId="3AA28AA1"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Oferowany system okablowania strukturalnego musi obejmować kompletne rozwiązanie dla techniki miedzianej, światłowodowej i telekomunikacyjnej.</w:t>
      </w:r>
    </w:p>
    <w:p w14:paraId="08AD1C7B"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Zamawiający zaleca aby elementy składowe systemu pochodziły od jednego producenta.</w:t>
      </w:r>
    </w:p>
    <w:p w14:paraId="742A53ED"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Elementy systemu okablowania powinny być nastawione na uniwersalność, skalowalność, łatwość w montażu oraz prostotę i przejrzystość całości rozwiązania.</w:t>
      </w:r>
    </w:p>
    <w:p w14:paraId="16E2A29C"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Jeśli istnieje taka możliwość to okablowanie może być poprowadzone w istniejących już, trasach kablowych.</w:t>
      </w:r>
    </w:p>
    <w:p w14:paraId="0F8509B9"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Moduły RJ45 powinny być wykonane w standardzie Keystone Jack lub równoważnym (np. Mosaic), co pozwala na ich montaż w każdym dostępnym osprzęcie, moduł RJ45 powinien zapewnić uniwersalność rozwiązania (taki sam moduł po stronie gniazda i po stronie panela krosowego modularnego), moduł RJ45 powinien być montowany narzędziowa lub bez narzędziowa oraz powinien być wielokrotnego użytku - powinien pozwalać na demontaż kabla skrętkowego a następnie jego powtórne zaterminowanie.</w:t>
      </w:r>
    </w:p>
    <w:p w14:paraId="7DD2C9E2"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lastRenderedPageBreak/>
        <w:t>Jako kabel instalacyjny miedziany należy użyć ekranowanej skrętki czteroparowej co najmniej -U/FTP spełniającej minimum kategorię 6a wg normy PN-EN 50173-1. Dopuszczalne powłoki kabli instalacyjnych: LSOH, LSZH, FRNC.</w:t>
      </w:r>
    </w:p>
    <w:p w14:paraId="1A97CE7A" w14:textId="77777777" w:rsidR="001029CF" w:rsidRPr="00E45740" w:rsidRDefault="001029CF" w:rsidP="001029CF">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Kable krosowe i przyłączeniowe powinny być w m kategorii 6a lub wyższej w wersji ekranowanej, standard RJ45, wykonane w wersji z materiałów giętkich.</w:t>
      </w:r>
    </w:p>
    <w:p w14:paraId="4CD8DD09"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Kabel krosowy musi być w tej samej kategorii co kabel instalacyjny, zalewanym wtykiem ze złączem RJ45 z pozłacanymi stykami.</w:t>
      </w:r>
    </w:p>
    <w:p w14:paraId="36A47D62"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Normatywne zapasy kabli instalacyjnych należy umieścić wewnątrz szafy.</w:t>
      </w:r>
    </w:p>
    <w:p w14:paraId="5F6AEDA5"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Pomiary budowanej lub modernizowanej sieci logicznej muszą być wykonane zgodnie z obowiązującymi normami i wyniki tych pomiarów (osobno dla każdej linii) w trybie „permanent link" muszą być dostarczone wraz z dokumentacja powykonawczą.</w:t>
      </w:r>
    </w:p>
    <w:p w14:paraId="242BB300"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Na pasywne elementy okablowania strukturalnego (panele krosowe, gniazda przyłączeniowe oraz kable liniowe) Wykonawca udzieli co najmniej 25-letniej gwarancji systemowej, potwierdzonej (reasekurowanej) przez producenta zastosowanego systemu okablowania odpowiednim certyfikatem gwarancyjnym.</w:t>
      </w:r>
    </w:p>
    <w:p w14:paraId="3B7EDB98" w14:textId="77777777" w:rsidR="001029CF" w:rsidRPr="00E45740" w:rsidRDefault="001029CF" w:rsidP="001029CF">
      <w:pPr>
        <w:autoSpaceDE w:val="0"/>
        <w:autoSpaceDN w:val="0"/>
        <w:adjustRightInd w:val="0"/>
        <w:rPr>
          <w:rFonts w:ascii="Tahoma" w:eastAsiaTheme="minorHAnsi" w:hAnsi="Tahoma" w:cs="Tahoma"/>
          <w:sz w:val="24"/>
          <w:lang w:eastAsia="en-US"/>
          <w14:ligatures w14:val="standardContextual"/>
        </w:rPr>
      </w:pPr>
    </w:p>
    <w:p w14:paraId="0CBB32D5" w14:textId="77777777" w:rsidR="001029CF" w:rsidRPr="00E45740" w:rsidRDefault="001029CF" w:rsidP="001029CF">
      <w:pPr>
        <w:autoSpaceDE w:val="0"/>
        <w:autoSpaceDN w:val="0"/>
        <w:adjustRightInd w:val="0"/>
        <w:rPr>
          <w:rFonts w:ascii="Tahoma" w:eastAsiaTheme="minorHAnsi" w:hAnsi="Tahoma" w:cs="Tahoma"/>
          <w:b/>
          <w:bCs/>
          <w:sz w:val="24"/>
          <w:lang w:eastAsia="en-US"/>
          <w14:ligatures w14:val="standardContextual"/>
        </w:rPr>
      </w:pPr>
      <w:r w:rsidRPr="00E45740">
        <w:rPr>
          <w:rFonts w:ascii="Tahoma" w:eastAsiaTheme="minorHAnsi" w:hAnsi="Tahoma" w:cs="Tahoma"/>
          <w:b/>
          <w:bCs/>
          <w:sz w:val="24"/>
          <w:lang w:eastAsia="en-US"/>
          <w14:ligatures w14:val="standardContextual"/>
        </w:rPr>
        <w:t>Dedykowana linia zasilająca</w:t>
      </w:r>
    </w:p>
    <w:p w14:paraId="0499DC57" w14:textId="77777777" w:rsidR="001029CF" w:rsidRPr="00E45740" w:rsidRDefault="001029CF" w:rsidP="001029CF">
      <w:pPr>
        <w:jc w:val="both"/>
        <w:rPr>
          <w:rFonts w:ascii="Tahoma" w:hAnsi="Tahoma" w:cs="Tahoma"/>
          <w:sz w:val="24"/>
        </w:rPr>
      </w:pPr>
      <w:r w:rsidRPr="00E45740">
        <w:rPr>
          <w:rFonts w:ascii="Tahoma" w:hAnsi="Tahoma" w:cs="Tahoma"/>
          <w:sz w:val="24"/>
        </w:rPr>
        <w:t>Każdy punkt elektryczno-logiczny musi zawierać minimum 3 gniazda elektryczne, zasilane z dedykowanego obwodu elektrycznego gwarantującego zasilanie wszystkich urządzeń napięciem o tej samej fazie i braku zakłóceń pochodzących od innych urządzeń podłączonych do obwodu. Skrzynka z wyłącznikiem głównym i bezpiecznikami musi się znajdować w tym samym pomieszczeniu co Punkt Dystrybucyjny. Nie przewiduje się zainstalowania bezpieczników w innej lokalizacji niż wskazana.</w:t>
      </w:r>
    </w:p>
    <w:p w14:paraId="1DA6A99C" w14:textId="77777777" w:rsidR="001029CF" w:rsidRPr="00E45740" w:rsidRDefault="001029CF" w:rsidP="001029CF">
      <w:pPr>
        <w:jc w:val="both"/>
        <w:rPr>
          <w:rFonts w:ascii="Tahoma" w:hAnsi="Tahoma" w:cs="Tahoma"/>
          <w:sz w:val="24"/>
        </w:rPr>
      </w:pPr>
      <w:r w:rsidRPr="00E45740">
        <w:rPr>
          <w:rFonts w:ascii="Tahoma" w:hAnsi="Tahoma" w:cs="Tahoma"/>
          <w:sz w:val="24"/>
        </w:rPr>
        <w:t>Wymaga się, aby dedykowana instalacja elektryczna była podzielona tak, aby na jednym obwiedzie znajdywało się maksymalnie 5 punktów elektryczno-logicznych, a jedno pomieszczenie nie było podłączone do więcej niż jednego obwodu. Szafa dystrybucyjna oraz punkty elektryczno-logiczne muszą być zasilane oddzielnym obwodem, posiadającym własny komplet bezpieczników (różnicowy na prąd pulsujący i nadprądowym typu „S”), w celu uniezależnienia pracy tych urządzeń od innych urządzeń w sieci.</w:t>
      </w:r>
    </w:p>
    <w:p w14:paraId="1DC57B66" w14:textId="77777777" w:rsidR="001029CF" w:rsidRPr="00E45740" w:rsidRDefault="001029CF" w:rsidP="001029CF">
      <w:pPr>
        <w:jc w:val="both"/>
        <w:rPr>
          <w:rFonts w:ascii="Tahoma" w:hAnsi="Tahoma" w:cs="Tahoma"/>
          <w:sz w:val="24"/>
        </w:rPr>
      </w:pPr>
      <w:r w:rsidRPr="00E45740">
        <w:rPr>
          <w:rFonts w:ascii="Tahoma" w:hAnsi="Tahoma" w:cs="Tahoma"/>
          <w:sz w:val="24"/>
        </w:rPr>
        <w:t>Każdy obwód musi być zabezpieczony własnym bezpiecznikiem różnicowym ma prąd pulsujący i nadprądowym</w:t>
      </w:r>
    </w:p>
    <w:p w14:paraId="3C1BB499" w14:textId="77777777" w:rsidR="001029CF" w:rsidRPr="00E45740" w:rsidRDefault="001029CF" w:rsidP="001029CF">
      <w:pPr>
        <w:jc w:val="both"/>
        <w:rPr>
          <w:rFonts w:ascii="Tahoma" w:hAnsi="Tahoma" w:cs="Tahoma"/>
          <w:sz w:val="24"/>
        </w:rPr>
      </w:pPr>
      <w:r w:rsidRPr="00E45740">
        <w:rPr>
          <w:rFonts w:ascii="Tahoma" w:hAnsi="Tahoma" w:cs="Tahoma"/>
          <w:sz w:val="24"/>
        </w:rPr>
        <w:t>typu „S”. W szafce z bezpiecznikami musi się znajdować wyłącznik główny, kontrolka wskazująca czy do szafki dochodzi napięcie (faza). Obwody muszą być zabezpieczone ochronnikiem przepięciowym.</w:t>
      </w:r>
    </w:p>
    <w:p w14:paraId="0DEC226F" w14:textId="77777777" w:rsidR="001029CF" w:rsidRPr="00E45740" w:rsidRDefault="001029CF" w:rsidP="001029CF">
      <w:pPr>
        <w:jc w:val="both"/>
        <w:rPr>
          <w:rFonts w:ascii="Tahoma" w:hAnsi="Tahoma" w:cs="Tahoma"/>
          <w:sz w:val="24"/>
        </w:rPr>
      </w:pPr>
      <w:r w:rsidRPr="00E45740">
        <w:rPr>
          <w:rFonts w:ascii="Tahoma" w:hAnsi="Tahoma" w:cs="Tahoma"/>
          <w:sz w:val="24"/>
        </w:rPr>
        <w:t>Kable UTP i napięciowe mogą być prowadzone tymi samymi listwami z separacją. Średnica przewodów elektrycznych, ilość obwodów i bezpieczników należy dobrać stosownie do szacowanego obciążenia przy złożeniu, że do każdego punktu logicznego zostanie połączony zestaw komputerowy z drukarką laserową (minimalna średnica przewodu YDY 3x2,5 mm2).</w:t>
      </w:r>
    </w:p>
    <w:p w14:paraId="36F1AF6D" w14:textId="77777777" w:rsidR="001029CF" w:rsidRPr="00E45740" w:rsidRDefault="001029CF" w:rsidP="001029CF">
      <w:pPr>
        <w:jc w:val="both"/>
        <w:rPr>
          <w:rFonts w:ascii="Tahoma" w:hAnsi="Tahoma" w:cs="Tahoma"/>
          <w:sz w:val="24"/>
        </w:rPr>
      </w:pPr>
      <w:r w:rsidRPr="00E45740">
        <w:rPr>
          <w:rFonts w:ascii="Tahoma" w:hAnsi="Tahoma" w:cs="Tahoma"/>
          <w:sz w:val="24"/>
        </w:rPr>
        <w:t>Obok skrzynki z bezpiecznikami musi być umieszczona plansza opisująca, które zabezpieczenia obsługują które punkty elektryczno-logiczne. Elementy w skrzynce z bezpiecznikami powinny być w sposób trwały opisane, w sposób przejrzysty określając rodzaj elementu i za jakie obwód odpowiada.</w:t>
      </w:r>
    </w:p>
    <w:p w14:paraId="70E3BDCA" w14:textId="4CB36A9D" w:rsidR="001029CF" w:rsidRPr="00E45740" w:rsidRDefault="001029CF" w:rsidP="001029CF">
      <w:pPr>
        <w:jc w:val="both"/>
        <w:rPr>
          <w:rFonts w:ascii="Tahoma" w:hAnsi="Tahoma" w:cs="Tahoma"/>
          <w:sz w:val="24"/>
        </w:rPr>
      </w:pPr>
      <w:r w:rsidRPr="00E45740">
        <w:rPr>
          <w:rFonts w:ascii="Tahoma" w:hAnsi="Tahoma" w:cs="Tahoma"/>
          <w:sz w:val="24"/>
        </w:rPr>
        <w:t xml:space="preserve">Przewód ochronny PE w tablicy rozdzielczej musi być uziemiony, oporność uziomu musi być mniejsza niż 10 omów. Po wykonaniu prac montażowych instalacji należy wykonać </w:t>
      </w:r>
      <w:r w:rsidRPr="00E45740">
        <w:rPr>
          <w:rFonts w:ascii="Tahoma" w:hAnsi="Tahoma" w:cs="Tahoma"/>
          <w:sz w:val="24"/>
        </w:rPr>
        <w:lastRenderedPageBreak/>
        <w:t>próby i badania pomontażowe rezystancji izolacji oraz skuteczności ochrony przeciwporażeniowej.</w:t>
      </w:r>
    </w:p>
    <w:p w14:paraId="115860FD" w14:textId="77777777" w:rsidR="001029CF" w:rsidRPr="00E45740" w:rsidRDefault="001029CF" w:rsidP="00A66C98">
      <w:pPr>
        <w:jc w:val="both"/>
        <w:rPr>
          <w:rFonts w:ascii="Tahoma" w:eastAsiaTheme="minorHAnsi" w:hAnsi="Tahoma" w:cs="Tahoma"/>
          <w:sz w:val="24"/>
          <w:lang w:eastAsia="en-US"/>
          <w14:ligatures w14:val="standardContextual"/>
        </w:rPr>
      </w:pPr>
    </w:p>
    <w:p w14:paraId="01F64099" w14:textId="77777777" w:rsidR="00F02D79" w:rsidRPr="00E45740" w:rsidRDefault="00F02D79" w:rsidP="00AA71FF">
      <w:pPr>
        <w:jc w:val="both"/>
        <w:rPr>
          <w:rFonts w:ascii="Tahoma" w:hAnsi="Tahoma" w:cs="Tahoma"/>
          <w:sz w:val="24"/>
        </w:rPr>
      </w:pPr>
    </w:p>
    <w:p w14:paraId="59A9C0AC" w14:textId="77777777" w:rsidR="00F02D79" w:rsidRPr="00E45740" w:rsidRDefault="00F02D79" w:rsidP="00AA71FF">
      <w:pPr>
        <w:jc w:val="both"/>
        <w:rPr>
          <w:rFonts w:ascii="Tahoma" w:hAnsi="Tahoma" w:cs="Tahoma"/>
          <w:sz w:val="24"/>
        </w:rPr>
      </w:pPr>
    </w:p>
    <w:p w14:paraId="132DDBCA" w14:textId="0D30EBDB" w:rsidR="0070199A" w:rsidRPr="00E45740" w:rsidRDefault="00B02E6F" w:rsidP="00F02D79">
      <w:pPr>
        <w:keepNext/>
        <w:keepLines/>
        <w:suppressAutoHyphens/>
        <w:autoSpaceDE w:val="0"/>
        <w:autoSpaceDN w:val="0"/>
        <w:adjustRightInd w:val="0"/>
        <w:spacing w:line="276" w:lineRule="auto"/>
        <w:ind w:right="-284"/>
        <w:jc w:val="both"/>
        <w:rPr>
          <w:rFonts w:ascii="Tahoma" w:hAnsi="Tahoma" w:cs="Tahoma"/>
          <w:b/>
          <w:sz w:val="24"/>
        </w:rPr>
      </w:pPr>
      <w:r w:rsidRPr="00E45740">
        <w:rPr>
          <w:rFonts w:ascii="Tahoma" w:hAnsi="Tahoma" w:cs="Tahoma"/>
          <w:b/>
          <w:sz w:val="24"/>
        </w:rPr>
        <w:t>3</w:t>
      </w:r>
      <w:r w:rsidR="00716AE2" w:rsidRPr="00E45740">
        <w:rPr>
          <w:rFonts w:ascii="Tahoma" w:hAnsi="Tahoma" w:cs="Tahoma"/>
          <w:b/>
          <w:sz w:val="24"/>
        </w:rPr>
        <w:t xml:space="preserve">. </w:t>
      </w:r>
      <w:r w:rsidR="00F02D79" w:rsidRPr="00E45740">
        <w:rPr>
          <w:rFonts w:ascii="Tahoma" w:hAnsi="Tahoma" w:cs="Tahoma"/>
          <w:b/>
          <w:sz w:val="24"/>
        </w:rPr>
        <w:t xml:space="preserve">Punkt dostępowy - </w:t>
      </w:r>
      <w:r w:rsidR="00426B29">
        <w:rPr>
          <w:rFonts w:ascii="Tahoma" w:hAnsi="Tahoma" w:cs="Tahoma"/>
          <w:b/>
          <w:sz w:val="24"/>
        </w:rPr>
        <w:t>2</w:t>
      </w:r>
      <w:r w:rsidR="00F02D79" w:rsidRPr="00E45740">
        <w:rPr>
          <w:rFonts w:ascii="Tahoma" w:hAnsi="Tahoma" w:cs="Tahoma"/>
          <w:b/>
          <w:sz w:val="24"/>
        </w:rPr>
        <w:t xml:space="preserve"> szt.</w:t>
      </w:r>
      <w:r w:rsidR="0070199A" w:rsidRPr="00E45740">
        <w:rPr>
          <w:rFonts w:ascii="Tahoma" w:hAnsi="Tahoma" w:cs="Tahoma"/>
          <w:b/>
          <w:sz w:val="24"/>
        </w:rPr>
        <w:t xml:space="preserve"> </w:t>
      </w:r>
    </w:p>
    <w:p w14:paraId="1EFE6F9A" w14:textId="0B749968" w:rsidR="00F02D79" w:rsidRPr="00E45740" w:rsidRDefault="00F02D79" w:rsidP="00F02D79">
      <w:pPr>
        <w:keepNext/>
        <w:keepLines/>
        <w:suppressAutoHyphens/>
        <w:autoSpaceDE w:val="0"/>
        <w:autoSpaceDN w:val="0"/>
        <w:adjustRightInd w:val="0"/>
        <w:spacing w:line="276" w:lineRule="auto"/>
        <w:ind w:right="-284"/>
        <w:jc w:val="both"/>
        <w:rPr>
          <w:rFonts w:ascii="Tahoma" w:hAnsi="Tahoma" w:cs="Tahoma"/>
          <w:b/>
          <w:sz w:val="24"/>
        </w:rPr>
      </w:pPr>
      <w:r w:rsidRPr="00E45740">
        <w:rPr>
          <w:rFonts w:ascii="Tahoma" w:hAnsi="Tahoma" w:cs="Tahoma"/>
          <w:bCs/>
          <w:sz w:val="24"/>
        </w:rPr>
        <w:t>wraz z</w:t>
      </w:r>
      <w:r w:rsidRPr="00E45740">
        <w:rPr>
          <w:rFonts w:ascii="Tahoma" w:hAnsi="Tahoma" w:cs="Tahoma"/>
          <w:b/>
          <w:sz w:val="24"/>
        </w:rPr>
        <w:t xml:space="preserve"> </w:t>
      </w:r>
      <w:r w:rsidR="0070199A" w:rsidRPr="00E45740">
        <w:rPr>
          <w:rFonts w:ascii="Tahoma" w:hAnsi="Tahoma" w:cs="Tahoma"/>
          <w:sz w:val="24"/>
        </w:rPr>
        <w:t>d</w:t>
      </w:r>
      <w:r w:rsidRPr="00E45740">
        <w:rPr>
          <w:rFonts w:ascii="Tahoma" w:hAnsi="Tahoma" w:cs="Tahoma"/>
          <w:sz w:val="24"/>
        </w:rPr>
        <w:t>edykowany zasilacz</w:t>
      </w:r>
      <w:r w:rsidR="0070199A" w:rsidRPr="00E45740">
        <w:rPr>
          <w:rFonts w:ascii="Tahoma" w:hAnsi="Tahoma" w:cs="Tahoma"/>
          <w:sz w:val="24"/>
        </w:rPr>
        <w:t>em</w:t>
      </w:r>
      <w:r w:rsidRPr="00E45740">
        <w:rPr>
          <w:rFonts w:ascii="Tahoma" w:hAnsi="Tahoma" w:cs="Tahoma"/>
          <w:sz w:val="24"/>
        </w:rPr>
        <w:t xml:space="preserve"> PoE kompatybilny</w:t>
      </w:r>
      <w:r w:rsidR="0070199A" w:rsidRPr="00E45740">
        <w:rPr>
          <w:rFonts w:ascii="Tahoma" w:hAnsi="Tahoma" w:cs="Tahoma"/>
          <w:sz w:val="24"/>
        </w:rPr>
        <w:t>m</w:t>
      </w:r>
      <w:r w:rsidRPr="00E45740">
        <w:rPr>
          <w:rFonts w:ascii="Tahoma" w:hAnsi="Tahoma" w:cs="Tahoma"/>
          <w:sz w:val="24"/>
        </w:rPr>
        <w:t xml:space="preserve"> z dostarczonym punktem dostępowym</w:t>
      </w:r>
    </w:p>
    <w:p w14:paraId="220C32A0" w14:textId="77777777" w:rsidR="00F02D79" w:rsidRPr="00E45740" w:rsidRDefault="00F02D79" w:rsidP="00F02D79">
      <w:pPr>
        <w:keepNext/>
        <w:keepLines/>
        <w:suppressAutoHyphens/>
        <w:autoSpaceDE w:val="0"/>
        <w:autoSpaceDN w:val="0"/>
        <w:adjustRightInd w:val="0"/>
        <w:spacing w:line="276" w:lineRule="auto"/>
        <w:ind w:left="360" w:right="-284"/>
        <w:jc w:val="both"/>
        <w:rPr>
          <w:rFonts w:ascii="Tahoma" w:hAnsi="Tahoma" w:cs="Tahoma"/>
          <w:b/>
          <w:sz w:val="24"/>
        </w:rPr>
      </w:pPr>
    </w:p>
    <w:p w14:paraId="48FEE922" w14:textId="175F4CDF" w:rsidR="00F02D79" w:rsidRPr="00E45740" w:rsidRDefault="00F02D79" w:rsidP="00F02D79">
      <w:pPr>
        <w:keepNext/>
        <w:keepLines/>
        <w:suppressAutoHyphens/>
        <w:autoSpaceDE w:val="0"/>
        <w:autoSpaceDN w:val="0"/>
        <w:adjustRightInd w:val="0"/>
        <w:spacing w:line="276" w:lineRule="auto"/>
        <w:ind w:left="360" w:right="-284"/>
        <w:jc w:val="both"/>
        <w:rPr>
          <w:rFonts w:ascii="Tahoma" w:hAnsi="Tahoma" w:cs="Tahoma"/>
          <w:bCs/>
          <w:sz w:val="24"/>
        </w:rPr>
      </w:pPr>
      <w:r w:rsidRPr="00E45740">
        <w:rPr>
          <w:rFonts w:ascii="Tahoma" w:hAnsi="Tahoma" w:cs="Tahoma"/>
          <w:sz w:val="24"/>
        </w:rPr>
        <w:t>W poniższej tabeli przedstawiono wymagania dla urządzenia:</w:t>
      </w:r>
      <w:r w:rsidR="0070199A" w:rsidRPr="00E45740">
        <w:rPr>
          <w:rFonts w:ascii="Tahoma" w:hAnsi="Tahoma" w:cs="Tahoma"/>
          <w:sz w:val="24"/>
        </w:rPr>
        <w:t xml:space="preserve"> </w:t>
      </w:r>
      <w:r w:rsidR="0070199A" w:rsidRPr="00E45740">
        <w:rPr>
          <w:rFonts w:ascii="Tahoma" w:hAnsi="Tahoma" w:cs="Tahoma"/>
          <w:bCs/>
          <w:sz w:val="24"/>
        </w:rPr>
        <w:t>Punkt dostępowy</w:t>
      </w:r>
    </w:p>
    <w:tbl>
      <w:tblPr>
        <w:tblStyle w:val="Tabela-Siatka"/>
        <w:tblW w:w="9127" w:type="dxa"/>
        <w:tblInd w:w="-5" w:type="dxa"/>
        <w:tblLook w:val="04A0" w:firstRow="1" w:lastRow="0" w:firstColumn="1" w:lastColumn="0" w:noHBand="0" w:noVBand="1"/>
      </w:tblPr>
      <w:tblGrid>
        <w:gridCol w:w="580"/>
        <w:gridCol w:w="2223"/>
        <w:gridCol w:w="6324"/>
      </w:tblGrid>
      <w:tr w:rsidR="00F02D79" w:rsidRPr="00E45740" w14:paraId="006905B8" w14:textId="77777777" w:rsidTr="00E45740">
        <w:trPr>
          <w:trHeight w:val="260"/>
        </w:trPr>
        <w:tc>
          <w:tcPr>
            <w:tcW w:w="486" w:type="dxa"/>
            <w:tcBorders>
              <w:top w:val="single" w:sz="4" w:space="0" w:color="000000"/>
              <w:left w:val="single" w:sz="4" w:space="0" w:color="000000"/>
              <w:bottom w:val="single" w:sz="4" w:space="0" w:color="000000"/>
              <w:right w:val="single" w:sz="4" w:space="0" w:color="000000"/>
            </w:tcBorders>
            <w:hideMark/>
          </w:tcPr>
          <w:p w14:paraId="7642A25A" w14:textId="77777777" w:rsidR="00F02D79" w:rsidRPr="00E45740" w:rsidRDefault="00F02D79">
            <w:pPr>
              <w:rPr>
                <w:rFonts w:ascii="Tahoma" w:hAnsi="Tahoma" w:cs="Tahoma"/>
                <w:b/>
                <w:sz w:val="24"/>
              </w:rPr>
            </w:pPr>
            <w:r w:rsidRPr="00E45740">
              <w:rPr>
                <w:rFonts w:ascii="Tahoma" w:hAnsi="Tahoma" w:cs="Tahoma"/>
                <w:b/>
                <w:sz w:val="24"/>
              </w:rPr>
              <w:t>Lp.</w:t>
            </w:r>
          </w:p>
        </w:tc>
        <w:tc>
          <w:tcPr>
            <w:tcW w:w="2268" w:type="dxa"/>
            <w:tcBorders>
              <w:top w:val="single" w:sz="4" w:space="0" w:color="000000"/>
              <w:left w:val="single" w:sz="4" w:space="0" w:color="000000"/>
              <w:bottom w:val="single" w:sz="4" w:space="0" w:color="000000"/>
              <w:right w:val="single" w:sz="4" w:space="0" w:color="000000"/>
            </w:tcBorders>
            <w:hideMark/>
          </w:tcPr>
          <w:p w14:paraId="755B5133" w14:textId="77777777" w:rsidR="00F02D79" w:rsidRPr="00E45740" w:rsidRDefault="00F02D79">
            <w:pPr>
              <w:rPr>
                <w:rFonts w:ascii="Tahoma" w:hAnsi="Tahoma" w:cs="Tahoma"/>
                <w:b/>
                <w:sz w:val="24"/>
              </w:rPr>
            </w:pPr>
            <w:r w:rsidRPr="00E45740">
              <w:rPr>
                <w:rFonts w:ascii="Tahoma" w:hAnsi="Tahoma" w:cs="Tahoma"/>
                <w:b/>
                <w:sz w:val="24"/>
              </w:rPr>
              <w:t>Kategoria</w:t>
            </w:r>
          </w:p>
        </w:tc>
        <w:tc>
          <w:tcPr>
            <w:tcW w:w="6373" w:type="dxa"/>
            <w:tcBorders>
              <w:top w:val="single" w:sz="4" w:space="0" w:color="000000"/>
              <w:left w:val="single" w:sz="4" w:space="0" w:color="000000"/>
              <w:bottom w:val="single" w:sz="4" w:space="0" w:color="000000"/>
              <w:right w:val="single" w:sz="4" w:space="0" w:color="000000"/>
            </w:tcBorders>
            <w:hideMark/>
          </w:tcPr>
          <w:p w14:paraId="4B471121" w14:textId="77777777" w:rsidR="00F02D79" w:rsidRPr="00E45740" w:rsidRDefault="00F02D79">
            <w:pPr>
              <w:jc w:val="both"/>
              <w:rPr>
                <w:rFonts w:ascii="Tahoma" w:hAnsi="Tahoma" w:cs="Tahoma"/>
                <w:b/>
                <w:sz w:val="24"/>
              </w:rPr>
            </w:pPr>
            <w:r w:rsidRPr="00E45740">
              <w:rPr>
                <w:rFonts w:ascii="Tahoma" w:hAnsi="Tahoma" w:cs="Tahoma"/>
                <w:b/>
                <w:sz w:val="24"/>
              </w:rPr>
              <w:t>Minimalne wymagania</w:t>
            </w:r>
          </w:p>
        </w:tc>
      </w:tr>
      <w:tr w:rsidR="00F02D79" w:rsidRPr="00E45740" w14:paraId="0CDD5A6B" w14:textId="77777777" w:rsidTr="00E45740">
        <w:tc>
          <w:tcPr>
            <w:tcW w:w="486" w:type="dxa"/>
            <w:tcBorders>
              <w:top w:val="single" w:sz="4" w:space="0" w:color="000000"/>
              <w:left w:val="single" w:sz="4" w:space="0" w:color="000000"/>
              <w:bottom w:val="single" w:sz="4" w:space="0" w:color="000000"/>
              <w:right w:val="single" w:sz="4" w:space="0" w:color="000000"/>
            </w:tcBorders>
          </w:tcPr>
          <w:p w14:paraId="580D1871"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14:paraId="096F9487"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Ogólna</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18A1A901"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Urządzenie musi być tzw. cienkim punktem dostępowym zarządzanym z poziomu kontrolera sieci bezprzewodowej.</w:t>
            </w:r>
          </w:p>
        </w:tc>
      </w:tr>
      <w:tr w:rsidR="00F02D79" w:rsidRPr="00E45740" w14:paraId="1AD2B505" w14:textId="77777777" w:rsidTr="00E45740">
        <w:tc>
          <w:tcPr>
            <w:tcW w:w="486" w:type="dxa"/>
            <w:tcBorders>
              <w:top w:val="single" w:sz="4" w:space="0" w:color="000000"/>
              <w:left w:val="single" w:sz="4" w:space="0" w:color="000000"/>
              <w:bottom w:val="single" w:sz="4" w:space="0" w:color="000000"/>
              <w:right w:val="single" w:sz="4" w:space="0" w:color="000000"/>
            </w:tcBorders>
          </w:tcPr>
          <w:p w14:paraId="22E26030"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190D672"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Obudowa</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C7FB86C"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Musi umożliwiać montaż na suficie lub ścianie wewnątrz budynku,  Urządzenie musi być dostarczone z elementami mocującymi. Obudowa musi być fabrycznie przystosowana do zastosowania linki zabezpieczającej przed kradzieżą i być wyposażone w złącze typu Kensington.</w:t>
            </w:r>
          </w:p>
        </w:tc>
      </w:tr>
      <w:tr w:rsidR="00F02D79" w:rsidRPr="00E45740" w14:paraId="197E073E" w14:textId="77777777" w:rsidTr="00E45740">
        <w:tc>
          <w:tcPr>
            <w:tcW w:w="486" w:type="dxa"/>
            <w:tcBorders>
              <w:top w:val="single" w:sz="4" w:space="0" w:color="000000"/>
              <w:left w:val="single" w:sz="4" w:space="0" w:color="000000"/>
              <w:bottom w:val="single" w:sz="4" w:space="0" w:color="000000"/>
              <w:right w:val="single" w:sz="4" w:space="0" w:color="000000"/>
            </w:tcBorders>
          </w:tcPr>
          <w:p w14:paraId="2077339F"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14:paraId="18041416"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Temp. pracy</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F8341BE"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0-45°C,</w:t>
            </w:r>
          </w:p>
        </w:tc>
      </w:tr>
      <w:tr w:rsidR="00F02D79" w:rsidRPr="00E45740" w14:paraId="5519D874" w14:textId="77777777" w:rsidTr="00E45740">
        <w:tc>
          <w:tcPr>
            <w:tcW w:w="486" w:type="dxa"/>
            <w:vMerge w:val="restart"/>
            <w:tcBorders>
              <w:top w:val="single" w:sz="4" w:space="0" w:color="000000"/>
              <w:left w:val="single" w:sz="4" w:space="0" w:color="000000"/>
              <w:bottom w:val="single" w:sz="4" w:space="0" w:color="000000"/>
              <w:right w:val="single" w:sz="4" w:space="0" w:color="000000"/>
            </w:tcBorders>
          </w:tcPr>
          <w:p w14:paraId="12E89AAF"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0082F828"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Moduły radiowe</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3B76BC12"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Urządzenie musi być wyposażone w trzy niezależne moduły radiowe pracujące w podanych poniżej pasmach i obsługiwać następujące standardy:</w:t>
            </w:r>
          </w:p>
        </w:tc>
      </w:tr>
      <w:tr w:rsidR="00F02D79" w:rsidRPr="00E45740" w14:paraId="5459C348"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91BE3E"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3C4424"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00ED6F9"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a.       2.4 GHz 802.11b/g/n</w:t>
            </w:r>
          </w:p>
        </w:tc>
      </w:tr>
      <w:tr w:rsidR="00F02D79" w:rsidRPr="00A10DCE" w14:paraId="71F9D51C"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A588AC"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8DDD6"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7EE35326"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lang w:val="en-US"/>
              </w:rPr>
            </w:pPr>
            <w:r w:rsidRPr="00E45740">
              <w:rPr>
                <w:rFonts w:ascii="Tahoma" w:hAnsi="Tahoma" w:cs="Tahoma"/>
                <w:color w:val="000000"/>
                <w:sz w:val="24"/>
                <w:lang w:val="en-US"/>
              </w:rPr>
              <w:t xml:space="preserve">b.       5GHz 802.11a/n/ac/ax </w:t>
            </w:r>
          </w:p>
        </w:tc>
      </w:tr>
      <w:tr w:rsidR="00F02D79" w:rsidRPr="00E45740" w14:paraId="1DC5423D"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717A33" w14:textId="77777777" w:rsidR="00F02D79" w:rsidRPr="00E45740" w:rsidRDefault="00F02D79">
            <w:pPr>
              <w:rPr>
                <w:rFonts w:ascii="Tahoma" w:hAnsi="Tahoma" w:cs="Tahoma"/>
                <w:sz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9C713" w14:textId="77777777" w:rsidR="00F02D79" w:rsidRPr="00E45740" w:rsidRDefault="00F02D79">
            <w:pPr>
              <w:rPr>
                <w:rFonts w:ascii="Tahoma" w:hAnsi="Tahoma" w:cs="Tahoma"/>
                <w:sz w:val="24"/>
                <w:lang w:val="en-US"/>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790707DB"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c.       2.4/5GHz dedykowany skaner spectrum.</w:t>
            </w:r>
          </w:p>
        </w:tc>
      </w:tr>
      <w:tr w:rsidR="00F02D79" w:rsidRPr="00E45740" w14:paraId="7189FE8C"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8AE45E"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67CB8D"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12F8E586"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Urządzenie musi być wyposażone w moduł radiowy Bluetooth/BLE.</w:t>
            </w:r>
          </w:p>
        </w:tc>
      </w:tr>
      <w:tr w:rsidR="00F02D79" w:rsidRPr="00E45740" w14:paraId="080136B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F73BE4"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C17D90"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1FAA7BA"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Urządzenie musi pozwalać na jednoczesne rozgłaszanie co najmniej 10 SSID.</w:t>
            </w:r>
          </w:p>
        </w:tc>
      </w:tr>
      <w:tr w:rsidR="00F02D79" w:rsidRPr="00E45740" w14:paraId="37E4E37A" w14:textId="77777777" w:rsidTr="00E45740">
        <w:tc>
          <w:tcPr>
            <w:tcW w:w="486" w:type="dxa"/>
            <w:vMerge w:val="restart"/>
            <w:tcBorders>
              <w:top w:val="single" w:sz="4" w:space="0" w:color="000000"/>
              <w:left w:val="single" w:sz="4" w:space="0" w:color="000000"/>
              <w:bottom w:val="single" w:sz="4" w:space="0" w:color="000000"/>
              <w:right w:val="single" w:sz="4" w:space="0" w:color="000000"/>
            </w:tcBorders>
          </w:tcPr>
          <w:p w14:paraId="319C70B5"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99CAE01"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Interfejsy</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ACC3A49"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Liczba interfejsów:</w:t>
            </w:r>
          </w:p>
        </w:tc>
      </w:tr>
      <w:tr w:rsidR="00F02D79" w:rsidRPr="00E45740" w14:paraId="2C9DC64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F79AF5"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008876"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3F800071"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a.       2x Ethernet – w standardzie 10/100/1000/ Base-TX</w:t>
            </w:r>
          </w:p>
        </w:tc>
      </w:tr>
      <w:tr w:rsidR="00F02D79" w:rsidRPr="00E45740" w14:paraId="0F7B9AED"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CC0907"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8321B8"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4AB150F5"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b.       Port szeregowy RS-232 RJ-45, (dopuszcza się połączenie Bluetooth)</w:t>
            </w:r>
          </w:p>
        </w:tc>
      </w:tr>
      <w:tr w:rsidR="00F02D79" w:rsidRPr="00E45740" w14:paraId="3D5710F7" w14:textId="77777777" w:rsidTr="00E45740">
        <w:tc>
          <w:tcPr>
            <w:tcW w:w="486" w:type="dxa"/>
            <w:tcBorders>
              <w:top w:val="single" w:sz="4" w:space="0" w:color="000000"/>
              <w:left w:val="single" w:sz="4" w:space="0" w:color="000000"/>
              <w:bottom w:val="single" w:sz="4" w:space="0" w:color="000000"/>
              <w:right w:val="single" w:sz="4" w:space="0" w:color="000000"/>
            </w:tcBorders>
          </w:tcPr>
          <w:p w14:paraId="13F33A5C"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14:paraId="7512A11A"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Zasilanie</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6BB5FCC"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Urządzenie powinno być zasilane poprzez interfejs ETH w standardzie 802.3at lub zewnętrzny zasilacz.</w:t>
            </w:r>
          </w:p>
        </w:tc>
      </w:tr>
      <w:tr w:rsidR="00F02D79" w:rsidRPr="00E45740" w14:paraId="0F8F199D" w14:textId="77777777" w:rsidTr="00E45740">
        <w:tc>
          <w:tcPr>
            <w:tcW w:w="486" w:type="dxa"/>
            <w:vMerge w:val="restart"/>
            <w:tcBorders>
              <w:top w:val="single" w:sz="4" w:space="0" w:color="000000"/>
              <w:left w:val="single" w:sz="4" w:space="0" w:color="000000"/>
              <w:bottom w:val="single" w:sz="4" w:space="0" w:color="000000"/>
              <w:right w:val="single" w:sz="4" w:space="0" w:color="000000"/>
            </w:tcBorders>
          </w:tcPr>
          <w:p w14:paraId="5032B73C"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44AC5B07"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Tryby pracy</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232CFA67"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bookmarkStart w:id="0" w:name="RANGE!C16"/>
            <w:r w:rsidRPr="00E45740">
              <w:rPr>
                <w:rFonts w:ascii="Tahoma" w:hAnsi="Tahoma" w:cs="Tahoma"/>
                <w:color w:val="000000"/>
                <w:sz w:val="24"/>
              </w:rPr>
              <w:t>Punkt dostępowy musi umożliwiać następujące tryby przesyłania danych:</w:t>
            </w:r>
            <w:bookmarkEnd w:id="0"/>
          </w:p>
        </w:tc>
      </w:tr>
      <w:tr w:rsidR="00F02D79" w:rsidRPr="00E45740" w14:paraId="0F917B56"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D6477D"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819419"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381B6F81"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231F20"/>
                <w:sz w:val="24"/>
              </w:rPr>
              <w:t xml:space="preserve">a.       </w:t>
            </w:r>
            <w:r w:rsidRPr="00E45740">
              <w:rPr>
                <w:rFonts w:ascii="Tahoma" w:hAnsi="Tahoma" w:cs="Tahoma"/>
                <w:color w:val="000000"/>
                <w:sz w:val="24"/>
              </w:rPr>
              <w:t>Tunnel,</w:t>
            </w:r>
          </w:p>
        </w:tc>
      </w:tr>
      <w:tr w:rsidR="00F02D79" w:rsidRPr="00E45740" w14:paraId="1E671C4A"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35530E"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01E7F"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105EC2E2"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231F20"/>
                <w:sz w:val="24"/>
              </w:rPr>
              <w:t xml:space="preserve">b.       </w:t>
            </w:r>
            <w:r w:rsidRPr="00E45740">
              <w:rPr>
                <w:rFonts w:ascii="Tahoma" w:hAnsi="Tahoma" w:cs="Tahoma"/>
                <w:color w:val="000000"/>
                <w:sz w:val="24"/>
              </w:rPr>
              <w:t>Bridge,</w:t>
            </w:r>
          </w:p>
        </w:tc>
      </w:tr>
      <w:tr w:rsidR="00F02D79" w:rsidRPr="00E45740" w14:paraId="4AB8E9D0"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B50198"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0B25B1"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49B1F2B5"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231F20"/>
                <w:sz w:val="24"/>
              </w:rPr>
              <w:t xml:space="preserve">c.       </w:t>
            </w:r>
            <w:r w:rsidRPr="00E45740">
              <w:rPr>
                <w:rFonts w:ascii="Tahoma" w:hAnsi="Tahoma" w:cs="Tahoma"/>
                <w:color w:val="000000"/>
                <w:sz w:val="24"/>
              </w:rPr>
              <w:t>Mesh.</w:t>
            </w:r>
          </w:p>
        </w:tc>
      </w:tr>
      <w:tr w:rsidR="00F02D79" w:rsidRPr="00E45740" w14:paraId="29FE196B" w14:textId="77777777" w:rsidTr="00E45740">
        <w:tc>
          <w:tcPr>
            <w:tcW w:w="486" w:type="dxa"/>
            <w:tcBorders>
              <w:top w:val="single" w:sz="4" w:space="0" w:color="000000"/>
              <w:left w:val="single" w:sz="4" w:space="0" w:color="000000"/>
              <w:bottom w:val="single" w:sz="4" w:space="0" w:color="000000"/>
              <w:right w:val="single" w:sz="4" w:space="0" w:color="000000"/>
            </w:tcBorders>
          </w:tcPr>
          <w:p w14:paraId="32EEA528"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842CC25"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Metody uwierzytelniania</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59E6E67"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bookmarkStart w:id="1" w:name="RANGE!C20"/>
            <w:r w:rsidRPr="00E45740">
              <w:rPr>
                <w:rFonts w:ascii="Tahoma" w:hAnsi="Tahoma" w:cs="Tahoma"/>
                <w:color w:val="000000"/>
                <w:sz w:val="24"/>
              </w:rPr>
              <w:t>Wsparcie dla poniższych metod uwierzytelnienia: WEP, WPA-PSK, WPA-TKIP, WPA2-AES, WPA3, Web Captive Portal, MAC blacklist &amp; whitelist, 802.11i, 802.1X (EAP-TLS, EAP-TTLS/MSCHAPv2, PEAP, EAP-FAST, EAP-SIM, EAP-AKA).</w:t>
            </w:r>
            <w:bookmarkEnd w:id="1"/>
          </w:p>
        </w:tc>
      </w:tr>
      <w:tr w:rsidR="00F02D79" w:rsidRPr="00E45740" w14:paraId="5A50A850" w14:textId="77777777" w:rsidTr="00E45740">
        <w:tc>
          <w:tcPr>
            <w:tcW w:w="486" w:type="dxa"/>
            <w:vMerge w:val="restart"/>
            <w:tcBorders>
              <w:top w:val="single" w:sz="4" w:space="0" w:color="000000"/>
              <w:left w:val="single" w:sz="4" w:space="0" w:color="000000"/>
              <w:bottom w:val="single" w:sz="4" w:space="0" w:color="000000"/>
              <w:right w:val="single" w:sz="4" w:space="0" w:color="000000"/>
            </w:tcBorders>
          </w:tcPr>
          <w:p w14:paraId="1421F9F6"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767F0EE8" w14:textId="44407AB1" w:rsidR="00F02D79" w:rsidRPr="00E45740" w:rsidRDefault="00646659">
            <w:pPr>
              <w:keepNext/>
              <w:keepLines/>
              <w:suppressAutoHyphens/>
              <w:autoSpaceDE w:val="0"/>
              <w:autoSpaceDN w:val="0"/>
              <w:adjustRightInd w:val="0"/>
              <w:spacing w:line="276" w:lineRule="auto"/>
              <w:rPr>
                <w:rFonts w:ascii="Tahoma" w:hAnsi="Tahoma" w:cs="Tahoma"/>
                <w:sz w:val="24"/>
              </w:rPr>
            </w:pPr>
            <w:r w:rsidRPr="00E45740">
              <w:rPr>
                <w:rFonts w:ascii="Tahoma" w:hAnsi="Tahoma" w:cs="Tahoma"/>
                <w:color w:val="000000"/>
                <w:sz w:val="24"/>
              </w:rPr>
              <w:t>Funkcje</w:t>
            </w:r>
            <w:r w:rsidR="00F02D79" w:rsidRPr="00E45740">
              <w:rPr>
                <w:rFonts w:ascii="Tahoma" w:hAnsi="Tahoma" w:cs="Tahoma"/>
                <w:color w:val="000000"/>
                <w:sz w:val="24"/>
              </w:rPr>
              <w:t xml:space="preserve"> interfejsu radiowego</w:t>
            </w: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36BD17F"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Interfejs radiowy urządzenia powinien wspierać następujące funkcje:</w:t>
            </w:r>
          </w:p>
        </w:tc>
      </w:tr>
      <w:tr w:rsidR="00F02D79" w:rsidRPr="00E45740" w14:paraId="4FA1C466"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55E139"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AE3194"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5B0EDDA"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a.       MIMO – 2x2</w:t>
            </w:r>
          </w:p>
        </w:tc>
      </w:tr>
      <w:tr w:rsidR="00F02D79" w:rsidRPr="00E45740" w14:paraId="092AAFFA"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F84EBB"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F10EF6"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DD7C197"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b.       Maksymalna przepustowość dla poszczególnych modułów radiowych:</w:t>
            </w:r>
          </w:p>
        </w:tc>
      </w:tr>
      <w:tr w:rsidR="00F02D79" w:rsidRPr="00E45740" w14:paraId="253FA8C7"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ADAF82"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32F614"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45172DAA" w14:textId="77777777" w:rsidR="00F02D79" w:rsidRPr="00E45740" w:rsidRDefault="00F02D79">
            <w:pPr>
              <w:keepNext/>
              <w:keepLines/>
              <w:suppressAutoHyphens/>
              <w:autoSpaceDE w:val="0"/>
              <w:autoSpaceDN w:val="0"/>
              <w:adjustRightInd w:val="0"/>
              <w:spacing w:line="276" w:lineRule="auto"/>
              <w:jc w:val="both"/>
              <w:rPr>
                <w:rFonts w:ascii="Tahoma" w:hAnsi="Tahoma" w:cs="Tahoma"/>
                <w:sz w:val="24"/>
              </w:rPr>
            </w:pPr>
            <w:r w:rsidRPr="00E45740">
              <w:rPr>
                <w:rFonts w:ascii="Tahoma" w:hAnsi="Tahoma" w:cs="Tahoma"/>
                <w:color w:val="000000"/>
                <w:sz w:val="24"/>
              </w:rPr>
              <w:t>                                                               i.      500 Mbps; dla radia 2.4 Ghz</w:t>
            </w:r>
          </w:p>
        </w:tc>
      </w:tr>
      <w:tr w:rsidR="00F02D79" w:rsidRPr="00E45740" w14:paraId="0D56DECB"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3AA1DA"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5FED94"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152A2840"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                                                             ii.      1000 Mbps; dla radia 5 Ghz</w:t>
            </w:r>
          </w:p>
        </w:tc>
      </w:tr>
      <w:tr w:rsidR="00F02D79" w:rsidRPr="00E45740" w14:paraId="4266A0F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ADC66B"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A1EB50"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67CD19E0"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c.       Wymagana moc nadawania:</w:t>
            </w:r>
          </w:p>
        </w:tc>
      </w:tr>
      <w:tr w:rsidR="00F02D79" w:rsidRPr="00E45740" w14:paraId="2E8E8098"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39B722"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339548"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18F29D70"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                                                               i.      min. 23 dBm dla pasma 2.4GHz z możliwością zmiany co 1dBm;</w:t>
            </w:r>
          </w:p>
        </w:tc>
      </w:tr>
      <w:tr w:rsidR="00F02D79" w:rsidRPr="00E45740" w14:paraId="102F9A7C"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E815D2"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99E186"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76D890E"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                                                             ii.      min. 22 dBm dla pasma 5GHz z możliwością zmiany co 1dBm;</w:t>
            </w:r>
          </w:p>
        </w:tc>
      </w:tr>
      <w:tr w:rsidR="00F02D79" w:rsidRPr="00E45740" w14:paraId="43C1495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462F19"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899C13"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323559C3"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d.       Wsparcie dla 802.11n 20/40Mhz HT,</w:t>
            </w:r>
          </w:p>
        </w:tc>
      </w:tr>
      <w:tr w:rsidR="00F02D79" w:rsidRPr="00E45740" w14:paraId="623C3D4F"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272442"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A6E4C6"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26A34FE1"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e.        Wsparcie dla kanału 80 MHz</w:t>
            </w:r>
          </w:p>
        </w:tc>
      </w:tr>
      <w:tr w:rsidR="00F02D79" w:rsidRPr="00E45740" w14:paraId="4CAE3CBC"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8DFFC"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8589AF"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CFFCED3"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f.       Anteny – wbudowane dla nadajników standardu 802.11 o zysku min. 4dBi dla pasma 2.4GHz, 5dBi dla pasma 5GHz.</w:t>
            </w:r>
          </w:p>
        </w:tc>
      </w:tr>
      <w:tr w:rsidR="00F02D79" w:rsidRPr="00E45740" w14:paraId="180FB31E"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CC818"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752BB8"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0F1AF402"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r w:rsidRPr="00E45740">
              <w:rPr>
                <w:rFonts w:ascii="Tahoma" w:hAnsi="Tahoma" w:cs="Tahoma"/>
                <w:color w:val="000000"/>
                <w:sz w:val="24"/>
              </w:rPr>
              <w:t>g.       Nieużywany moduł radiowy może zostać wyłączony programowo w celu obniżenia poboru mocy,</w:t>
            </w:r>
          </w:p>
        </w:tc>
      </w:tr>
      <w:tr w:rsidR="00F02D79" w:rsidRPr="00E45740" w14:paraId="37B1B39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5736D4"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DF2DF3"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vAlign w:val="center"/>
            <w:hideMark/>
          </w:tcPr>
          <w:p w14:paraId="5DF268F7" w14:textId="77777777" w:rsidR="00F02D79" w:rsidRPr="00E45740" w:rsidRDefault="00F02D79">
            <w:pPr>
              <w:keepNext/>
              <w:keepLines/>
              <w:suppressAutoHyphens/>
              <w:autoSpaceDE w:val="0"/>
              <w:autoSpaceDN w:val="0"/>
              <w:adjustRightInd w:val="0"/>
              <w:spacing w:line="276" w:lineRule="auto"/>
              <w:jc w:val="both"/>
              <w:rPr>
                <w:rFonts w:ascii="Tahoma" w:hAnsi="Tahoma" w:cs="Tahoma"/>
                <w:color w:val="000000"/>
                <w:sz w:val="24"/>
              </w:rPr>
            </w:pPr>
            <w:bookmarkStart w:id="2" w:name="RANGE!C34"/>
            <w:r w:rsidRPr="00E45740">
              <w:rPr>
                <w:rFonts w:ascii="Tahoma" w:hAnsi="Tahoma" w:cs="Tahoma"/>
                <w:color w:val="000000"/>
                <w:sz w:val="24"/>
              </w:rPr>
              <w:t>h.         Min. liczba klientów per moduł radiowy – 500.</w:t>
            </w:r>
            <w:bookmarkEnd w:id="2"/>
          </w:p>
        </w:tc>
      </w:tr>
      <w:tr w:rsidR="00F02D79" w:rsidRPr="00E45740" w14:paraId="14B78AE6" w14:textId="77777777" w:rsidTr="00E45740">
        <w:tc>
          <w:tcPr>
            <w:tcW w:w="486" w:type="dxa"/>
            <w:vMerge w:val="restart"/>
            <w:tcBorders>
              <w:top w:val="single" w:sz="4" w:space="0" w:color="000000"/>
              <w:left w:val="single" w:sz="4" w:space="0" w:color="000000"/>
              <w:bottom w:val="single" w:sz="4" w:space="0" w:color="000000"/>
              <w:right w:val="single" w:sz="4" w:space="0" w:color="000000"/>
            </w:tcBorders>
          </w:tcPr>
          <w:p w14:paraId="37432B87" w14:textId="77777777" w:rsidR="00F02D79" w:rsidRPr="00E45740" w:rsidRDefault="00F02D79" w:rsidP="00F02D79">
            <w:pPr>
              <w:pStyle w:val="Akapitzlist"/>
              <w:keepNext/>
              <w:keepLines/>
              <w:numPr>
                <w:ilvl w:val="0"/>
                <w:numId w:val="4"/>
              </w:numPr>
              <w:suppressAutoHyphens/>
              <w:autoSpaceDE w:val="0"/>
              <w:autoSpaceDN w:val="0"/>
              <w:adjustRightInd w:val="0"/>
              <w:spacing w:line="276" w:lineRule="auto"/>
              <w:ind w:left="378" w:right="-284"/>
              <w:rPr>
                <w:rFonts w:ascii="Tahoma" w:hAnsi="Tahoma" w:cs="Tahoma"/>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26E9B010" w14:textId="77777777" w:rsidR="00F02D79" w:rsidRPr="00E45740" w:rsidRDefault="00F02D79">
            <w:pPr>
              <w:keepNext/>
              <w:keepLines/>
              <w:suppressAutoHyphens/>
              <w:autoSpaceDE w:val="0"/>
              <w:autoSpaceDN w:val="0"/>
              <w:adjustRightInd w:val="0"/>
              <w:spacing w:line="276" w:lineRule="auto"/>
              <w:ind w:right="-284"/>
              <w:rPr>
                <w:rFonts w:ascii="Tahoma" w:hAnsi="Tahoma" w:cs="Tahoma"/>
                <w:sz w:val="24"/>
              </w:rPr>
            </w:pPr>
            <w:r w:rsidRPr="00E45740">
              <w:rPr>
                <w:rFonts w:ascii="Tahoma" w:hAnsi="Tahoma" w:cs="Tahoma"/>
                <w:color w:val="000000"/>
                <w:sz w:val="24"/>
              </w:rPr>
              <w:t>Funkcje dodatkowe</w:t>
            </w:r>
          </w:p>
        </w:tc>
        <w:tc>
          <w:tcPr>
            <w:tcW w:w="6373" w:type="dxa"/>
            <w:tcBorders>
              <w:top w:val="single" w:sz="4" w:space="0" w:color="000000"/>
              <w:left w:val="single" w:sz="4" w:space="0" w:color="000000"/>
              <w:bottom w:val="single" w:sz="4" w:space="0" w:color="000000"/>
              <w:right w:val="single" w:sz="4" w:space="0" w:color="000000"/>
            </w:tcBorders>
            <w:hideMark/>
          </w:tcPr>
          <w:p w14:paraId="6E141D5E"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OFDMA UL i DL</w:t>
            </w:r>
          </w:p>
        </w:tc>
      </w:tr>
      <w:tr w:rsidR="00F02D79" w:rsidRPr="00E45740" w14:paraId="68AD91D8"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854D2"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BAF021"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199AF4C9"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Spatial Reuse (BSS Coloring)</w:t>
            </w:r>
          </w:p>
        </w:tc>
      </w:tr>
      <w:tr w:rsidR="00F02D79" w:rsidRPr="00E45740" w14:paraId="4B523711"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0E89A"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A853AF"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389F1E17"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UL-MU-MIMO 802.11ax</w:t>
            </w:r>
          </w:p>
        </w:tc>
      </w:tr>
      <w:tr w:rsidR="00F02D79" w:rsidRPr="00E45740" w14:paraId="6EB81680"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17516E"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9BC307"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1395A3C2"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DL-MU-MIMO</w:t>
            </w:r>
          </w:p>
        </w:tc>
      </w:tr>
      <w:tr w:rsidR="00F02D79" w:rsidRPr="00A10DCE" w14:paraId="465548C5"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42237"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E1593D"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0F298162"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lang w:val="en-US"/>
              </w:rPr>
            </w:pPr>
            <w:r w:rsidRPr="00E45740">
              <w:rPr>
                <w:rFonts w:ascii="Tahoma" w:hAnsi="Tahoma" w:cs="Tahoma"/>
                <w:color w:val="000000"/>
                <w:sz w:val="24"/>
                <w:szCs w:val="24"/>
                <w:lang w:val="en-US"/>
              </w:rPr>
              <w:t>Enhanced Target Wake Time (TWT)</w:t>
            </w:r>
          </w:p>
        </w:tc>
      </w:tr>
      <w:tr w:rsidR="00F02D79" w:rsidRPr="00E45740" w14:paraId="461741D4"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D581EF" w14:textId="77777777" w:rsidR="00F02D79" w:rsidRPr="00E45740" w:rsidRDefault="00F02D79">
            <w:pPr>
              <w:rPr>
                <w:rFonts w:ascii="Tahoma" w:hAnsi="Tahoma" w:cs="Tahoma"/>
                <w:sz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E69BE5" w14:textId="77777777" w:rsidR="00F02D79" w:rsidRPr="00E45740" w:rsidRDefault="00F02D79">
            <w:pPr>
              <w:rPr>
                <w:rFonts w:ascii="Tahoma" w:hAnsi="Tahoma" w:cs="Tahoma"/>
                <w:sz w:val="24"/>
                <w:lang w:val="en-US"/>
              </w:rPr>
            </w:pPr>
          </w:p>
        </w:tc>
        <w:tc>
          <w:tcPr>
            <w:tcW w:w="6373" w:type="dxa"/>
            <w:tcBorders>
              <w:top w:val="single" w:sz="4" w:space="0" w:color="000000"/>
              <w:left w:val="single" w:sz="4" w:space="0" w:color="000000"/>
              <w:bottom w:val="single" w:sz="4" w:space="0" w:color="000000"/>
              <w:right w:val="single" w:sz="4" w:space="0" w:color="000000"/>
            </w:tcBorders>
            <w:hideMark/>
          </w:tcPr>
          <w:p w14:paraId="0EF77384"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OFDMA UL i DL</w:t>
            </w:r>
          </w:p>
        </w:tc>
      </w:tr>
      <w:tr w:rsidR="00F02D79" w:rsidRPr="00E45740" w14:paraId="54C5118D"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4548AC"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019C1D"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2ECEF621"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Spatial Reuse (BSS Coloring)</w:t>
            </w:r>
          </w:p>
        </w:tc>
      </w:tr>
      <w:tr w:rsidR="00F02D79" w:rsidRPr="00E45740" w14:paraId="4A0F2D39"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3F2597"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91E3C1"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43DB2B0B"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UL-MU-MIMO 802.11ax</w:t>
            </w:r>
          </w:p>
        </w:tc>
      </w:tr>
      <w:tr w:rsidR="00F02D79" w:rsidRPr="00E45740" w14:paraId="7A761C41"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6B095"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F12BE9"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042E2CB7"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rPr>
            </w:pPr>
            <w:r w:rsidRPr="00E45740">
              <w:rPr>
                <w:rFonts w:ascii="Tahoma" w:hAnsi="Tahoma" w:cs="Tahoma"/>
                <w:color w:val="000000"/>
                <w:sz w:val="24"/>
                <w:szCs w:val="24"/>
              </w:rPr>
              <w:t>DL-MU-MIMO</w:t>
            </w:r>
          </w:p>
        </w:tc>
      </w:tr>
      <w:tr w:rsidR="00F02D79" w:rsidRPr="00A10DCE" w14:paraId="0830E5FA" w14:textId="77777777" w:rsidTr="00E4574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26D729" w14:textId="77777777" w:rsidR="00F02D79" w:rsidRPr="00E45740" w:rsidRDefault="00F02D79">
            <w:pPr>
              <w:rPr>
                <w:rFonts w:ascii="Tahoma" w:hAnsi="Tahoma" w:cs="Tahom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1908F4" w14:textId="77777777" w:rsidR="00F02D79" w:rsidRPr="00E45740" w:rsidRDefault="00F02D79">
            <w:pPr>
              <w:rPr>
                <w:rFonts w:ascii="Tahoma" w:hAnsi="Tahoma" w:cs="Tahoma"/>
                <w:sz w:val="24"/>
              </w:rPr>
            </w:pPr>
          </w:p>
        </w:tc>
        <w:tc>
          <w:tcPr>
            <w:tcW w:w="6373" w:type="dxa"/>
            <w:tcBorders>
              <w:top w:val="single" w:sz="4" w:space="0" w:color="000000"/>
              <w:left w:val="single" w:sz="4" w:space="0" w:color="000000"/>
              <w:bottom w:val="single" w:sz="4" w:space="0" w:color="000000"/>
              <w:right w:val="single" w:sz="4" w:space="0" w:color="000000"/>
            </w:tcBorders>
            <w:hideMark/>
          </w:tcPr>
          <w:p w14:paraId="14792FF1" w14:textId="77777777" w:rsidR="00F02D79" w:rsidRPr="00E45740" w:rsidRDefault="00F02D79" w:rsidP="00F02D79">
            <w:pPr>
              <w:pStyle w:val="Akapitzlist"/>
              <w:keepNext/>
              <w:keepLines/>
              <w:numPr>
                <w:ilvl w:val="0"/>
                <w:numId w:val="5"/>
              </w:numPr>
              <w:suppressAutoHyphens/>
              <w:autoSpaceDE w:val="0"/>
              <w:autoSpaceDN w:val="0"/>
              <w:adjustRightInd w:val="0"/>
              <w:spacing w:line="276" w:lineRule="auto"/>
              <w:jc w:val="both"/>
              <w:rPr>
                <w:rFonts w:ascii="Tahoma" w:hAnsi="Tahoma" w:cs="Tahoma"/>
                <w:color w:val="000000"/>
                <w:sz w:val="24"/>
                <w:szCs w:val="24"/>
                <w:lang w:val="en-US"/>
              </w:rPr>
            </w:pPr>
            <w:r w:rsidRPr="00E45740">
              <w:rPr>
                <w:rFonts w:ascii="Tahoma" w:hAnsi="Tahoma" w:cs="Tahoma"/>
                <w:color w:val="000000"/>
                <w:sz w:val="24"/>
                <w:szCs w:val="24"/>
                <w:lang w:val="en-US"/>
              </w:rPr>
              <w:t>Enhanced Target Wake Time (TWT)</w:t>
            </w:r>
          </w:p>
        </w:tc>
      </w:tr>
      <w:tr w:rsidR="00161293" w:rsidRPr="00161293" w14:paraId="7E3567CD" w14:textId="77777777" w:rsidTr="00E45740">
        <w:tc>
          <w:tcPr>
            <w:tcW w:w="0" w:type="auto"/>
            <w:tcBorders>
              <w:top w:val="single" w:sz="4" w:space="0" w:color="000000"/>
              <w:left w:val="single" w:sz="4" w:space="0" w:color="000000"/>
              <w:bottom w:val="single" w:sz="4" w:space="0" w:color="000000"/>
              <w:right w:val="single" w:sz="4" w:space="0" w:color="000000"/>
            </w:tcBorders>
            <w:vAlign w:val="center"/>
          </w:tcPr>
          <w:p w14:paraId="15BF5257" w14:textId="77777777" w:rsidR="00161293" w:rsidRPr="000775DC" w:rsidRDefault="00161293">
            <w:pPr>
              <w:rPr>
                <w:rFonts w:ascii="Tahoma" w:hAnsi="Tahoma" w:cs="Tahoma"/>
                <w:sz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C6905F" w14:textId="36E36C9F" w:rsidR="00161293" w:rsidRPr="00E45740" w:rsidRDefault="00161293">
            <w:pPr>
              <w:rPr>
                <w:rFonts w:ascii="Tahoma" w:hAnsi="Tahoma" w:cs="Tahoma"/>
                <w:sz w:val="24"/>
              </w:rPr>
            </w:pPr>
            <w:r>
              <w:rPr>
                <w:rFonts w:ascii="Tahoma" w:hAnsi="Tahoma" w:cs="Tahoma"/>
                <w:sz w:val="24"/>
              </w:rPr>
              <w:t>Gwarancja</w:t>
            </w:r>
          </w:p>
        </w:tc>
        <w:tc>
          <w:tcPr>
            <w:tcW w:w="6373" w:type="dxa"/>
            <w:tcBorders>
              <w:top w:val="single" w:sz="4" w:space="0" w:color="000000"/>
              <w:left w:val="single" w:sz="4" w:space="0" w:color="000000"/>
              <w:bottom w:val="single" w:sz="4" w:space="0" w:color="000000"/>
              <w:right w:val="single" w:sz="4" w:space="0" w:color="000000"/>
            </w:tcBorders>
          </w:tcPr>
          <w:p w14:paraId="479D7244" w14:textId="59978EBE" w:rsidR="00161293" w:rsidRPr="00161293" w:rsidRDefault="00161293" w:rsidP="00161293">
            <w:pPr>
              <w:keepNext/>
              <w:keepLines/>
              <w:suppressAutoHyphens/>
              <w:autoSpaceDE w:val="0"/>
              <w:autoSpaceDN w:val="0"/>
              <w:adjustRightInd w:val="0"/>
              <w:spacing w:line="276" w:lineRule="auto"/>
              <w:jc w:val="both"/>
              <w:rPr>
                <w:rFonts w:ascii="Tahoma" w:hAnsi="Tahoma" w:cs="Tahoma"/>
                <w:color w:val="000000"/>
                <w:sz w:val="24"/>
                <w:lang w:val="en-US"/>
              </w:rPr>
            </w:pPr>
            <w:r>
              <w:rPr>
                <w:rFonts w:ascii="Tahoma" w:hAnsi="Tahoma" w:cs="Tahoma"/>
                <w:color w:val="000000"/>
                <w:sz w:val="24"/>
                <w:lang w:val="en-US"/>
              </w:rPr>
              <w:t>m</w:t>
            </w:r>
            <w:r w:rsidRPr="00161293">
              <w:rPr>
                <w:rFonts w:ascii="Tahoma" w:hAnsi="Tahoma" w:cs="Tahoma"/>
                <w:color w:val="000000"/>
                <w:sz w:val="24"/>
                <w:lang w:val="en-US"/>
              </w:rPr>
              <w:t xml:space="preserve">in. </w:t>
            </w:r>
            <w:r>
              <w:rPr>
                <w:rFonts w:ascii="Tahoma" w:hAnsi="Tahoma" w:cs="Tahoma"/>
                <w:color w:val="000000"/>
                <w:sz w:val="24"/>
                <w:lang w:val="en-US"/>
              </w:rPr>
              <w:t>36</w:t>
            </w:r>
            <w:r w:rsidRPr="00161293">
              <w:rPr>
                <w:rFonts w:ascii="Tahoma" w:hAnsi="Tahoma" w:cs="Tahoma"/>
                <w:color w:val="000000"/>
                <w:sz w:val="24"/>
                <w:lang w:val="en-US"/>
              </w:rPr>
              <w:t xml:space="preserve"> miesięcy</w:t>
            </w:r>
          </w:p>
        </w:tc>
      </w:tr>
    </w:tbl>
    <w:p w14:paraId="45E1A034" w14:textId="77777777" w:rsidR="00F02D79" w:rsidRPr="00E45740" w:rsidRDefault="00F02D79" w:rsidP="00AA71FF">
      <w:pPr>
        <w:jc w:val="both"/>
        <w:rPr>
          <w:rFonts w:ascii="Tahoma" w:hAnsi="Tahoma" w:cs="Tahoma"/>
          <w:sz w:val="24"/>
          <w:lang w:val="en-US"/>
        </w:rPr>
      </w:pPr>
    </w:p>
    <w:p w14:paraId="2888DB04" w14:textId="1ED8AE5B" w:rsidR="00F02D79" w:rsidRPr="00E45740" w:rsidRDefault="00F02D79" w:rsidP="00F02D79">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1.Wymaga się dostawy oraz montażu punktu dostępowego</w:t>
      </w:r>
    </w:p>
    <w:p w14:paraId="107DC739" w14:textId="3CFBFA8B" w:rsidR="00F02D79" w:rsidRPr="00E45740" w:rsidRDefault="00F02D79" w:rsidP="00F02D79">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lastRenderedPageBreak/>
        <w:t>2.Wymaga się</w:t>
      </w:r>
      <w:r w:rsidR="0070199A" w:rsidRPr="00E45740">
        <w:rPr>
          <w:rFonts w:ascii="Tahoma" w:eastAsiaTheme="minorHAnsi" w:hAnsi="Tahoma" w:cs="Tahoma"/>
          <w:sz w:val="24"/>
          <w:lang w:eastAsia="en-US"/>
          <w14:ligatures w14:val="standardContextual"/>
        </w:rPr>
        <w:t xml:space="preserve"> </w:t>
      </w:r>
      <w:r w:rsidRPr="00E45740">
        <w:rPr>
          <w:rFonts w:ascii="Tahoma" w:eastAsiaTheme="minorHAnsi" w:hAnsi="Tahoma" w:cs="Tahoma"/>
          <w:sz w:val="24"/>
          <w:lang w:eastAsia="en-US"/>
          <w14:ligatures w14:val="standardContextual"/>
        </w:rPr>
        <w:t>wykonani</w:t>
      </w:r>
      <w:r w:rsidR="0070199A" w:rsidRPr="00E45740">
        <w:rPr>
          <w:rFonts w:ascii="Tahoma" w:eastAsiaTheme="minorHAnsi" w:hAnsi="Tahoma" w:cs="Tahoma"/>
          <w:sz w:val="24"/>
          <w:lang w:eastAsia="en-US"/>
          <w14:ligatures w14:val="standardContextual"/>
        </w:rPr>
        <w:t>a</w:t>
      </w:r>
      <w:r w:rsidRPr="00E45740">
        <w:rPr>
          <w:rFonts w:ascii="Tahoma" w:eastAsiaTheme="minorHAnsi" w:hAnsi="Tahoma" w:cs="Tahoma"/>
          <w:sz w:val="24"/>
          <w:lang w:eastAsia="en-US"/>
          <w14:ligatures w14:val="standardContextual"/>
        </w:rPr>
        <w:t xml:space="preserve"> instalacji sieci LAN min. 6a służącej do przyłączenia z</w:t>
      </w:r>
      <w:r w:rsidR="0070199A" w:rsidRPr="00E45740">
        <w:rPr>
          <w:rFonts w:ascii="Tahoma" w:eastAsiaTheme="minorHAnsi" w:hAnsi="Tahoma" w:cs="Tahoma"/>
          <w:sz w:val="24"/>
          <w:lang w:eastAsia="en-US"/>
          <w14:ligatures w14:val="standardContextual"/>
        </w:rPr>
        <w:t>amontowan</w:t>
      </w:r>
      <w:r w:rsidR="00426B29">
        <w:rPr>
          <w:rFonts w:ascii="Tahoma" w:eastAsiaTheme="minorHAnsi" w:hAnsi="Tahoma" w:cs="Tahoma"/>
          <w:sz w:val="24"/>
          <w:lang w:eastAsia="en-US"/>
          <w14:ligatures w14:val="standardContextual"/>
        </w:rPr>
        <w:t>ych</w:t>
      </w:r>
      <w:r w:rsidRPr="00E45740">
        <w:rPr>
          <w:rFonts w:ascii="Tahoma" w:eastAsiaTheme="minorHAnsi" w:hAnsi="Tahoma" w:cs="Tahoma"/>
          <w:sz w:val="24"/>
          <w:lang w:eastAsia="en-US"/>
          <w14:ligatures w14:val="standardContextual"/>
        </w:rPr>
        <w:t xml:space="preserve"> punkt</w:t>
      </w:r>
      <w:r w:rsidR="00426B29">
        <w:rPr>
          <w:rFonts w:ascii="Tahoma" w:eastAsiaTheme="minorHAnsi" w:hAnsi="Tahoma" w:cs="Tahoma"/>
          <w:sz w:val="24"/>
          <w:lang w:eastAsia="en-US"/>
          <w14:ligatures w14:val="standardContextual"/>
        </w:rPr>
        <w:t>ów</w:t>
      </w:r>
      <w:r w:rsidRPr="00E45740">
        <w:rPr>
          <w:rFonts w:ascii="Tahoma" w:eastAsiaTheme="minorHAnsi" w:hAnsi="Tahoma" w:cs="Tahoma"/>
          <w:sz w:val="24"/>
          <w:lang w:eastAsia="en-US"/>
          <w14:ligatures w14:val="standardContextual"/>
        </w:rPr>
        <w:t xml:space="preserve"> dostępowych do </w:t>
      </w:r>
      <w:r w:rsidR="0070199A" w:rsidRPr="00E45740">
        <w:rPr>
          <w:rFonts w:ascii="Tahoma" w:eastAsiaTheme="minorHAnsi" w:hAnsi="Tahoma" w:cs="Tahoma"/>
          <w:sz w:val="24"/>
          <w:lang w:eastAsia="en-US"/>
          <w14:ligatures w14:val="standardContextual"/>
        </w:rPr>
        <w:t>istniejącej infrastruktury teleinformatycznej</w:t>
      </w:r>
      <w:r w:rsidRPr="00E45740">
        <w:rPr>
          <w:rFonts w:ascii="Tahoma" w:eastAsiaTheme="minorHAnsi" w:hAnsi="Tahoma" w:cs="Tahoma"/>
          <w:sz w:val="24"/>
          <w:lang w:eastAsia="en-US"/>
          <w14:ligatures w14:val="standardContextual"/>
        </w:rPr>
        <w:t>.</w:t>
      </w:r>
    </w:p>
    <w:p w14:paraId="74D1CA95" w14:textId="600F5AFB" w:rsidR="001029CF" w:rsidRDefault="00F02D79" w:rsidP="000775DC">
      <w:pPr>
        <w:autoSpaceDE w:val="0"/>
        <w:autoSpaceDN w:val="0"/>
        <w:adjustRightInd w:val="0"/>
        <w:jc w:val="both"/>
        <w:rPr>
          <w:rFonts w:ascii="Tahoma" w:eastAsiaTheme="minorHAnsi" w:hAnsi="Tahoma" w:cs="Tahoma"/>
          <w:sz w:val="24"/>
          <w:lang w:eastAsia="en-US"/>
          <w14:ligatures w14:val="standardContextual"/>
        </w:rPr>
      </w:pPr>
      <w:r w:rsidRPr="00E45740">
        <w:rPr>
          <w:rFonts w:ascii="Tahoma" w:eastAsiaTheme="minorHAnsi" w:hAnsi="Tahoma" w:cs="Tahoma"/>
          <w:sz w:val="24"/>
          <w:lang w:eastAsia="en-US"/>
          <w14:ligatures w14:val="standardContextual"/>
        </w:rPr>
        <w:t>3.Wymaga się konfiguracji dostarcz</w:t>
      </w:r>
      <w:r w:rsidR="00A10DCE">
        <w:rPr>
          <w:rFonts w:ascii="Tahoma" w:eastAsiaTheme="minorHAnsi" w:hAnsi="Tahoma" w:cs="Tahoma"/>
          <w:sz w:val="24"/>
          <w:lang w:eastAsia="en-US"/>
          <w14:ligatures w14:val="standardContextual"/>
        </w:rPr>
        <w:t>a</w:t>
      </w:r>
      <w:r w:rsidRPr="00E45740">
        <w:rPr>
          <w:rFonts w:ascii="Tahoma" w:eastAsiaTheme="minorHAnsi" w:hAnsi="Tahoma" w:cs="Tahoma"/>
          <w:sz w:val="24"/>
          <w:lang w:eastAsia="en-US"/>
          <w14:ligatures w14:val="standardContextual"/>
        </w:rPr>
        <w:t>n</w:t>
      </w:r>
      <w:r w:rsidR="00A10DCE">
        <w:rPr>
          <w:rFonts w:ascii="Tahoma" w:eastAsiaTheme="minorHAnsi" w:hAnsi="Tahoma" w:cs="Tahoma"/>
          <w:sz w:val="24"/>
          <w:lang w:eastAsia="en-US"/>
          <w14:ligatures w14:val="standardContextual"/>
        </w:rPr>
        <w:t>ych</w:t>
      </w:r>
      <w:r w:rsidRPr="00E45740">
        <w:rPr>
          <w:rFonts w:ascii="Tahoma" w:eastAsiaTheme="minorHAnsi" w:hAnsi="Tahoma" w:cs="Tahoma"/>
          <w:sz w:val="24"/>
          <w:lang w:eastAsia="en-US"/>
          <w14:ligatures w14:val="standardContextual"/>
        </w:rPr>
        <w:t xml:space="preserve"> punkt</w:t>
      </w:r>
      <w:r w:rsidR="00A10DCE">
        <w:rPr>
          <w:rFonts w:ascii="Tahoma" w:eastAsiaTheme="minorHAnsi" w:hAnsi="Tahoma" w:cs="Tahoma"/>
          <w:sz w:val="24"/>
          <w:lang w:eastAsia="en-US"/>
          <w14:ligatures w14:val="standardContextual"/>
        </w:rPr>
        <w:t>ów</w:t>
      </w:r>
      <w:r w:rsidRPr="00E45740">
        <w:rPr>
          <w:rFonts w:ascii="Tahoma" w:eastAsiaTheme="minorHAnsi" w:hAnsi="Tahoma" w:cs="Tahoma"/>
          <w:sz w:val="24"/>
          <w:lang w:eastAsia="en-US"/>
          <w14:ligatures w14:val="standardContextual"/>
        </w:rPr>
        <w:t xml:space="preserve"> dostępow</w:t>
      </w:r>
      <w:r w:rsidR="00A10DCE">
        <w:rPr>
          <w:rFonts w:ascii="Tahoma" w:eastAsiaTheme="minorHAnsi" w:hAnsi="Tahoma" w:cs="Tahoma"/>
          <w:sz w:val="24"/>
          <w:lang w:eastAsia="en-US"/>
          <w14:ligatures w14:val="standardContextual"/>
        </w:rPr>
        <w:t>ych</w:t>
      </w:r>
      <w:r w:rsidRPr="00E45740">
        <w:rPr>
          <w:rFonts w:ascii="Tahoma" w:eastAsiaTheme="minorHAnsi" w:hAnsi="Tahoma" w:cs="Tahoma"/>
          <w:sz w:val="24"/>
          <w:lang w:eastAsia="en-US"/>
          <w14:ligatures w14:val="standardContextual"/>
        </w:rPr>
        <w:t xml:space="preserve"> oraz integracji z posiadanym urządzeniem UTM (Fortigate </w:t>
      </w:r>
      <w:r w:rsidR="000775DC">
        <w:rPr>
          <w:rFonts w:ascii="Tahoma" w:eastAsiaTheme="minorHAnsi" w:hAnsi="Tahoma" w:cs="Tahoma"/>
          <w:sz w:val="24"/>
          <w:lang w:eastAsia="en-US"/>
          <w14:ligatures w14:val="standardContextual"/>
        </w:rPr>
        <w:t>60F</w:t>
      </w:r>
      <w:r w:rsidRPr="00E45740">
        <w:rPr>
          <w:rFonts w:ascii="Tahoma" w:eastAsiaTheme="minorHAnsi" w:hAnsi="Tahoma" w:cs="Tahoma"/>
          <w:sz w:val="24"/>
          <w:lang w:eastAsia="en-US"/>
          <w14:ligatures w14:val="standardContextual"/>
        </w:rPr>
        <w:t xml:space="preserve">). Zamawiający </w:t>
      </w:r>
      <w:r w:rsidR="0070199A" w:rsidRPr="00E45740">
        <w:rPr>
          <w:rFonts w:ascii="Tahoma" w:eastAsiaTheme="minorHAnsi" w:hAnsi="Tahoma" w:cs="Tahoma"/>
          <w:sz w:val="24"/>
          <w:lang w:eastAsia="en-US"/>
          <w14:ligatures w14:val="standardContextual"/>
        </w:rPr>
        <w:t>wymaga</w:t>
      </w:r>
      <w:r w:rsidRPr="00E45740">
        <w:rPr>
          <w:rFonts w:ascii="Tahoma" w:eastAsiaTheme="minorHAnsi" w:hAnsi="Tahoma" w:cs="Tahoma"/>
          <w:sz w:val="24"/>
          <w:lang w:eastAsia="en-US"/>
          <w14:ligatures w14:val="standardContextual"/>
        </w:rPr>
        <w:t xml:space="preserve"> aby dostarczon</w:t>
      </w:r>
      <w:r w:rsidR="00426B29">
        <w:rPr>
          <w:rFonts w:ascii="Tahoma" w:eastAsiaTheme="minorHAnsi" w:hAnsi="Tahoma" w:cs="Tahoma"/>
          <w:sz w:val="24"/>
          <w:lang w:eastAsia="en-US"/>
          <w14:ligatures w14:val="standardContextual"/>
        </w:rPr>
        <w:t>e</w:t>
      </w:r>
      <w:r w:rsidRPr="00E45740">
        <w:rPr>
          <w:rFonts w:ascii="Tahoma" w:eastAsiaTheme="minorHAnsi" w:hAnsi="Tahoma" w:cs="Tahoma"/>
          <w:sz w:val="24"/>
          <w:lang w:eastAsia="en-US"/>
          <w14:ligatures w14:val="standardContextual"/>
        </w:rPr>
        <w:t xml:space="preserve"> punkt</w:t>
      </w:r>
      <w:r w:rsidR="00426B29">
        <w:rPr>
          <w:rFonts w:ascii="Tahoma" w:eastAsiaTheme="minorHAnsi" w:hAnsi="Tahoma" w:cs="Tahoma"/>
          <w:sz w:val="24"/>
          <w:lang w:eastAsia="en-US"/>
          <w14:ligatures w14:val="standardContextual"/>
        </w:rPr>
        <w:t>y</w:t>
      </w:r>
      <w:r w:rsidRPr="00E45740">
        <w:rPr>
          <w:rFonts w:ascii="Tahoma" w:eastAsiaTheme="minorHAnsi" w:hAnsi="Tahoma" w:cs="Tahoma"/>
          <w:sz w:val="24"/>
          <w:lang w:eastAsia="en-US"/>
          <w14:ligatures w14:val="standardContextual"/>
        </w:rPr>
        <w:t xml:space="preserve"> dostępow</w:t>
      </w:r>
      <w:r w:rsidR="00426B29">
        <w:rPr>
          <w:rFonts w:ascii="Tahoma" w:eastAsiaTheme="minorHAnsi" w:hAnsi="Tahoma" w:cs="Tahoma"/>
          <w:sz w:val="24"/>
          <w:lang w:eastAsia="en-US"/>
          <w14:ligatures w14:val="standardContextual"/>
        </w:rPr>
        <w:t>e</w:t>
      </w:r>
      <w:r w:rsidRPr="00E45740">
        <w:rPr>
          <w:rFonts w:ascii="Tahoma" w:eastAsiaTheme="minorHAnsi" w:hAnsi="Tahoma" w:cs="Tahoma"/>
          <w:sz w:val="24"/>
          <w:lang w:eastAsia="en-US"/>
          <w14:ligatures w14:val="standardContextual"/>
        </w:rPr>
        <w:t xml:space="preserve"> był</w:t>
      </w:r>
      <w:r w:rsidR="00426B29">
        <w:rPr>
          <w:rFonts w:ascii="Tahoma" w:eastAsiaTheme="minorHAnsi" w:hAnsi="Tahoma" w:cs="Tahoma"/>
          <w:sz w:val="24"/>
          <w:lang w:eastAsia="en-US"/>
          <w14:ligatures w14:val="standardContextual"/>
        </w:rPr>
        <w:t>y</w:t>
      </w:r>
      <w:r w:rsidRPr="00E45740">
        <w:rPr>
          <w:rFonts w:ascii="Tahoma" w:eastAsiaTheme="minorHAnsi" w:hAnsi="Tahoma" w:cs="Tahoma"/>
          <w:sz w:val="24"/>
          <w:lang w:eastAsia="en-US"/>
          <w14:ligatures w14:val="standardContextual"/>
        </w:rPr>
        <w:t xml:space="preserve"> obsługiwan</w:t>
      </w:r>
      <w:r w:rsidR="00426B29">
        <w:rPr>
          <w:rFonts w:ascii="Tahoma" w:eastAsiaTheme="minorHAnsi" w:hAnsi="Tahoma" w:cs="Tahoma"/>
          <w:sz w:val="24"/>
          <w:lang w:eastAsia="en-US"/>
          <w14:ligatures w14:val="standardContextual"/>
        </w:rPr>
        <w:t>e</w:t>
      </w:r>
      <w:r w:rsidRPr="00E45740">
        <w:rPr>
          <w:rFonts w:ascii="Tahoma" w:eastAsiaTheme="minorHAnsi" w:hAnsi="Tahoma" w:cs="Tahoma"/>
          <w:sz w:val="24"/>
          <w:lang w:eastAsia="en-US"/>
          <w14:ligatures w14:val="standardContextual"/>
        </w:rPr>
        <w:t xml:space="preserve"> przez posiadane </w:t>
      </w:r>
      <w:r w:rsidR="0070199A" w:rsidRPr="00E45740">
        <w:rPr>
          <w:rFonts w:ascii="Tahoma" w:eastAsiaTheme="minorHAnsi" w:hAnsi="Tahoma" w:cs="Tahoma"/>
          <w:sz w:val="24"/>
          <w:lang w:eastAsia="en-US"/>
          <w14:ligatures w14:val="standardContextual"/>
        </w:rPr>
        <w:t>urządzanie</w:t>
      </w:r>
      <w:r w:rsidRPr="00E45740">
        <w:rPr>
          <w:rFonts w:ascii="Tahoma" w:eastAsiaTheme="minorHAnsi" w:hAnsi="Tahoma" w:cs="Tahoma"/>
          <w:sz w:val="24"/>
          <w:lang w:eastAsia="en-US"/>
          <w14:ligatures w14:val="standardContextual"/>
        </w:rPr>
        <w:t xml:space="preserve"> UTM. Zgodnie z podanymi przez zamawiającego wytycznymi.</w:t>
      </w:r>
    </w:p>
    <w:p w14:paraId="05311E94" w14:textId="77777777" w:rsidR="00FB5E05" w:rsidRDefault="00FB5E05" w:rsidP="000775DC">
      <w:pPr>
        <w:autoSpaceDE w:val="0"/>
        <w:autoSpaceDN w:val="0"/>
        <w:adjustRightInd w:val="0"/>
        <w:jc w:val="both"/>
        <w:rPr>
          <w:rFonts w:ascii="Tahoma" w:eastAsiaTheme="minorHAnsi" w:hAnsi="Tahoma" w:cs="Tahoma"/>
          <w:sz w:val="24"/>
          <w:lang w:eastAsia="en-US"/>
          <w14:ligatures w14:val="standardContextual"/>
        </w:rPr>
      </w:pPr>
    </w:p>
    <w:p w14:paraId="5F652A18" w14:textId="3FE10096" w:rsidR="00FB5E05" w:rsidRPr="000775DC" w:rsidRDefault="00FB5E05" w:rsidP="000775DC">
      <w:pPr>
        <w:autoSpaceDE w:val="0"/>
        <w:autoSpaceDN w:val="0"/>
        <w:adjustRightInd w:val="0"/>
        <w:jc w:val="both"/>
        <w:rPr>
          <w:rFonts w:ascii="Tahoma" w:eastAsiaTheme="minorHAnsi" w:hAnsi="Tahoma" w:cs="Tahoma"/>
          <w:sz w:val="24"/>
          <w:lang w:eastAsia="en-US"/>
          <w14:ligatures w14:val="standardContextual"/>
        </w:rPr>
      </w:pPr>
      <w:bookmarkStart w:id="3" w:name="_Hlk152310885"/>
      <w:r>
        <w:rPr>
          <w:rFonts w:ascii="Tahoma" w:eastAsiaTheme="minorHAnsi" w:hAnsi="Tahoma" w:cs="Tahoma"/>
          <w:sz w:val="24"/>
          <w:lang w:eastAsia="en-US"/>
          <w14:ligatures w14:val="standardContextual"/>
        </w:rPr>
        <w:t>Wykonawca zobowiązany jest dostarczyć dokumentację powykonawczą obejmującą cały zakres prac</w:t>
      </w:r>
      <w:bookmarkEnd w:id="3"/>
    </w:p>
    <w:sectPr w:rsidR="00FB5E05" w:rsidRPr="00077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167"/>
    <w:multiLevelType w:val="hybridMultilevel"/>
    <w:tmpl w:val="F4C4BA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4D7A90"/>
    <w:multiLevelType w:val="hybridMultilevel"/>
    <w:tmpl w:val="6B4CA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C5066F"/>
    <w:multiLevelType w:val="hybridMultilevel"/>
    <w:tmpl w:val="6B4CAE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0ED4193"/>
    <w:multiLevelType w:val="hybridMultilevel"/>
    <w:tmpl w:val="DF7AF5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E515D2C"/>
    <w:multiLevelType w:val="multilevel"/>
    <w:tmpl w:val="30AE0CF0"/>
    <w:lvl w:ilvl="0">
      <w:start w:val="1"/>
      <w:numFmt w:val="decimal"/>
      <w:lvlText w:val="E.GAB.%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72DA587C"/>
    <w:multiLevelType w:val="hybridMultilevel"/>
    <w:tmpl w:val="B3B265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7726F2"/>
    <w:multiLevelType w:val="hybridMultilevel"/>
    <w:tmpl w:val="6B4CAE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18163487">
    <w:abstractNumId w:val="2"/>
  </w:num>
  <w:num w:numId="2" w16cid:durableId="1288196088">
    <w:abstractNumId w:val="5"/>
  </w:num>
  <w:num w:numId="3" w16cid:durableId="14055688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4747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435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114989">
    <w:abstractNumId w:val="4"/>
  </w:num>
  <w:num w:numId="7" w16cid:durableId="1693723034">
    <w:abstractNumId w:val="1"/>
  </w:num>
  <w:num w:numId="8" w16cid:durableId="1740396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92"/>
    <w:rsid w:val="000775DC"/>
    <w:rsid w:val="001029CF"/>
    <w:rsid w:val="00157122"/>
    <w:rsid w:val="00161293"/>
    <w:rsid w:val="003C2AA9"/>
    <w:rsid w:val="00426B29"/>
    <w:rsid w:val="00434CDC"/>
    <w:rsid w:val="004C4583"/>
    <w:rsid w:val="00595A25"/>
    <w:rsid w:val="00605B3B"/>
    <w:rsid w:val="006400E2"/>
    <w:rsid w:val="00646659"/>
    <w:rsid w:val="006E48DF"/>
    <w:rsid w:val="0070199A"/>
    <w:rsid w:val="00716AE2"/>
    <w:rsid w:val="007616C0"/>
    <w:rsid w:val="007F7B5D"/>
    <w:rsid w:val="00964A62"/>
    <w:rsid w:val="009A5635"/>
    <w:rsid w:val="00A10DCE"/>
    <w:rsid w:val="00A127D7"/>
    <w:rsid w:val="00A66C98"/>
    <w:rsid w:val="00A75F92"/>
    <w:rsid w:val="00AA71FF"/>
    <w:rsid w:val="00B02E6F"/>
    <w:rsid w:val="00BA1C0D"/>
    <w:rsid w:val="00BD46F3"/>
    <w:rsid w:val="00BF05FB"/>
    <w:rsid w:val="00CB043A"/>
    <w:rsid w:val="00DF4FD5"/>
    <w:rsid w:val="00E45740"/>
    <w:rsid w:val="00F02D79"/>
    <w:rsid w:val="00F361A6"/>
    <w:rsid w:val="00F45001"/>
    <w:rsid w:val="00FB5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5615"/>
  <w15:chartTrackingRefBased/>
  <w15:docId w15:val="{984D5435-8DF1-45B4-B642-9B371ABE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740"/>
    <w:pPr>
      <w:spacing w:after="0" w:line="240" w:lineRule="auto"/>
    </w:pPr>
    <w:rPr>
      <w:rFonts w:ascii="Times New Roman" w:eastAsia="Times New Roman" w:hAnsi="Times New Roman" w:cs="Arial"/>
      <w:kern w:val="0"/>
      <w:sz w:val="18"/>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1default">
    <w:name w:val="v1default"/>
    <w:basedOn w:val="Normalny"/>
    <w:rsid w:val="003C2AA9"/>
    <w:pPr>
      <w:spacing w:before="100" w:beforeAutospacing="1" w:after="100" w:afterAutospacing="1"/>
    </w:pPr>
    <w:rPr>
      <w:rFonts w:cs="Times New Roman"/>
      <w:sz w:val="24"/>
    </w:rPr>
  </w:style>
  <w:style w:type="paragraph" w:customStyle="1" w:styleId="v1msonormal">
    <w:name w:val="v1msonormal"/>
    <w:basedOn w:val="Normalny"/>
    <w:rsid w:val="003C2AA9"/>
    <w:pPr>
      <w:spacing w:before="100" w:beforeAutospacing="1" w:after="100" w:afterAutospacing="1"/>
    </w:pPr>
    <w:rPr>
      <w:rFonts w:cs="Times New Roman"/>
      <w:sz w:val="24"/>
    </w:rPr>
  </w:style>
  <w:style w:type="paragraph" w:customStyle="1" w:styleId="v1msolist">
    <w:name w:val="v1msolist"/>
    <w:basedOn w:val="Normalny"/>
    <w:rsid w:val="003C2AA9"/>
    <w:pPr>
      <w:spacing w:before="100" w:beforeAutospacing="1" w:after="100" w:afterAutospacing="1"/>
    </w:pPr>
    <w:rPr>
      <w:rFonts w:cs="Times New Roman"/>
      <w:sz w:val="24"/>
    </w:rPr>
  </w:style>
  <w:style w:type="paragraph" w:customStyle="1" w:styleId="v1msobodytext">
    <w:name w:val="v1msobodytext"/>
    <w:basedOn w:val="Normalny"/>
    <w:rsid w:val="003C2AA9"/>
    <w:pPr>
      <w:spacing w:before="100" w:beforeAutospacing="1" w:after="100" w:afterAutospacing="1"/>
    </w:pPr>
    <w:rPr>
      <w:rFonts w:cs="Times New Roman"/>
      <w:sz w:val="24"/>
    </w:rPr>
  </w:style>
  <w:style w:type="table" w:styleId="Tabela-Siatka">
    <w:name w:val="Table Grid"/>
    <w:aliases w:val="wasko-nazwadokumentacji"/>
    <w:basedOn w:val="Standardowy"/>
    <w:uiPriority w:val="59"/>
    <w:rsid w:val="00AA71F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Bullet List,FooterText,numbered,List Paragraph1,Paragraphe de liste1,lp1,Numerowanie,L1,Akapit z listą5,sw tekst,Akapit z listą BS,Kolorowa lista — akcent 11,Bulleted list,Odstavec,Podsis rysunku,List Paragraph,T_SZ_List Paragraph"/>
    <w:basedOn w:val="Normalny"/>
    <w:link w:val="AkapitzlistZnak"/>
    <w:uiPriority w:val="34"/>
    <w:qFormat/>
    <w:rsid w:val="00AA71FF"/>
    <w:pPr>
      <w:ind w:left="720"/>
      <w:contextualSpacing/>
    </w:pPr>
    <w:rPr>
      <w:rFonts w:cs="Times New Roman"/>
      <w:sz w:val="20"/>
      <w:szCs w:val="20"/>
    </w:rPr>
  </w:style>
  <w:style w:type="character" w:customStyle="1" w:styleId="AkapitzlistZnak">
    <w:name w:val="Akapit z listą Znak"/>
    <w:aliases w:val="Bullet List Znak,FooterText Znak,numbered Znak,List Paragraph1 Znak,Paragraphe de liste1 Znak,lp1 Znak,Numerowanie Znak,L1 Znak,Akapit z listą5 Znak,sw tekst Znak,Akapit z listą BS Znak,Kolorowa lista — akcent 11 Znak,Odstavec Znak"/>
    <w:link w:val="Akapitzlist"/>
    <w:uiPriority w:val="34"/>
    <w:qFormat/>
    <w:locked/>
    <w:rsid w:val="00AA71FF"/>
    <w:rPr>
      <w:rFonts w:ascii="Times New Roman" w:eastAsia="Times New Roman" w:hAnsi="Times New Roman" w:cs="Times New Roman"/>
      <w:kern w:val="0"/>
      <w:sz w:val="20"/>
      <w:szCs w:val="20"/>
      <w:lang w:eastAsia="pl-PL"/>
      <w14:ligatures w14:val="none"/>
    </w:rPr>
  </w:style>
  <w:style w:type="character" w:customStyle="1" w:styleId="cf01">
    <w:name w:val="cf01"/>
    <w:basedOn w:val="Domylnaczcionkaakapitu"/>
    <w:rsid w:val="00AA71FF"/>
    <w:rPr>
      <w:rFonts w:ascii="Segoe UI" w:hAnsi="Segoe UI" w:cs="Segoe UI" w:hint="default"/>
      <w:sz w:val="18"/>
      <w:szCs w:val="18"/>
    </w:rPr>
  </w:style>
  <w:style w:type="paragraph" w:styleId="Zwykytekst">
    <w:name w:val="Plain Text"/>
    <w:basedOn w:val="Normalny"/>
    <w:link w:val="ZwykytekstZnak"/>
    <w:rsid w:val="00E45740"/>
    <w:rPr>
      <w:rFonts w:ascii="Courier New" w:hAnsi="Courier New" w:cs="Courier New"/>
      <w:sz w:val="20"/>
      <w:szCs w:val="20"/>
    </w:rPr>
  </w:style>
  <w:style w:type="character" w:customStyle="1" w:styleId="ZwykytekstZnak">
    <w:name w:val="Zwykły tekst Znak"/>
    <w:basedOn w:val="Domylnaczcionkaakapitu"/>
    <w:link w:val="Zwykytekst"/>
    <w:rsid w:val="00E45740"/>
    <w:rPr>
      <w:rFonts w:ascii="Courier New" w:eastAsia="Times New Roman" w:hAnsi="Courier New" w:cs="Courier New"/>
      <w:kern w:val="0"/>
      <w:sz w:val="20"/>
      <w:szCs w:val="20"/>
      <w:lang w:eastAsia="pl-PL"/>
      <w14:ligatures w14:val="none"/>
    </w:rPr>
  </w:style>
  <w:style w:type="paragraph" w:styleId="Poprawka">
    <w:name w:val="Revision"/>
    <w:hidden/>
    <w:uiPriority w:val="99"/>
    <w:semiHidden/>
    <w:rsid w:val="000775DC"/>
    <w:pPr>
      <w:spacing w:after="0" w:line="240" w:lineRule="auto"/>
    </w:pPr>
    <w:rPr>
      <w:rFonts w:ascii="Times New Roman" w:eastAsia="Times New Roman" w:hAnsi="Times New Roman" w:cs="Arial"/>
      <w:kern w:val="0"/>
      <w:sz w:val="18"/>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58297">
      <w:bodyDiv w:val="1"/>
      <w:marLeft w:val="0"/>
      <w:marRight w:val="0"/>
      <w:marTop w:val="0"/>
      <w:marBottom w:val="0"/>
      <w:divBdr>
        <w:top w:val="none" w:sz="0" w:space="0" w:color="auto"/>
        <w:left w:val="none" w:sz="0" w:space="0" w:color="auto"/>
        <w:bottom w:val="none" w:sz="0" w:space="0" w:color="auto"/>
        <w:right w:val="none" w:sz="0" w:space="0" w:color="auto"/>
      </w:divBdr>
    </w:div>
    <w:div w:id="1196425417">
      <w:bodyDiv w:val="1"/>
      <w:marLeft w:val="0"/>
      <w:marRight w:val="0"/>
      <w:marTop w:val="0"/>
      <w:marBottom w:val="0"/>
      <w:divBdr>
        <w:top w:val="none" w:sz="0" w:space="0" w:color="auto"/>
        <w:left w:val="none" w:sz="0" w:space="0" w:color="auto"/>
        <w:bottom w:val="none" w:sz="0" w:space="0" w:color="auto"/>
        <w:right w:val="none" w:sz="0" w:space="0" w:color="auto"/>
      </w:divBdr>
      <w:divsChild>
        <w:div w:id="727336743">
          <w:marLeft w:val="0"/>
          <w:marRight w:val="0"/>
          <w:marTop w:val="0"/>
          <w:marBottom w:val="0"/>
          <w:divBdr>
            <w:top w:val="none" w:sz="0" w:space="0" w:color="auto"/>
            <w:left w:val="none" w:sz="0" w:space="0" w:color="auto"/>
            <w:bottom w:val="none" w:sz="0" w:space="0" w:color="auto"/>
            <w:right w:val="none" w:sz="0" w:space="0" w:color="auto"/>
          </w:divBdr>
          <w:divsChild>
            <w:div w:id="351342938">
              <w:marLeft w:val="0"/>
              <w:marRight w:val="0"/>
              <w:marTop w:val="0"/>
              <w:marBottom w:val="0"/>
              <w:divBdr>
                <w:top w:val="none" w:sz="0" w:space="0" w:color="auto"/>
                <w:left w:val="none" w:sz="0" w:space="0" w:color="auto"/>
                <w:bottom w:val="none" w:sz="0" w:space="0" w:color="auto"/>
                <w:right w:val="none" w:sz="0" w:space="0" w:color="auto"/>
              </w:divBdr>
              <w:divsChild>
                <w:div w:id="829519717">
                  <w:marLeft w:val="0"/>
                  <w:marRight w:val="0"/>
                  <w:marTop w:val="0"/>
                  <w:marBottom w:val="0"/>
                  <w:divBdr>
                    <w:top w:val="none" w:sz="0" w:space="0" w:color="auto"/>
                    <w:left w:val="none" w:sz="0" w:space="0" w:color="auto"/>
                    <w:bottom w:val="none" w:sz="0" w:space="0" w:color="auto"/>
                    <w:right w:val="none" w:sz="0" w:space="0" w:color="auto"/>
                  </w:divBdr>
                </w:div>
              </w:divsChild>
            </w:div>
            <w:div w:id="1032850490">
              <w:marLeft w:val="0"/>
              <w:marRight w:val="0"/>
              <w:marTop w:val="0"/>
              <w:marBottom w:val="0"/>
              <w:divBdr>
                <w:top w:val="none" w:sz="0" w:space="0" w:color="auto"/>
                <w:left w:val="none" w:sz="0" w:space="0" w:color="auto"/>
                <w:bottom w:val="none" w:sz="0" w:space="0" w:color="auto"/>
                <w:right w:val="none" w:sz="0" w:space="0" w:color="auto"/>
              </w:divBdr>
              <w:divsChild>
                <w:div w:id="7316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256">
          <w:marLeft w:val="0"/>
          <w:marRight w:val="0"/>
          <w:marTop w:val="0"/>
          <w:marBottom w:val="0"/>
          <w:divBdr>
            <w:top w:val="none" w:sz="0" w:space="0" w:color="auto"/>
            <w:left w:val="none" w:sz="0" w:space="0" w:color="auto"/>
            <w:bottom w:val="none" w:sz="0" w:space="0" w:color="auto"/>
            <w:right w:val="none" w:sz="0" w:space="0" w:color="auto"/>
          </w:divBdr>
          <w:divsChild>
            <w:div w:id="2052416841">
              <w:marLeft w:val="0"/>
              <w:marRight w:val="0"/>
              <w:marTop w:val="0"/>
              <w:marBottom w:val="0"/>
              <w:divBdr>
                <w:top w:val="none" w:sz="0" w:space="0" w:color="auto"/>
                <w:left w:val="none" w:sz="0" w:space="0" w:color="auto"/>
                <w:bottom w:val="none" w:sz="0" w:space="0" w:color="auto"/>
                <w:right w:val="none" w:sz="0" w:space="0" w:color="auto"/>
              </w:divBdr>
              <w:divsChild>
                <w:div w:id="1109201978">
                  <w:marLeft w:val="0"/>
                  <w:marRight w:val="0"/>
                  <w:marTop w:val="0"/>
                  <w:marBottom w:val="0"/>
                  <w:divBdr>
                    <w:top w:val="none" w:sz="0" w:space="0" w:color="auto"/>
                    <w:left w:val="none" w:sz="0" w:space="0" w:color="auto"/>
                    <w:bottom w:val="none" w:sz="0" w:space="0" w:color="auto"/>
                    <w:right w:val="none" w:sz="0" w:space="0" w:color="auto"/>
                  </w:divBdr>
                </w:div>
              </w:divsChild>
            </w:div>
            <w:div w:id="1797874247">
              <w:marLeft w:val="0"/>
              <w:marRight w:val="0"/>
              <w:marTop w:val="0"/>
              <w:marBottom w:val="0"/>
              <w:divBdr>
                <w:top w:val="none" w:sz="0" w:space="0" w:color="auto"/>
                <w:left w:val="none" w:sz="0" w:space="0" w:color="auto"/>
                <w:bottom w:val="none" w:sz="0" w:space="0" w:color="auto"/>
                <w:right w:val="none" w:sz="0" w:space="0" w:color="auto"/>
              </w:divBdr>
              <w:divsChild>
                <w:div w:id="14468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6002">
          <w:marLeft w:val="0"/>
          <w:marRight w:val="0"/>
          <w:marTop w:val="0"/>
          <w:marBottom w:val="0"/>
          <w:divBdr>
            <w:top w:val="none" w:sz="0" w:space="0" w:color="auto"/>
            <w:left w:val="none" w:sz="0" w:space="0" w:color="auto"/>
            <w:bottom w:val="none" w:sz="0" w:space="0" w:color="auto"/>
            <w:right w:val="none" w:sz="0" w:space="0" w:color="auto"/>
          </w:divBdr>
          <w:divsChild>
            <w:div w:id="1518346791">
              <w:marLeft w:val="0"/>
              <w:marRight w:val="0"/>
              <w:marTop w:val="0"/>
              <w:marBottom w:val="0"/>
              <w:divBdr>
                <w:top w:val="none" w:sz="0" w:space="0" w:color="auto"/>
                <w:left w:val="none" w:sz="0" w:space="0" w:color="auto"/>
                <w:bottom w:val="none" w:sz="0" w:space="0" w:color="auto"/>
                <w:right w:val="none" w:sz="0" w:space="0" w:color="auto"/>
              </w:divBdr>
              <w:divsChild>
                <w:div w:id="1277181708">
                  <w:marLeft w:val="0"/>
                  <w:marRight w:val="0"/>
                  <w:marTop w:val="0"/>
                  <w:marBottom w:val="0"/>
                  <w:divBdr>
                    <w:top w:val="none" w:sz="0" w:space="0" w:color="auto"/>
                    <w:left w:val="none" w:sz="0" w:space="0" w:color="auto"/>
                    <w:bottom w:val="none" w:sz="0" w:space="0" w:color="auto"/>
                    <w:right w:val="none" w:sz="0" w:space="0" w:color="auto"/>
                  </w:divBdr>
                </w:div>
              </w:divsChild>
            </w:div>
            <w:div w:id="2013606204">
              <w:marLeft w:val="0"/>
              <w:marRight w:val="0"/>
              <w:marTop w:val="0"/>
              <w:marBottom w:val="0"/>
              <w:divBdr>
                <w:top w:val="none" w:sz="0" w:space="0" w:color="auto"/>
                <w:left w:val="none" w:sz="0" w:space="0" w:color="auto"/>
                <w:bottom w:val="none" w:sz="0" w:space="0" w:color="auto"/>
                <w:right w:val="none" w:sz="0" w:space="0" w:color="auto"/>
              </w:divBdr>
              <w:divsChild>
                <w:div w:id="12963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9064">
          <w:marLeft w:val="0"/>
          <w:marRight w:val="0"/>
          <w:marTop w:val="0"/>
          <w:marBottom w:val="0"/>
          <w:divBdr>
            <w:top w:val="none" w:sz="0" w:space="0" w:color="auto"/>
            <w:left w:val="none" w:sz="0" w:space="0" w:color="auto"/>
            <w:bottom w:val="none" w:sz="0" w:space="0" w:color="auto"/>
            <w:right w:val="none" w:sz="0" w:space="0" w:color="auto"/>
          </w:divBdr>
          <w:divsChild>
            <w:div w:id="868565942">
              <w:marLeft w:val="0"/>
              <w:marRight w:val="0"/>
              <w:marTop w:val="0"/>
              <w:marBottom w:val="0"/>
              <w:divBdr>
                <w:top w:val="none" w:sz="0" w:space="0" w:color="auto"/>
                <w:left w:val="none" w:sz="0" w:space="0" w:color="auto"/>
                <w:bottom w:val="none" w:sz="0" w:space="0" w:color="auto"/>
                <w:right w:val="none" w:sz="0" w:space="0" w:color="auto"/>
              </w:divBdr>
              <w:divsChild>
                <w:div w:id="293367036">
                  <w:marLeft w:val="0"/>
                  <w:marRight w:val="0"/>
                  <w:marTop w:val="0"/>
                  <w:marBottom w:val="0"/>
                  <w:divBdr>
                    <w:top w:val="none" w:sz="0" w:space="0" w:color="auto"/>
                    <w:left w:val="none" w:sz="0" w:space="0" w:color="auto"/>
                    <w:bottom w:val="none" w:sz="0" w:space="0" w:color="auto"/>
                    <w:right w:val="none" w:sz="0" w:space="0" w:color="auto"/>
                  </w:divBdr>
                </w:div>
              </w:divsChild>
            </w:div>
            <w:div w:id="314338981">
              <w:marLeft w:val="0"/>
              <w:marRight w:val="0"/>
              <w:marTop w:val="0"/>
              <w:marBottom w:val="0"/>
              <w:divBdr>
                <w:top w:val="none" w:sz="0" w:space="0" w:color="auto"/>
                <w:left w:val="none" w:sz="0" w:space="0" w:color="auto"/>
                <w:bottom w:val="none" w:sz="0" w:space="0" w:color="auto"/>
                <w:right w:val="none" w:sz="0" w:space="0" w:color="auto"/>
              </w:divBdr>
              <w:divsChild>
                <w:div w:id="9651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49560">
          <w:marLeft w:val="0"/>
          <w:marRight w:val="0"/>
          <w:marTop w:val="0"/>
          <w:marBottom w:val="0"/>
          <w:divBdr>
            <w:top w:val="none" w:sz="0" w:space="0" w:color="auto"/>
            <w:left w:val="none" w:sz="0" w:space="0" w:color="auto"/>
            <w:bottom w:val="none" w:sz="0" w:space="0" w:color="auto"/>
            <w:right w:val="none" w:sz="0" w:space="0" w:color="auto"/>
          </w:divBdr>
          <w:divsChild>
            <w:div w:id="2056615818">
              <w:marLeft w:val="0"/>
              <w:marRight w:val="0"/>
              <w:marTop w:val="0"/>
              <w:marBottom w:val="0"/>
              <w:divBdr>
                <w:top w:val="none" w:sz="0" w:space="0" w:color="auto"/>
                <w:left w:val="none" w:sz="0" w:space="0" w:color="auto"/>
                <w:bottom w:val="none" w:sz="0" w:space="0" w:color="auto"/>
                <w:right w:val="none" w:sz="0" w:space="0" w:color="auto"/>
              </w:divBdr>
              <w:divsChild>
                <w:div w:id="303244707">
                  <w:marLeft w:val="0"/>
                  <w:marRight w:val="0"/>
                  <w:marTop w:val="0"/>
                  <w:marBottom w:val="0"/>
                  <w:divBdr>
                    <w:top w:val="none" w:sz="0" w:space="0" w:color="auto"/>
                    <w:left w:val="none" w:sz="0" w:space="0" w:color="auto"/>
                    <w:bottom w:val="none" w:sz="0" w:space="0" w:color="auto"/>
                    <w:right w:val="none" w:sz="0" w:space="0" w:color="auto"/>
                  </w:divBdr>
                </w:div>
              </w:divsChild>
            </w:div>
            <w:div w:id="1325862241">
              <w:marLeft w:val="0"/>
              <w:marRight w:val="0"/>
              <w:marTop w:val="0"/>
              <w:marBottom w:val="0"/>
              <w:divBdr>
                <w:top w:val="none" w:sz="0" w:space="0" w:color="auto"/>
                <w:left w:val="none" w:sz="0" w:space="0" w:color="auto"/>
                <w:bottom w:val="none" w:sz="0" w:space="0" w:color="auto"/>
                <w:right w:val="none" w:sz="0" w:space="0" w:color="auto"/>
              </w:divBdr>
              <w:divsChild>
                <w:div w:id="3158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6">
          <w:marLeft w:val="0"/>
          <w:marRight w:val="0"/>
          <w:marTop w:val="0"/>
          <w:marBottom w:val="0"/>
          <w:divBdr>
            <w:top w:val="none" w:sz="0" w:space="0" w:color="auto"/>
            <w:left w:val="none" w:sz="0" w:space="0" w:color="auto"/>
            <w:bottom w:val="none" w:sz="0" w:space="0" w:color="auto"/>
            <w:right w:val="none" w:sz="0" w:space="0" w:color="auto"/>
          </w:divBdr>
          <w:divsChild>
            <w:div w:id="480195776">
              <w:marLeft w:val="0"/>
              <w:marRight w:val="0"/>
              <w:marTop w:val="0"/>
              <w:marBottom w:val="0"/>
              <w:divBdr>
                <w:top w:val="none" w:sz="0" w:space="0" w:color="auto"/>
                <w:left w:val="none" w:sz="0" w:space="0" w:color="auto"/>
                <w:bottom w:val="none" w:sz="0" w:space="0" w:color="auto"/>
                <w:right w:val="none" w:sz="0" w:space="0" w:color="auto"/>
              </w:divBdr>
              <w:divsChild>
                <w:div w:id="50813829">
                  <w:marLeft w:val="0"/>
                  <w:marRight w:val="0"/>
                  <w:marTop w:val="0"/>
                  <w:marBottom w:val="0"/>
                  <w:divBdr>
                    <w:top w:val="none" w:sz="0" w:space="0" w:color="auto"/>
                    <w:left w:val="none" w:sz="0" w:space="0" w:color="auto"/>
                    <w:bottom w:val="none" w:sz="0" w:space="0" w:color="auto"/>
                    <w:right w:val="none" w:sz="0" w:space="0" w:color="auto"/>
                  </w:divBdr>
                </w:div>
              </w:divsChild>
            </w:div>
            <w:div w:id="200943029">
              <w:marLeft w:val="0"/>
              <w:marRight w:val="0"/>
              <w:marTop w:val="0"/>
              <w:marBottom w:val="0"/>
              <w:divBdr>
                <w:top w:val="none" w:sz="0" w:space="0" w:color="auto"/>
                <w:left w:val="none" w:sz="0" w:space="0" w:color="auto"/>
                <w:bottom w:val="none" w:sz="0" w:space="0" w:color="auto"/>
                <w:right w:val="none" w:sz="0" w:space="0" w:color="auto"/>
              </w:divBdr>
              <w:divsChild>
                <w:div w:id="1026756051">
                  <w:marLeft w:val="0"/>
                  <w:marRight w:val="0"/>
                  <w:marTop w:val="0"/>
                  <w:marBottom w:val="0"/>
                  <w:divBdr>
                    <w:top w:val="none" w:sz="0" w:space="0" w:color="auto"/>
                    <w:left w:val="none" w:sz="0" w:space="0" w:color="auto"/>
                    <w:bottom w:val="none" w:sz="0" w:space="0" w:color="auto"/>
                    <w:right w:val="none" w:sz="0" w:space="0" w:color="auto"/>
                  </w:divBdr>
                </w:div>
                <w:div w:id="15858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7226">
          <w:marLeft w:val="0"/>
          <w:marRight w:val="0"/>
          <w:marTop w:val="0"/>
          <w:marBottom w:val="0"/>
          <w:divBdr>
            <w:top w:val="none" w:sz="0" w:space="0" w:color="auto"/>
            <w:left w:val="none" w:sz="0" w:space="0" w:color="auto"/>
            <w:bottom w:val="none" w:sz="0" w:space="0" w:color="auto"/>
            <w:right w:val="none" w:sz="0" w:space="0" w:color="auto"/>
          </w:divBdr>
          <w:divsChild>
            <w:div w:id="624432237">
              <w:marLeft w:val="0"/>
              <w:marRight w:val="0"/>
              <w:marTop w:val="0"/>
              <w:marBottom w:val="0"/>
              <w:divBdr>
                <w:top w:val="none" w:sz="0" w:space="0" w:color="auto"/>
                <w:left w:val="none" w:sz="0" w:space="0" w:color="auto"/>
                <w:bottom w:val="none" w:sz="0" w:space="0" w:color="auto"/>
                <w:right w:val="none" w:sz="0" w:space="0" w:color="auto"/>
              </w:divBdr>
              <w:divsChild>
                <w:div w:id="1485510698">
                  <w:marLeft w:val="0"/>
                  <w:marRight w:val="0"/>
                  <w:marTop w:val="0"/>
                  <w:marBottom w:val="0"/>
                  <w:divBdr>
                    <w:top w:val="none" w:sz="0" w:space="0" w:color="auto"/>
                    <w:left w:val="none" w:sz="0" w:space="0" w:color="auto"/>
                    <w:bottom w:val="none" w:sz="0" w:space="0" w:color="auto"/>
                    <w:right w:val="none" w:sz="0" w:space="0" w:color="auto"/>
                  </w:divBdr>
                </w:div>
              </w:divsChild>
            </w:div>
            <w:div w:id="2072727989">
              <w:marLeft w:val="0"/>
              <w:marRight w:val="0"/>
              <w:marTop w:val="0"/>
              <w:marBottom w:val="0"/>
              <w:divBdr>
                <w:top w:val="none" w:sz="0" w:space="0" w:color="auto"/>
                <w:left w:val="none" w:sz="0" w:space="0" w:color="auto"/>
                <w:bottom w:val="none" w:sz="0" w:space="0" w:color="auto"/>
                <w:right w:val="none" w:sz="0" w:space="0" w:color="auto"/>
              </w:divBdr>
              <w:divsChild>
                <w:div w:id="3723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2355">
          <w:marLeft w:val="0"/>
          <w:marRight w:val="0"/>
          <w:marTop w:val="0"/>
          <w:marBottom w:val="0"/>
          <w:divBdr>
            <w:top w:val="none" w:sz="0" w:space="0" w:color="auto"/>
            <w:left w:val="none" w:sz="0" w:space="0" w:color="auto"/>
            <w:bottom w:val="none" w:sz="0" w:space="0" w:color="auto"/>
            <w:right w:val="none" w:sz="0" w:space="0" w:color="auto"/>
          </w:divBdr>
          <w:divsChild>
            <w:div w:id="2000499744">
              <w:marLeft w:val="0"/>
              <w:marRight w:val="0"/>
              <w:marTop w:val="0"/>
              <w:marBottom w:val="0"/>
              <w:divBdr>
                <w:top w:val="none" w:sz="0" w:space="0" w:color="auto"/>
                <w:left w:val="none" w:sz="0" w:space="0" w:color="auto"/>
                <w:bottom w:val="none" w:sz="0" w:space="0" w:color="auto"/>
                <w:right w:val="none" w:sz="0" w:space="0" w:color="auto"/>
              </w:divBdr>
              <w:divsChild>
                <w:div w:id="654070983">
                  <w:marLeft w:val="0"/>
                  <w:marRight w:val="0"/>
                  <w:marTop w:val="0"/>
                  <w:marBottom w:val="0"/>
                  <w:divBdr>
                    <w:top w:val="none" w:sz="0" w:space="0" w:color="auto"/>
                    <w:left w:val="none" w:sz="0" w:space="0" w:color="auto"/>
                    <w:bottom w:val="none" w:sz="0" w:space="0" w:color="auto"/>
                    <w:right w:val="none" w:sz="0" w:space="0" w:color="auto"/>
                  </w:divBdr>
                </w:div>
              </w:divsChild>
            </w:div>
            <w:div w:id="1022559638">
              <w:marLeft w:val="0"/>
              <w:marRight w:val="0"/>
              <w:marTop w:val="0"/>
              <w:marBottom w:val="0"/>
              <w:divBdr>
                <w:top w:val="none" w:sz="0" w:space="0" w:color="auto"/>
                <w:left w:val="none" w:sz="0" w:space="0" w:color="auto"/>
                <w:bottom w:val="none" w:sz="0" w:space="0" w:color="auto"/>
                <w:right w:val="none" w:sz="0" w:space="0" w:color="auto"/>
              </w:divBdr>
              <w:divsChild>
                <w:div w:id="11597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3350">
          <w:marLeft w:val="0"/>
          <w:marRight w:val="0"/>
          <w:marTop w:val="0"/>
          <w:marBottom w:val="0"/>
          <w:divBdr>
            <w:top w:val="none" w:sz="0" w:space="0" w:color="auto"/>
            <w:left w:val="none" w:sz="0" w:space="0" w:color="auto"/>
            <w:bottom w:val="none" w:sz="0" w:space="0" w:color="auto"/>
            <w:right w:val="none" w:sz="0" w:space="0" w:color="auto"/>
          </w:divBdr>
          <w:divsChild>
            <w:div w:id="709763789">
              <w:marLeft w:val="0"/>
              <w:marRight w:val="0"/>
              <w:marTop w:val="0"/>
              <w:marBottom w:val="0"/>
              <w:divBdr>
                <w:top w:val="none" w:sz="0" w:space="0" w:color="auto"/>
                <w:left w:val="none" w:sz="0" w:space="0" w:color="auto"/>
                <w:bottom w:val="none" w:sz="0" w:space="0" w:color="auto"/>
                <w:right w:val="none" w:sz="0" w:space="0" w:color="auto"/>
              </w:divBdr>
              <w:divsChild>
                <w:div w:id="1074544348">
                  <w:marLeft w:val="0"/>
                  <w:marRight w:val="0"/>
                  <w:marTop w:val="0"/>
                  <w:marBottom w:val="0"/>
                  <w:divBdr>
                    <w:top w:val="none" w:sz="0" w:space="0" w:color="auto"/>
                    <w:left w:val="none" w:sz="0" w:space="0" w:color="auto"/>
                    <w:bottom w:val="none" w:sz="0" w:space="0" w:color="auto"/>
                    <w:right w:val="none" w:sz="0" w:space="0" w:color="auto"/>
                  </w:divBdr>
                </w:div>
              </w:divsChild>
            </w:div>
            <w:div w:id="1032076327">
              <w:marLeft w:val="0"/>
              <w:marRight w:val="0"/>
              <w:marTop w:val="0"/>
              <w:marBottom w:val="0"/>
              <w:divBdr>
                <w:top w:val="none" w:sz="0" w:space="0" w:color="auto"/>
                <w:left w:val="none" w:sz="0" w:space="0" w:color="auto"/>
                <w:bottom w:val="none" w:sz="0" w:space="0" w:color="auto"/>
                <w:right w:val="none" w:sz="0" w:space="0" w:color="auto"/>
              </w:divBdr>
              <w:divsChild>
                <w:div w:id="3829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7165">
          <w:marLeft w:val="0"/>
          <w:marRight w:val="0"/>
          <w:marTop w:val="0"/>
          <w:marBottom w:val="0"/>
          <w:divBdr>
            <w:top w:val="none" w:sz="0" w:space="0" w:color="auto"/>
            <w:left w:val="none" w:sz="0" w:space="0" w:color="auto"/>
            <w:bottom w:val="none" w:sz="0" w:space="0" w:color="auto"/>
            <w:right w:val="none" w:sz="0" w:space="0" w:color="auto"/>
          </w:divBdr>
          <w:divsChild>
            <w:div w:id="722369207">
              <w:marLeft w:val="0"/>
              <w:marRight w:val="0"/>
              <w:marTop w:val="0"/>
              <w:marBottom w:val="0"/>
              <w:divBdr>
                <w:top w:val="none" w:sz="0" w:space="0" w:color="auto"/>
                <w:left w:val="none" w:sz="0" w:space="0" w:color="auto"/>
                <w:bottom w:val="none" w:sz="0" w:space="0" w:color="auto"/>
                <w:right w:val="none" w:sz="0" w:space="0" w:color="auto"/>
              </w:divBdr>
              <w:divsChild>
                <w:div w:id="1761297127">
                  <w:marLeft w:val="0"/>
                  <w:marRight w:val="0"/>
                  <w:marTop w:val="0"/>
                  <w:marBottom w:val="0"/>
                  <w:divBdr>
                    <w:top w:val="none" w:sz="0" w:space="0" w:color="auto"/>
                    <w:left w:val="none" w:sz="0" w:space="0" w:color="auto"/>
                    <w:bottom w:val="none" w:sz="0" w:space="0" w:color="auto"/>
                    <w:right w:val="none" w:sz="0" w:space="0" w:color="auto"/>
                  </w:divBdr>
                </w:div>
              </w:divsChild>
            </w:div>
            <w:div w:id="1015839157">
              <w:marLeft w:val="0"/>
              <w:marRight w:val="0"/>
              <w:marTop w:val="0"/>
              <w:marBottom w:val="0"/>
              <w:divBdr>
                <w:top w:val="none" w:sz="0" w:space="0" w:color="auto"/>
                <w:left w:val="none" w:sz="0" w:space="0" w:color="auto"/>
                <w:bottom w:val="none" w:sz="0" w:space="0" w:color="auto"/>
                <w:right w:val="none" w:sz="0" w:space="0" w:color="auto"/>
              </w:divBdr>
              <w:divsChild>
                <w:div w:id="17907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4402">
          <w:marLeft w:val="0"/>
          <w:marRight w:val="0"/>
          <w:marTop w:val="0"/>
          <w:marBottom w:val="0"/>
          <w:divBdr>
            <w:top w:val="none" w:sz="0" w:space="0" w:color="auto"/>
            <w:left w:val="none" w:sz="0" w:space="0" w:color="auto"/>
            <w:bottom w:val="none" w:sz="0" w:space="0" w:color="auto"/>
            <w:right w:val="none" w:sz="0" w:space="0" w:color="auto"/>
          </w:divBdr>
          <w:divsChild>
            <w:div w:id="1398936978">
              <w:marLeft w:val="0"/>
              <w:marRight w:val="0"/>
              <w:marTop w:val="0"/>
              <w:marBottom w:val="0"/>
              <w:divBdr>
                <w:top w:val="none" w:sz="0" w:space="0" w:color="auto"/>
                <w:left w:val="none" w:sz="0" w:space="0" w:color="auto"/>
                <w:bottom w:val="none" w:sz="0" w:space="0" w:color="auto"/>
                <w:right w:val="none" w:sz="0" w:space="0" w:color="auto"/>
              </w:divBdr>
              <w:divsChild>
                <w:div w:id="198132856">
                  <w:marLeft w:val="0"/>
                  <w:marRight w:val="0"/>
                  <w:marTop w:val="0"/>
                  <w:marBottom w:val="0"/>
                  <w:divBdr>
                    <w:top w:val="none" w:sz="0" w:space="0" w:color="auto"/>
                    <w:left w:val="none" w:sz="0" w:space="0" w:color="auto"/>
                    <w:bottom w:val="none" w:sz="0" w:space="0" w:color="auto"/>
                    <w:right w:val="none" w:sz="0" w:space="0" w:color="auto"/>
                  </w:divBdr>
                </w:div>
              </w:divsChild>
            </w:div>
            <w:div w:id="499006195">
              <w:marLeft w:val="0"/>
              <w:marRight w:val="0"/>
              <w:marTop w:val="0"/>
              <w:marBottom w:val="0"/>
              <w:divBdr>
                <w:top w:val="none" w:sz="0" w:space="0" w:color="auto"/>
                <w:left w:val="none" w:sz="0" w:space="0" w:color="auto"/>
                <w:bottom w:val="none" w:sz="0" w:space="0" w:color="auto"/>
                <w:right w:val="none" w:sz="0" w:space="0" w:color="auto"/>
              </w:divBdr>
              <w:divsChild>
                <w:div w:id="2115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8839">
          <w:marLeft w:val="0"/>
          <w:marRight w:val="0"/>
          <w:marTop w:val="0"/>
          <w:marBottom w:val="0"/>
          <w:divBdr>
            <w:top w:val="none" w:sz="0" w:space="0" w:color="auto"/>
            <w:left w:val="none" w:sz="0" w:space="0" w:color="auto"/>
            <w:bottom w:val="none" w:sz="0" w:space="0" w:color="auto"/>
            <w:right w:val="none" w:sz="0" w:space="0" w:color="auto"/>
          </w:divBdr>
          <w:divsChild>
            <w:div w:id="2134790769">
              <w:marLeft w:val="0"/>
              <w:marRight w:val="0"/>
              <w:marTop w:val="0"/>
              <w:marBottom w:val="0"/>
              <w:divBdr>
                <w:top w:val="none" w:sz="0" w:space="0" w:color="auto"/>
                <w:left w:val="none" w:sz="0" w:space="0" w:color="auto"/>
                <w:bottom w:val="none" w:sz="0" w:space="0" w:color="auto"/>
                <w:right w:val="none" w:sz="0" w:space="0" w:color="auto"/>
              </w:divBdr>
              <w:divsChild>
                <w:div w:id="866676407">
                  <w:marLeft w:val="0"/>
                  <w:marRight w:val="0"/>
                  <w:marTop w:val="0"/>
                  <w:marBottom w:val="0"/>
                  <w:divBdr>
                    <w:top w:val="none" w:sz="0" w:space="0" w:color="auto"/>
                    <w:left w:val="none" w:sz="0" w:space="0" w:color="auto"/>
                    <w:bottom w:val="none" w:sz="0" w:space="0" w:color="auto"/>
                    <w:right w:val="none" w:sz="0" w:space="0" w:color="auto"/>
                  </w:divBdr>
                </w:div>
              </w:divsChild>
            </w:div>
            <w:div w:id="1273047804">
              <w:marLeft w:val="0"/>
              <w:marRight w:val="0"/>
              <w:marTop w:val="0"/>
              <w:marBottom w:val="0"/>
              <w:divBdr>
                <w:top w:val="none" w:sz="0" w:space="0" w:color="auto"/>
                <w:left w:val="none" w:sz="0" w:space="0" w:color="auto"/>
                <w:bottom w:val="none" w:sz="0" w:space="0" w:color="auto"/>
                <w:right w:val="none" w:sz="0" w:space="0" w:color="auto"/>
              </w:divBdr>
              <w:divsChild>
                <w:div w:id="1687097067">
                  <w:marLeft w:val="0"/>
                  <w:marRight w:val="0"/>
                  <w:marTop w:val="0"/>
                  <w:marBottom w:val="0"/>
                  <w:divBdr>
                    <w:top w:val="none" w:sz="0" w:space="0" w:color="auto"/>
                    <w:left w:val="none" w:sz="0" w:space="0" w:color="auto"/>
                    <w:bottom w:val="none" w:sz="0" w:space="0" w:color="auto"/>
                    <w:right w:val="none" w:sz="0" w:space="0" w:color="auto"/>
                  </w:divBdr>
                </w:div>
                <w:div w:id="1268394261">
                  <w:marLeft w:val="0"/>
                  <w:marRight w:val="0"/>
                  <w:marTop w:val="0"/>
                  <w:marBottom w:val="0"/>
                  <w:divBdr>
                    <w:top w:val="none" w:sz="0" w:space="0" w:color="auto"/>
                    <w:left w:val="none" w:sz="0" w:space="0" w:color="auto"/>
                    <w:bottom w:val="none" w:sz="0" w:space="0" w:color="auto"/>
                    <w:right w:val="none" w:sz="0" w:space="0" w:color="auto"/>
                  </w:divBdr>
                </w:div>
                <w:div w:id="3734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82607">
          <w:marLeft w:val="0"/>
          <w:marRight w:val="0"/>
          <w:marTop w:val="0"/>
          <w:marBottom w:val="0"/>
          <w:divBdr>
            <w:top w:val="none" w:sz="0" w:space="0" w:color="auto"/>
            <w:left w:val="none" w:sz="0" w:space="0" w:color="auto"/>
            <w:bottom w:val="none" w:sz="0" w:space="0" w:color="auto"/>
            <w:right w:val="none" w:sz="0" w:space="0" w:color="auto"/>
          </w:divBdr>
          <w:divsChild>
            <w:div w:id="1941638493">
              <w:marLeft w:val="0"/>
              <w:marRight w:val="0"/>
              <w:marTop w:val="0"/>
              <w:marBottom w:val="0"/>
              <w:divBdr>
                <w:top w:val="none" w:sz="0" w:space="0" w:color="auto"/>
                <w:left w:val="none" w:sz="0" w:space="0" w:color="auto"/>
                <w:bottom w:val="none" w:sz="0" w:space="0" w:color="auto"/>
                <w:right w:val="none" w:sz="0" w:space="0" w:color="auto"/>
              </w:divBdr>
              <w:divsChild>
                <w:div w:id="1452212340">
                  <w:marLeft w:val="0"/>
                  <w:marRight w:val="0"/>
                  <w:marTop w:val="0"/>
                  <w:marBottom w:val="0"/>
                  <w:divBdr>
                    <w:top w:val="none" w:sz="0" w:space="0" w:color="auto"/>
                    <w:left w:val="none" w:sz="0" w:space="0" w:color="auto"/>
                    <w:bottom w:val="none" w:sz="0" w:space="0" w:color="auto"/>
                    <w:right w:val="none" w:sz="0" w:space="0" w:color="auto"/>
                  </w:divBdr>
                </w:div>
              </w:divsChild>
            </w:div>
            <w:div w:id="1872718190">
              <w:marLeft w:val="0"/>
              <w:marRight w:val="0"/>
              <w:marTop w:val="0"/>
              <w:marBottom w:val="0"/>
              <w:divBdr>
                <w:top w:val="none" w:sz="0" w:space="0" w:color="auto"/>
                <w:left w:val="none" w:sz="0" w:space="0" w:color="auto"/>
                <w:bottom w:val="none" w:sz="0" w:space="0" w:color="auto"/>
                <w:right w:val="none" w:sz="0" w:space="0" w:color="auto"/>
              </w:divBdr>
              <w:divsChild>
                <w:div w:id="682392325">
                  <w:marLeft w:val="0"/>
                  <w:marRight w:val="0"/>
                  <w:marTop w:val="0"/>
                  <w:marBottom w:val="0"/>
                  <w:divBdr>
                    <w:top w:val="none" w:sz="0" w:space="0" w:color="auto"/>
                    <w:left w:val="none" w:sz="0" w:space="0" w:color="auto"/>
                    <w:bottom w:val="none" w:sz="0" w:space="0" w:color="auto"/>
                    <w:right w:val="none" w:sz="0" w:space="0" w:color="auto"/>
                  </w:divBdr>
                </w:div>
                <w:div w:id="7431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294">
          <w:marLeft w:val="0"/>
          <w:marRight w:val="0"/>
          <w:marTop w:val="0"/>
          <w:marBottom w:val="0"/>
          <w:divBdr>
            <w:top w:val="none" w:sz="0" w:space="0" w:color="auto"/>
            <w:left w:val="none" w:sz="0" w:space="0" w:color="auto"/>
            <w:bottom w:val="none" w:sz="0" w:space="0" w:color="auto"/>
            <w:right w:val="none" w:sz="0" w:space="0" w:color="auto"/>
          </w:divBdr>
          <w:divsChild>
            <w:div w:id="675419417">
              <w:marLeft w:val="0"/>
              <w:marRight w:val="0"/>
              <w:marTop w:val="0"/>
              <w:marBottom w:val="0"/>
              <w:divBdr>
                <w:top w:val="none" w:sz="0" w:space="0" w:color="auto"/>
                <w:left w:val="none" w:sz="0" w:space="0" w:color="auto"/>
                <w:bottom w:val="none" w:sz="0" w:space="0" w:color="auto"/>
                <w:right w:val="none" w:sz="0" w:space="0" w:color="auto"/>
              </w:divBdr>
              <w:divsChild>
                <w:div w:id="1050689468">
                  <w:marLeft w:val="0"/>
                  <w:marRight w:val="0"/>
                  <w:marTop w:val="0"/>
                  <w:marBottom w:val="0"/>
                  <w:divBdr>
                    <w:top w:val="none" w:sz="0" w:space="0" w:color="auto"/>
                    <w:left w:val="none" w:sz="0" w:space="0" w:color="auto"/>
                    <w:bottom w:val="none" w:sz="0" w:space="0" w:color="auto"/>
                    <w:right w:val="none" w:sz="0" w:space="0" w:color="auto"/>
                  </w:divBdr>
                </w:div>
              </w:divsChild>
            </w:div>
            <w:div w:id="1499729442">
              <w:marLeft w:val="0"/>
              <w:marRight w:val="0"/>
              <w:marTop w:val="0"/>
              <w:marBottom w:val="0"/>
              <w:divBdr>
                <w:top w:val="none" w:sz="0" w:space="0" w:color="auto"/>
                <w:left w:val="none" w:sz="0" w:space="0" w:color="auto"/>
                <w:bottom w:val="none" w:sz="0" w:space="0" w:color="auto"/>
                <w:right w:val="none" w:sz="0" w:space="0" w:color="auto"/>
              </w:divBdr>
              <w:divsChild>
                <w:div w:id="1591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29821">
          <w:marLeft w:val="0"/>
          <w:marRight w:val="0"/>
          <w:marTop w:val="0"/>
          <w:marBottom w:val="0"/>
          <w:divBdr>
            <w:top w:val="none" w:sz="0" w:space="0" w:color="auto"/>
            <w:left w:val="none" w:sz="0" w:space="0" w:color="auto"/>
            <w:bottom w:val="none" w:sz="0" w:space="0" w:color="auto"/>
            <w:right w:val="none" w:sz="0" w:space="0" w:color="auto"/>
          </w:divBdr>
          <w:divsChild>
            <w:div w:id="71660121">
              <w:marLeft w:val="0"/>
              <w:marRight w:val="0"/>
              <w:marTop w:val="0"/>
              <w:marBottom w:val="0"/>
              <w:divBdr>
                <w:top w:val="none" w:sz="0" w:space="0" w:color="auto"/>
                <w:left w:val="none" w:sz="0" w:space="0" w:color="auto"/>
                <w:bottom w:val="none" w:sz="0" w:space="0" w:color="auto"/>
                <w:right w:val="none" w:sz="0" w:space="0" w:color="auto"/>
              </w:divBdr>
              <w:divsChild>
                <w:div w:id="466122500">
                  <w:marLeft w:val="0"/>
                  <w:marRight w:val="0"/>
                  <w:marTop w:val="0"/>
                  <w:marBottom w:val="0"/>
                  <w:divBdr>
                    <w:top w:val="none" w:sz="0" w:space="0" w:color="auto"/>
                    <w:left w:val="none" w:sz="0" w:space="0" w:color="auto"/>
                    <w:bottom w:val="none" w:sz="0" w:space="0" w:color="auto"/>
                    <w:right w:val="none" w:sz="0" w:space="0" w:color="auto"/>
                  </w:divBdr>
                </w:div>
              </w:divsChild>
            </w:div>
            <w:div w:id="1872181691">
              <w:marLeft w:val="0"/>
              <w:marRight w:val="0"/>
              <w:marTop w:val="0"/>
              <w:marBottom w:val="0"/>
              <w:divBdr>
                <w:top w:val="none" w:sz="0" w:space="0" w:color="auto"/>
                <w:left w:val="none" w:sz="0" w:space="0" w:color="auto"/>
                <w:bottom w:val="none" w:sz="0" w:space="0" w:color="auto"/>
                <w:right w:val="none" w:sz="0" w:space="0" w:color="auto"/>
              </w:divBdr>
              <w:divsChild>
                <w:div w:id="1482773055">
                  <w:marLeft w:val="0"/>
                  <w:marRight w:val="0"/>
                  <w:marTop w:val="0"/>
                  <w:marBottom w:val="0"/>
                  <w:divBdr>
                    <w:top w:val="none" w:sz="0" w:space="0" w:color="auto"/>
                    <w:left w:val="none" w:sz="0" w:space="0" w:color="auto"/>
                    <w:bottom w:val="none" w:sz="0" w:space="0" w:color="auto"/>
                    <w:right w:val="none" w:sz="0" w:space="0" w:color="auto"/>
                  </w:divBdr>
                </w:div>
                <w:div w:id="13456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24836">
          <w:marLeft w:val="0"/>
          <w:marRight w:val="0"/>
          <w:marTop w:val="0"/>
          <w:marBottom w:val="0"/>
          <w:divBdr>
            <w:top w:val="none" w:sz="0" w:space="0" w:color="auto"/>
            <w:left w:val="none" w:sz="0" w:space="0" w:color="auto"/>
            <w:bottom w:val="none" w:sz="0" w:space="0" w:color="auto"/>
            <w:right w:val="none" w:sz="0" w:space="0" w:color="auto"/>
          </w:divBdr>
          <w:divsChild>
            <w:div w:id="1359506062">
              <w:marLeft w:val="0"/>
              <w:marRight w:val="0"/>
              <w:marTop w:val="0"/>
              <w:marBottom w:val="0"/>
              <w:divBdr>
                <w:top w:val="none" w:sz="0" w:space="0" w:color="auto"/>
                <w:left w:val="none" w:sz="0" w:space="0" w:color="auto"/>
                <w:bottom w:val="none" w:sz="0" w:space="0" w:color="auto"/>
                <w:right w:val="none" w:sz="0" w:space="0" w:color="auto"/>
              </w:divBdr>
              <w:divsChild>
                <w:div w:id="465927529">
                  <w:marLeft w:val="0"/>
                  <w:marRight w:val="0"/>
                  <w:marTop w:val="0"/>
                  <w:marBottom w:val="0"/>
                  <w:divBdr>
                    <w:top w:val="none" w:sz="0" w:space="0" w:color="auto"/>
                    <w:left w:val="none" w:sz="0" w:space="0" w:color="auto"/>
                    <w:bottom w:val="none" w:sz="0" w:space="0" w:color="auto"/>
                    <w:right w:val="none" w:sz="0" w:space="0" w:color="auto"/>
                  </w:divBdr>
                </w:div>
              </w:divsChild>
            </w:div>
            <w:div w:id="1947419109">
              <w:marLeft w:val="0"/>
              <w:marRight w:val="0"/>
              <w:marTop w:val="0"/>
              <w:marBottom w:val="0"/>
              <w:divBdr>
                <w:top w:val="none" w:sz="0" w:space="0" w:color="auto"/>
                <w:left w:val="none" w:sz="0" w:space="0" w:color="auto"/>
                <w:bottom w:val="none" w:sz="0" w:space="0" w:color="auto"/>
                <w:right w:val="none" w:sz="0" w:space="0" w:color="auto"/>
              </w:divBdr>
              <w:divsChild>
                <w:div w:id="19663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327">
          <w:marLeft w:val="0"/>
          <w:marRight w:val="0"/>
          <w:marTop w:val="0"/>
          <w:marBottom w:val="0"/>
          <w:divBdr>
            <w:top w:val="none" w:sz="0" w:space="0" w:color="auto"/>
            <w:left w:val="none" w:sz="0" w:space="0" w:color="auto"/>
            <w:bottom w:val="none" w:sz="0" w:space="0" w:color="auto"/>
            <w:right w:val="none" w:sz="0" w:space="0" w:color="auto"/>
          </w:divBdr>
          <w:divsChild>
            <w:div w:id="1044140473">
              <w:marLeft w:val="0"/>
              <w:marRight w:val="0"/>
              <w:marTop w:val="0"/>
              <w:marBottom w:val="0"/>
              <w:divBdr>
                <w:top w:val="none" w:sz="0" w:space="0" w:color="auto"/>
                <w:left w:val="none" w:sz="0" w:space="0" w:color="auto"/>
                <w:bottom w:val="none" w:sz="0" w:space="0" w:color="auto"/>
                <w:right w:val="none" w:sz="0" w:space="0" w:color="auto"/>
              </w:divBdr>
              <w:divsChild>
                <w:div w:id="1814835739">
                  <w:marLeft w:val="0"/>
                  <w:marRight w:val="0"/>
                  <w:marTop w:val="0"/>
                  <w:marBottom w:val="0"/>
                  <w:divBdr>
                    <w:top w:val="none" w:sz="0" w:space="0" w:color="auto"/>
                    <w:left w:val="none" w:sz="0" w:space="0" w:color="auto"/>
                    <w:bottom w:val="none" w:sz="0" w:space="0" w:color="auto"/>
                    <w:right w:val="none" w:sz="0" w:space="0" w:color="auto"/>
                  </w:divBdr>
                </w:div>
              </w:divsChild>
            </w:div>
            <w:div w:id="1445465074">
              <w:marLeft w:val="0"/>
              <w:marRight w:val="0"/>
              <w:marTop w:val="0"/>
              <w:marBottom w:val="0"/>
              <w:divBdr>
                <w:top w:val="none" w:sz="0" w:space="0" w:color="auto"/>
                <w:left w:val="none" w:sz="0" w:space="0" w:color="auto"/>
                <w:bottom w:val="none" w:sz="0" w:space="0" w:color="auto"/>
                <w:right w:val="none" w:sz="0" w:space="0" w:color="auto"/>
              </w:divBdr>
              <w:divsChild>
                <w:div w:id="14935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7602">
          <w:marLeft w:val="0"/>
          <w:marRight w:val="0"/>
          <w:marTop w:val="0"/>
          <w:marBottom w:val="0"/>
          <w:divBdr>
            <w:top w:val="none" w:sz="0" w:space="0" w:color="auto"/>
            <w:left w:val="none" w:sz="0" w:space="0" w:color="auto"/>
            <w:bottom w:val="none" w:sz="0" w:space="0" w:color="auto"/>
            <w:right w:val="none" w:sz="0" w:space="0" w:color="auto"/>
          </w:divBdr>
          <w:divsChild>
            <w:div w:id="1024406188">
              <w:marLeft w:val="0"/>
              <w:marRight w:val="0"/>
              <w:marTop w:val="0"/>
              <w:marBottom w:val="0"/>
              <w:divBdr>
                <w:top w:val="none" w:sz="0" w:space="0" w:color="auto"/>
                <w:left w:val="none" w:sz="0" w:space="0" w:color="auto"/>
                <w:bottom w:val="none" w:sz="0" w:space="0" w:color="auto"/>
                <w:right w:val="none" w:sz="0" w:space="0" w:color="auto"/>
              </w:divBdr>
              <w:divsChild>
                <w:div w:id="997616435">
                  <w:marLeft w:val="0"/>
                  <w:marRight w:val="0"/>
                  <w:marTop w:val="0"/>
                  <w:marBottom w:val="0"/>
                  <w:divBdr>
                    <w:top w:val="none" w:sz="0" w:space="0" w:color="auto"/>
                    <w:left w:val="none" w:sz="0" w:space="0" w:color="auto"/>
                    <w:bottom w:val="none" w:sz="0" w:space="0" w:color="auto"/>
                    <w:right w:val="none" w:sz="0" w:space="0" w:color="auto"/>
                  </w:divBdr>
                </w:div>
              </w:divsChild>
            </w:div>
            <w:div w:id="1377195172">
              <w:marLeft w:val="0"/>
              <w:marRight w:val="0"/>
              <w:marTop w:val="0"/>
              <w:marBottom w:val="0"/>
              <w:divBdr>
                <w:top w:val="none" w:sz="0" w:space="0" w:color="auto"/>
                <w:left w:val="none" w:sz="0" w:space="0" w:color="auto"/>
                <w:bottom w:val="none" w:sz="0" w:space="0" w:color="auto"/>
                <w:right w:val="none" w:sz="0" w:space="0" w:color="auto"/>
              </w:divBdr>
              <w:divsChild>
                <w:div w:id="3059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061">
          <w:marLeft w:val="0"/>
          <w:marRight w:val="0"/>
          <w:marTop w:val="0"/>
          <w:marBottom w:val="0"/>
          <w:divBdr>
            <w:top w:val="none" w:sz="0" w:space="0" w:color="auto"/>
            <w:left w:val="none" w:sz="0" w:space="0" w:color="auto"/>
            <w:bottom w:val="none" w:sz="0" w:space="0" w:color="auto"/>
            <w:right w:val="none" w:sz="0" w:space="0" w:color="auto"/>
          </w:divBdr>
          <w:divsChild>
            <w:div w:id="2065326283">
              <w:marLeft w:val="0"/>
              <w:marRight w:val="0"/>
              <w:marTop w:val="0"/>
              <w:marBottom w:val="0"/>
              <w:divBdr>
                <w:top w:val="none" w:sz="0" w:space="0" w:color="auto"/>
                <w:left w:val="none" w:sz="0" w:space="0" w:color="auto"/>
                <w:bottom w:val="none" w:sz="0" w:space="0" w:color="auto"/>
                <w:right w:val="none" w:sz="0" w:space="0" w:color="auto"/>
              </w:divBdr>
              <w:divsChild>
                <w:div w:id="1259561961">
                  <w:marLeft w:val="0"/>
                  <w:marRight w:val="0"/>
                  <w:marTop w:val="0"/>
                  <w:marBottom w:val="0"/>
                  <w:divBdr>
                    <w:top w:val="none" w:sz="0" w:space="0" w:color="auto"/>
                    <w:left w:val="none" w:sz="0" w:space="0" w:color="auto"/>
                    <w:bottom w:val="none" w:sz="0" w:space="0" w:color="auto"/>
                    <w:right w:val="none" w:sz="0" w:space="0" w:color="auto"/>
                  </w:divBdr>
                </w:div>
              </w:divsChild>
            </w:div>
            <w:div w:id="861163398">
              <w:marLeft w:val="0"/>
              <w:marRight w:val="0"/>
              <w:marTop w:val="0"/>
              <w:marBottom w:val="0"/>
              <w:divBdr>
                <w:top w:val="none" w:sz="0" w:space="0" w:color="auto"/>
                <w:left w:val="none" w:sz="0" w:space="0" w:color="auto"/>
                <w:bottom w:val="none" w:sz="0" w:space="0" w:color="auto"/>
                <w:right w:val="none" w:sz="0" w:space="0" w:color="auto"/>
              </w:divBdr>
              <w:divsChild>
                <w:div w:id="443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09186">
          <w:marLeft w:val="0"/>
          <w:marRight w:val="0"/>
          <w:marTop w:val="0"/>
          <w:marBottom w:val="0"/>
          <w:divBdr>
            <w:top w:val="none" w:sz="0" w:space="0" w:color="auto"/>
            <w:left w:val="none" w:sz="0" w:space="0" w:color="auto"/>
            <w:bottom w:val="none" w:sz="0" w:space="0" w:color="auto"/>
            <w:right w:val="none" w:sz="0" w:space="0" w:color="auto"/>
          </w:divBdr>
          <w:divsChild>
            <w:div w:id="1477844279">
              <w:marLeft w:val="0"/>
              <w:marRight w:val="0"/>
              <w:marTop w:val="0"/>
              <w:marBottom w:val="0"/>
              <w:divBdr>
                <w:top w:val="none" w:sz="0" w:space="0" w:color="auto"/>
                <w:left w:val="none" w:sz="0" w:space="0" w:color="auto"/>
                <w:bottom w:val="none" w:sz="0" w:space="0" w:color="auto"/>
                <w:right w:val="none" w:sz="0" w:space="0" w:color="auto"/>
              </w:divBdr>
              <w:divsChild>
                <w:div w:id="20672312">
                  <w:marLeft w:val="0"/>
                  <w:marRight w:val="0"/>
                  <w:marTop w:val="0"/>
                  <w:marBottom w:val="0"/>
                  <w:divBdr>
                    <w:top w:val="none" w:sz="0" w:space="0" w:color="auto"/>
                    <w:left w:val="none" w:sz="0" w:space="0" w:color="auto"/>
                    <w:bottom w:val="none" w:sz="0" w:space="0" w:color="auto"/>
                    <w:right w:val="none" w:sz="0" w:space="0" w:color="auto"/>
                  </w:divBdr>
                </w:div>
              </w:divsChild>
            </w:div>
            <w:div w:id="270017151">
              <w:marLeft w:val="0"/>
              <w:marRight w:val="0"/>
              <w:marTop w:val="0"/>
              <w:marBottom w:val="0"/>
              <w:divBdr>
                <w:top w:val="none" w:sz="0" w:space="0" w:color="auto"/>
                <w:left w:val="none" w:sz="0" w:space="0" w:color="auto"/>
                <w:bottom w:val="none" w:sz="0" w:space="0" w:color="auto"/>
                <w:right w:val="none" w:sz="0" w:space="0" w:color="auto"/>
              </w:divBdr>
              <w:divsChild>
                <w:div w:id="16192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4608">
          <w:marLeft w:val="0"/>
          <w:marRight w:val="0"/>
          <w:marTop w:val="0"/>
          <w:marBottom w:val="0"/>
          <w:divBdr>
            <w:top w:val="none" w:sz="0" w:space="0" w:color="auto"/>
            <w:left w:val="none" w:sz="0" w:space="0" w:color="auto"/>
            <w:bottom w:val="none" w:sz="0" w:space="0" w:color="auto"/>
            <w:right w:val="none" w:sz="0" w:space="0" w:color="auto"/>
          </w:divBdr>
          <w:divsChild>
            <w:div w:id="1463380176">
              <w:marLeft w:val="0"/>
              <w:marRight w:val="0"/>
              <w:marTop w:val="0"/>
              <w:marBottom w:val="0"/>
              <w:divBdr>
                <w:top w:val="none" w:sz="0" w:space="0" w:color="auto"/>
                <w:left w:val="none" w:sz="0" w:space="0" w:color="auto"/>
                <w:bottom w:val="none" w:sz="0" w:space="0" w:color="auto"/>
                <w:right w:val="none" w:sz="0" w:space="0" w:color="auto"/>
              </w:divBdr>
              <w:divsChild>
                <w:div w:id="1192763964">
                  <w:marLeft w:val="0"/>
                  <w:marRight w:val="0"/>
                  <w:marTop w:val="0"/>
                  <w:marBottom w:val="0"/>
                  <w:divBdr>
                    <w:top w:val="none" w:sz="0" w:space="0" w:color="auto"/>
                    <w:left w:val="none" w:sz="0" w:space="0" w:color="auto"/>
                    <w:bottom w:val="none" w:sz="0" w:space="0" w:color="auto"/>
                    <w:right w:val="none" w:sz="0" w:space="0" w:color="auto"/>
                  </w:divBdr>
                </w:div>
              </w:divsChild>
            </w:div>
            <w:div w:id="329718424">
              <w:marLeft w:val="0"/>
              <w:marRight w:val="0"/>
              <w:marTop w:val="0"/>
              <w:marBottom w:val="0"/>
              <w:divBdr>
                <w:top w:val="none" w:sz="0" w:space="0" w:color="auto"/>
                <w:left w:val="none" w:sz="0" w:space="0" w:color="auto"/>
                <w:bottom w:val="none" w:sz="0" w:space="0" w:color="auto"/>
                <w:right w:val="none" w:sz="0" w:space="0" w:color="auto"/>
              </w:divBdr>
              <w:divsChild>
                <w:div w:id="35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8570">
      <w:bodyDiv w:val="1"/>
      <w:marLeft w:val="0"/>
      <w:marRight w:val="0"/>
      <w:marTop w:val="0"/>
      <w:marBottom w:val="0"/>
      <w:divBdr>
        <w:top w:val="none" w:sz="0" w:space="0" w:color="auto"/>
        <w:left w:val="none" w:sz="0" w:space="0" w:color="auto"/>
        <w:bottom w:val="none" w:sz="0" w:space="0" w:color="auto"/>
        <w:right w:val="none" w:sz="0" w:space="0" w:color="auto"/>
      </w:divBdr>
    </w:div>
    <w:div w:id="18208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2900</Words>
  <Characters>17402</Characters>
  <Application>Microsoft Office Word</Application>
  <DocSecurity>4</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Krawczyk</dc:creator>
  <cp:keywords/>
  <dc:description/>
  <cp:lastModifiedBy>Administracja</cp:lastModifiedBy>
  <cp:revision>2</cp:revision>
  <cp:lastPrinted>2023-12-04T11:45:00Z</cp:lastPrinted>
  <dcterms:created xsi:type="dcterms:W3CDTF">2023-12-04T11:48:00Z</dcterms:created>
  <dcterms:modified xsi:type="dcterms:W3CDTF">2023-12-04T11:48:00Z</dcterms:modified>
</cp:coreProperties>
</file>