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DB1E9" w14:textId="77777777" w:rsidR="00604C2A" w:rsidRPr="002C4193" w:rsidRDefault="00604C2A" w:rsidP="00E531A4">
      <w:pPr>
        <w:pStyle w:val="Nagwek5"/>
        <w:jc w:val="left"/>
        <w:rPr>
          <w:rFonts w:ascii="Times New Roman" w:hAnsi="Times New Roman"/>
          <w:sz w:val="22"/>
          <w:szCs w:val="22"/>
        </w:rPr>
      </w:pPr>
    </w:p>
    <w:p w14:paraId="6A9F0917" w14:textId="335A779E" w:rsidR="00E531A4" w:rsidRPr="00971493" w:rsidRDefault="00E531A4" w:rsidP="00B11F2B">
      <w:pPr>
        <w:pStyle w:val="Nagwek5"/>
        <w:jc w:val="left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 xml:space="preserve">Część III </w:t>
      </w:r>
      <w:r w:rsidR="00E72694">
        <w:rPr>
          <w:rFonts w:ascii="Fira Sans" w:hAnsi="Fira Sans"/>
          <w:sz w:val="22"/>
          <w:szCs w:val="22"/>
        </w:rPr>
        <w:t xml:space="preserve"> SWZ </w:t>
      </w:r>
      <w:r w:rsidRPr="00971493">
        <w:rPr>
          <w:rFonts w:ascii="Fira Sans" w:hAnsi="Fira Sans"/>
          <w:sz w:val="22"/>
          <w:szCs w:val="22"/>
        </w:rPr>
        <w:t xml:space="preserve"> Opis przedmiotu zamówienia</w:t>
      </w:r>
      <w:r w:rsidR="00AF3179">
        <w:rPr>
          <w:rFonts w:ascii="Fira Sans" w:hAnsi="Fira Sans"/>
          <w:sz w:val="22"/>
          <w:szCs w:val="22"/>
        </w:rPr>
        <w:t xml:space="preserve"> </w:t>
      </w:r>
      <w:r w:rsidR="00AF3179" w:rsidRPr="00AF3179">
        <w:rPr>
          <w:rFonts w:ascii="Fira Sans" w:hAnsi="Fira Sans"/>
          <w:color w:val="FF0000"/>
          <w:sz w:val="22"/>
          <w:szCs w:val="22"/>
        </w:rPr>
        <w:t>po zmianie z 19.04.2024r.</w:t>
      </w:r>
    </w:p>
    <w:p w14:paraId="722CA233" w14:textId="77777777" w:rsidR="00CC7A8E" w:rsidRPr="00971493" w:rsidRDefault="00CC7A8E" w:rsidP="00B11F2B">
      <w:pPr>
        <w:rPr>
          <w:rFonts w:ascii="Fira Sans" w:hAnsi="Fira Sans"/>
          <w:sz w:val="22"/>
          <w:szCs w:val="22"/>
        </w:rPr>
      </w:pPr>
    </w:p>
    <w:p w14:paraId="35577F7B" w14:textId="6C981AB7" w:rsidR="00CC7A8E" w:rsidRPr="00971493" w:rsidRDefault="00E531A4" w:rsidP="00B11F2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 xml:space="preserve">Przedmiotem zamówienia jest dostawa </w:t>
      </w:r>
      <w:r w:rsidR="00E72694" w:rsidRPr="00E72694">
        <w:rPr>
          <w:rFonts w:ascii="Fira Sans" w:hAnsi="Fira Sans"/>
          <w:sz w:val="22"/>
          <w:szCs w:val="22"/>
        </w:rPr>
        <w:t xml:space="preserve">odczynników do wykonania ok. 371 500  oznaczeń  morfologii (w tym 117 000 oznaczeń CBC, 241 000 oznaczeń CBC+5 </w:t>
      </w:r>
      <w:proofErr w:type="spellStart"/>
      <w:r w:rsidR="00E72694" w:rsidRPr="00E72694">
        <w:rPr>
          <w:rFonts w:ascii="Fira Sans" w:hAnsi="Fira Sans"/>
          <w:sz w:val="22"/>
          <w:szCs w:val="22"/>
        </w:rPr>
        <w:t>Diff</w:t>
      </w:r>
      <w:proofErr w:type="spellEnd"/>
      <w:r w:rsidR="00E72694" w:rsidRPr="00E72694">
        <w:rPr>
          <w:rFonts w:ascii="Fira Sans" w:hAnsi="Fira Sans"/>
          <w:sz w:val="22"/>
          <w:szCs w:val="22"/>
        </w:rPr>
        <w:t xml:space="preserve"> oraz 12 000 oznaczeń CBC+5DIFF+RET), 36 000 rozmazów oraz 1500 oznaczeń komórek macierzystych w okresie 36 miesięcy wraz z dzierżawą linii hematologicznej składającej się z: analizatora hematologicznego, urządzenia do automatycznego wykonywania i barwienia rozmazów krwi, urządzenia do elektronicznej weryfikacji rozmazów oraz z backupowego analizatora pomocniczego do oznaczania parametrów morfologii krwi</w:t>
      </w:r>
      <w:r w:rsidR="00E72694">
        <w:rPr>
          <w:rFonts w:ascii="Fira Sans" w:hAnsi="Fira Sans"/>
          <w:sz w:val="22"/>
          <w:szCs w:val="22"/>
        </w:rPr>
        <w:t>.</w:t>
      </w:r>
      <w:r w:rsidRPr="00971493">
        <w:rPr>
          <w:rFonts w:ascii="Fira Sans" w:hAnsi="Fira Sans"/>
          <w:sz w:val="22"/>
          <w:szCs w:val="22"/>
        </w:rPr>
        <w:t xml:space="preserve"> </w:t>
      </w:r>
    </w:p>
    <w:p w14:paraId="0347592D" w14:textId="77777777" w:rsidR="00BA5D2B" w:rsidRPr="00971493" w:rsidRDefault="00BA5D2B" w:rsidP="00BA5D2B">
      <w:pPr>
        <w:jc w:val="both"/>
        <w:rPr>
          <w:rFonts w:ascii="Fira Sans" w:hAnsi="Fira Sans"/>
          <w:sz w:val="22"/>
          <w:szCs w:val="22"/>
        </w:rPr>
      </w:pPr>
    </w:p>
    <w:p w14:paraId="6334BC42" w14:textId="77777777" w:rsidR="00CC7A8E" w:rsidRPr="00971493" w:rsidRDefault="00E531A4" w:rsidP="00B11F2B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 xml:space="preserve">Wszelkie czynności i prace związane z montażem, rozmieszczeniem i instalacją, oferowanego przez Wykonawcę przedmiotu dostawy, niezbędne do prawidłowego i zgodnego z przeznaczeniem funkcjonowania przedmiotu zamówienia Wykonawca zobowiązany jest uwzględnić w cenie oferty. </w:t>
      </w:r>
    </w:p>
    <w:p w14:paraId="7927108F" w14:textId="77777777" w:rsidR="00BA5D2B" w:rsidRPr="00971493" w:rsidRDefault="00BA5D2B" w:rsidP="00BA5D2B">
      <w:pPr>
        <w:jc w:val="both"/>
        <w:rPr>
          <w:rFonts w:ascii="Fira Sans" w:hAnsi="Fira Sans"/>
          <w:sz w:val="22"/>
          <w:szCs w:val="22"/>
        </w:rPr>
      </w:pPr>
    </w:p>
    <w:p w14:paraId="6AB333F6" w14:textId="77777777" w:rsidR="00E531A4" w:rsidRPr="00971493" w:rsidRDefault="00E531A4" w:rsidP="00B11F2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Fira Sans" w:hAnsi="Fira Sans"/>
          <w:b/>
          <w:sz w:val="22"/>
          <w:szCs w:val="22"/>
        </w:rPr>
      </w:pPr>
      <w:r w:rsidRPr="00971493">
        <w:rPr>
          <w:rFonts w:ascii="Fira Sans" w:hAnsi="Fira Sans"/>
          <w:b/>
          <w:sz w:val="22"/>
          <w:szCs w:val="22"/>
        </w:rPr>
        <w:t>Szkolenie personelu:</w:t>
      </w:r>
    </w:p>
    <w:p w14:paraId="77DD4180" w14:textId="77777777" w:rsidR="00E531A4" w:rsidRPr="00971493" w:rsidRDefault="00E531A4" w:rsidP="00B11F2B">
      <w:pPr>
        <w:ind w:left="426"/>
        <w:jc w:val="both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>Wykonawca zobowiązany jest do przeprowadze</w:t>
      </w:r>
      <w:r w:rsidR="006B6DEB" w:rsidRPr="00971493">
        <w:rPr>
          <w:rFonts w:ascii="Fira Sans" w:hAnsi="Fira Sans"/>
          <w:sz w:val="22"/>
          <w:szCs w:val="22"/>
        </w:rPr>
        <w:t xml:space="preserve">nia szkolenia personelu </w:t>
      </w:r>
      <w:r w:rsidR="00A90641" w:rsidRPr="00971493">
        <w:rPr>
          <w:rFonts w:ascii="Fira Sans" w:hAnsi="Fira Sans"/>
          <w:sz w:val="22"/>
          <w:szCs w:val="22"/>
        </w:rPr>
        <w:t>Zamawiającego</w:t>
      </w:r>
      <w:r w:rsidRPr="00971493">
        <w:rPr>
          <w:rFonts w:ascii="Fira Sans" w:hAnsi="Fira Sans"/>
          <w:sz w:val="22"/>
          <w:szCs w:val="22"/>
        </w:rPr>
        <w:t xml:space="preserve"> z zakresu prawidłowej eksploatacji przedmiotu zamówienia. </w:t>
      </w:r>
    </w:p>
    <w:p w14:paraId="7E26C33B" w14:textId="77777777" w:rsidR="00E531A4" w:rsidRPr="00971493" w:rsidRDefault="00E531A4" w:rsidP="00B11F2B">
      <w:pPr>
        <w:ind w:left="426"/>
        <w:jc w:val="both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 xml:space="preserve">Wykonawca zobowiązany jest zapewnić niezbędny sprzęt do przeprowadzenia szkoleń w siedzibie Odbiorcy, </w:t>
      </w:r>
      <w:r w:rsidRPr="00AF3179">
        <w:rPr>
          <w:rFonts w:ascii="Fira Sans" w:hAnsi="Fira Sans"/>
          <w:strike/>
          <w:sz w:val="22"/>
          <w:szCs w:val="22"/>
        </w:rPr>
        <w:t xml:space="preserve">jak również materiały eksploatacyjne (tzw. Pakiet rozruchowy </w:t>
      </w:r>
      <w:r w:rsidR="00A90641" w:rsidRPr="00AF3179">
        <w:rPr>
          <w:rFonts w:ascii="Fira Sans" w:hAnsi="Fira Sans"/>
          <w:strike/>
          <w:sz w:val="22"/>
          <w:szCs w:val="22"/>
        </w:rPr>
        <w:t>– jeśli jest wymagany)</w:t>
      </w:r>
      <w:r w:rsidR="00A90641" w:rsidRPr="00971493">
        <w:rPr>
          <w:rFonts w:ascii="Fira Sans" w:hAnsi="Fira Sans"/>
          <w:sz w:val="22"/>
          <w:szCs w:val="22"/>
        </w:rPr>
        <w:t>. Zamawiający</w:t>
      </w:r>
      <w:r w:rsidRPr="00971493">
        <w:rPr>
          <w:rFonts w:ascii="Fira Sans" w:hAnsi="Fira Sans"/>
          <w:sz w:val="22"/>
          <w:szCs w:val="22"/>
        </w:rPr>
        <w:t xml:space="preserve"> ze swojej strony zapewni wyłącznie miejsce do przeprowadzenia szkoleń.</w:t>
      </w:r>
    </w:p>
    <w:p w14:paraId="301CB8D4" w14:textId="77777777" w:rsidR="00CC7A8E" w:rsidRPr="00971493" w:rsidRDefault="00E531A4" w:rsidP="00B11F2B">
      <w:pPr>
        <w:ind w:left="426"/>
        <w:jc w:val="both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 xml:space="preserve">Zamawiający dopuszcza przeprowadzenie </w:t>
      </w:r>
      <w:r w:rsidR="00A90641" w:rsidRPr="00971493">
        <w:rPr>
          <w:rFonts w:ascii="Fira Sans" w:hAnsi="Fira Sans"/>
          <w:sz w:val="22"/>
          <w:szCs w:val="22"/>
        </w:rPr>
        <w:t xml:space="preserve">szkolenia poza siedzibą </w:t>
      </w:r>
      <w:r w:rsidR="00E408CE" w:rsidRPr="00971493">
        <w:rPr>
          <w:rFonts w:ascii="Fira Sans" w:hAnsi="Fira Sans"/>
          <w:sz w:val="22"/>
          <w:szCs w:val="22"/>
        </w:rPr>
        <w:t>Zamawiającego</w:t>
      </w:r>
      <w:r w:rsidRPr="00971493">
        <w:rPr>
          <w:rFonts w:ascii="Fira Sans" w:hAnsi="Fira Sans"/>
          <w:sz w:val="22"/>
          <w:szCs w:val="22"/>
        </w:rPr>
        <w:t>. W takim przypadku wszelkie koszty związane ze szkoleniem ponosi Wykonawca. Zamawiający przyjmuje, że koszty szkolenia Wykonawca uwzględnił w składanej ofercie.</w:t>
      </w:r>
    </w:p>
    <w:p w14:paraId="58EB635F" w14:textId="77777777" w:rsidR="009F740D" w:rsidRPr="00971493" w:rsidRDefault="009F740D" w:rsidP="00B11F2B">
      <w:pPr>
        <w:rPr>
          <w:rFonts w:ascii="Fira Sans" w:hAnsi="Fira Sans"/>
          <w:sz w:val="22"/>
          <w:szCs w:val="22"/>
        </w:rPr>
      </w:pPr>
    </w:p>
    <w:p w14:paraId="595022DB" w14:textId="77777777" w:rsidR="00056525" w:rsidRPr="00971493" w:rsidRDefault="00B1535E" w:rsidP="0005652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Fira Sans" w:hAnsi="Fira Sans"/>
          <w:b/>
          <w:sz w:val="22"/>
          <w:szCs w:val="22"/>
        </w:rPr>
      </w:pPr>
      <w:r w:rsidRPr="00971493">
        <w:rPr>
          <w:rFonts w:ascii="Fira Sans" w:hAnsi="Fira Sans"/>
          <w:b/>
          <w:sz w:val="22"/>
          <w:szCs w:val="22"/>
        </w:rPr>
        <w:t>Wymagane parametry przedmiotu</w:t>
      </w:r>
      <w:r w:rsidR="00056525" w:rsidRPr="00971493">
        <w:rPr>
          <w:rFonts w:ascii="Fira Sans" w:hAnsi="Fira Sans"/>
          <w:b/>
          <w:sz w:val="22"/>
          <w:szCs w:val="22"/>
        </w:rPr>
        <w:t xml:space="preserve"> zamówienia.</w:t>
      </w:r>
    </w:p>
    <w:p w14:paraId="7256023F" w14:textId="77777777" w:rsidR="00056525" w:rsidRPr="00971493" w:rsidRDefault="00056525" w:rsidP="00056525">
      <w:pPr>
        <w:ind w:firstLine="426"/>
        <w:jc w:val="both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>Poniższe tabele z parametrami wymaganymi musi wypełnić Wykonawca i dołączyć do oferty.</w:t>
      </w:r>
    </w:p>
    <w:p w14:paraId="68A13128" w14:textId="77777777" w:rsidR="005F3C8B" w:rsidRPr="00971493" w:rsidRDefault="00056525" w:rsidP="00FA788C">
      <w:pPr>
        <w:ind w:left="426"/>
        <w:jc w:val="both"/>
        <w:rPr>
          <w:rFonts w:ascii="Fira Sans" w:hAnsi="Fira Sans"/>
          <w:sz w:val="22"/>
          <w:szCs w:val="22"/>
        </w:rPr>
      </w:pPr>
      <w:r w:rsidRPr="00971493">
        <w:rPr>
          <w:rFonts w:ascii="Fira Sans" w:hAnsi="Fira Sans"/>
          <w:sz w:val="22"/>
          <w:szCs w:val="22"/>
        </w:rPr>
        <w:t xml:space="preserve">Parametry podane w </w:t>
      </w:r>
      <w:r w:rsidR="00B1535E" w:rsidRPr="00971493">
        <w:rPr>
          <w:rFonts w:ascii="Fira Sans" w:hAnsi="Fira Sans"/>
          <w:sz w:val="22"/>
          <w:szCs w:val="22"/>
        </w:rPr>
        <w:t>tabeli</w:t>
      </w:r>
      <w:r w:rsidRPr="00971493">
        <w:rPr>
          <w:rFonts w:ascii="Fira Sans" w:hAnsi="Fira Sans"/>
          <w:b/>
          <w:sz w:val="22"/>
          <w:szCs w:val="22"/>
        </w:rPr>
        <w:t xml:space="preserve"> </w:t>
      </w:r>
      <w:r w:rsidRPr="00971493">
        <w:rPr>
          <w:rFonts w:ascii="Fira Sans" w:hAnsi="Fira Sans"/>
          <w:sz w:val="22"/>
          <w:szCs w:val="22"/>
        </w:rPr>
        <w:t xml:space="preserve">stanowią </w:t>
      </w:r>
      <w:r w:rsidRPr="00971493">
        <w:rPr>
          <w:rFonts w:ascii="Fira Sans" w:hAnsi="Fira Sans"/>
          <w:b/>
          <w:sz w:val="22"/>
          <w:szCs w:val="22"/>
          <w:u w:val="single"/>
        </w:rPr>
        <w:t>minimalne</w:t>
      </w:r>
      <w:r w:rsidRPr="00971493">
        <w:rPr>
          <w:rFonts w:ascii="Fira Sans" w:hAnsi="Fira Sans"/>
          <w:sz w:val="22"/>
          <w:szCs w:val="22"/>
        </w:rPr>
        <w:t xml:space="preserve"> wymagania graniczne (odcinające), których niespełnienie spowoduje odrzucenie oferty. Brak wpisu w rubryce </w:t>
      </w:r>
      <w:r w:rsidRPr="00971493">
        <w:rPr>
          <w:rFonts w:ascii="Fira Sans" w:hAnsi="Fira Sans"/>
          <w:b/>
          <w:sz w:val="22"/>
          <w:szCs w:val="22"/>
        </w:rPr>
        <w:t>„Parametry oferowane”</w:t>
      </w:r>
      <w:r w:rsidRPr="00971493">
        <w:rPr>
          <w:rFonts w:ascii="Fira Sans" w:hAnsi="Fira Sans"/>
          <w:sz w:val="22"/>
          <w:szCs w:val="22"/>
        </w:rPr>
        <w:t xml:space="preserve"> zostanie potraktowany jako niespełnienie parametru skutkujące odrzuceniem oferty.</w:t>
      </w:r>
    </w:p>
    <w:p w14:paraId="0AE7B88E" w14:textId="77777777" w:rsidR="00B1535E" w:rsidRPr="00971493" w:rsidRDefault="00B1535E" w:rsidP="005C5F4F">
      <w:pPr>
        <w:pStyle w:val="Tekstpodstawowy"/>
        <w:jc w:val="center"/>
        <w:rPr>
          <w:rFonts w:ascii="Fira Sans" w:hAnsi="Fira Sans"/>
          <w:b/>
          <w:color w:val="000000"/>
          <w:sz w:val="22"/>
          <w:szCs w:val="22"/>
        </w:rPr>
      </w:pPr>
    </w:p>
    <w:p w14:paraId="24EB1A36" w14:textId="77777777" w:rsidR="005654DC" w:rsidRDefault="005654DC" w:rsidP="005654DC">
      <w:pPr>
        <w:pStyle w:val="Tekstpodstawowy"/>
        <w:rPr>
          <w:b/>
          <w:color w:val="000000"/>
          <w:szCs w:val="24"/>
        </w:rPr>
      </w:pPr>
    </w:p>
    <w:p w14:paraId="3E344E4E" w14:textId="77777777" w:rsidR="00E72694" w:rsidRPr="0085010C" w:rsidRDefault="00E72694" w:rsidP="00E72694">
      <w:pPr>
        <w:spacing w:line="276" w:lineRule="auto"/>
        <w:rPr>
          <w:rFonts w:ascii="Fira Sans" w:hAnsi="Fira Sans"/>
          <w:color w:val="000000"/>
          <w:sz w:val="22"/>
          <w:szCs w:val="22"/>
        </w:rPr>
      </w:pPr>
    </w:p>
    <w:p w14:paraId="77ACE844" w14:textId="77777777" w:rsidR="00E72694" w:rsidRPr="0085010C" w:rsidRDefault="00E72694" w:rsidP="00E72694">
      <w:pPr>
        <w:pStyle w:val="Nagwek2"/>
        <w:spacing w:line="276" w:lineRule="auto"/>
        <w:rPr>
          <w:rFonts w:ascii="Fira Sans" w:hAnsi="Fira Sans"/>
          <w:sz w:val="22"/>
          <w:szCs w:val="22"/>
        </w:rPr>
      </w:pPr>
      <w:r w:rsidRPr="0085010C">
        <w:rPr>
          <w:rFonts w:ascii="Fira Sans" w:hAnsi="Fira Sans"/>
          <w:color w:val="000000"/>
          <w:sz w:val="22"/>
          <w:szCs w:val="22"/>
          <w:u w:val="single"/>
        </w:rPr>
        <w:t xml:space="preserve">Analizator podstawowy 5 </w:t>
      </w:r>
      <w:proofErr w:type="spellStart"/>
      <w:r w:rsidRPr="0085010C">
        <w:rPr>
          <w:rFonts w:ascii="Fira Sans" w:hAnsi="Fira Sans"/>
          <w:color w:val="000000"/>
          <w:sz w:val="22"/>
          <w:szCs w:val="22"/>
          <w:u w:val="single"/>
        </w:rPr>
        <w:t>diff</w:t>
      </w:r>
      <w:proofErr w:type="spellEnd"/>
      <w:r w:rsidRPr="0085010C">
        <w:rPr>
          <w:rFonts w:ascii="Fira Sans" w:hAnsi="Fira Sans"/>
          <w:color w:val="000000"/>
          <w:sz w:val="22"/>
          <w:szCs w:val="22"/>
          <w:u w:val="single"/>
        </w:rPr>
        <w:t>;</w:t>
      </w:r>
      <w:r w:rsidRPr="0085010C">
        <w:rPr>
          <w:rFonts w:ascii="Fira Sans" w:hAnsi="Fira Sans"/>
          <w:b w:val="0"/>
          <w:color w:val="000000"/>
          <w:sz w:val="22"/>
          <w:szCs w:val="22"/>
        </w:rPr>
        <w:t xml:space="preserve"> Typ: ……….</w:t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  <w:t>Rok produkcji:……...</w:t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  <w:t>Producent:……………</w:t>
      </w:r>
    </w:p>
    <w:p w14:paraId="3F57620D" w14:textId="77777777" w:rsidR="00E72694" w:rsidRPr="0085010C" w:rsidRDefault="00E72694" w:rsidP="00E72694">
      <w:pPr>
        <w:spacing w:line="276" w:lineRule="auto"/>
        <w:rPr>
          <w:rFonts w:ascii="Fira Sans" w:hAnsi="Fira Sans"/>
          <w:color w:val="000000"/>
          <w:sz w:val="22"/>
          <w:szCs w:val="22"/>
          <w:lang w:eastAsia="x-none"/>
        </w:rPr>
      </w:pPr>
    </w:p>
    <w:p w14:paraId="1659758D" w14:textId="77777777" w:rsidR="00E72694" w:rsidRPr="0085010C" w:rsidRDefault="00E72694" w:rsidP="00E72694">
      <w:pPr>
        <w:pStyle w:val="Nagwek2"/>
        <w:spacing w:line="276" w:lineRule="auto"/>
        <w:rPr>
          <w:rFonts w:ascii="Fira Sans" w:hAnsi="Fira Sans"/>
          <w:sz w:val="22"/>
          <w:szCs w:val="22"/>
        </w:rPr>
      </w:pPr>
      <w:r w:rsidRPr="0085010C">
        <w:rPr>
          <w:rFonts w:ascii="Fira Sans" w:hAnsi="Fira Sans"/>
          <w:color w:val="000000"/>
          <w:sz w:val="22"/>
          <w:szCs w:val="22"/>
          <w:u w:val="single"/>
        </w:rPr>
        <w:t xml:space="preserve">Analizator wspomagający 5 </w:t>
      </w:r>
      <w:proofErr w:type="spellStart"/>
      <w:r w:rsidRPr="0085010C">
        <w:rPr>
          <w:rFonts w:ascii="Fira Sans" w:hAnsi="Fira Sans"/>
          <w:color w:val="000000"/>
          <w:sz w:val="22"/>
          <w:szCs w:val="22"/>
          <w:u w:val="single"/>
        </w:rPr>
        <w:t>diff</w:t>
      </w:r>
      <w:proofErr w:type="spellEnd"/>
      <w:r w:rsidRPr="0085010C">
        <w:rPr>
          <w:rFonts w:ascii="Fira Sans" w:hAnsi="Fira Sans"/>
          <w:b w:val="0"/>
          <w:color w:val="000000"/>
          <w:sz w:val="22"/>
          <w:szCs w:val="22"/>
        </w:rPr>
        <w:t>; Typ:………</w:t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  <w:t>Rok produkcji:………</w:t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</w:r>
      <w:r w:rsidRPr="0085010C">
        <w:rPr>
          <w:rFonts w:ascii="Fira Sans" w:hAnsi="Fira Sans"/>
          <w:b w:val="0"/>
          <w:color w:val="000000"/>
          <w:sz w:val="22"/>
          <w:szCs w:val="22"/>
        </w:rPr>
        <w:tab/>
        <w:t>Producent:……...........</w:t>
      </w:r>
    </w:p>
    <w:p w14:paraId="5F311E11" w14:textId="77777777" w:rsidR="00E72694" w:rsidRPr="0085010C" w:rsidRDefault="00E72694" w:rsidP="00E72694">
      <w:pPr>
        <w:spacing w:line="276" w:lineRule="auto"/>
        <w:rPr>
          <w:rFonts w:ascii="Fira Sans" w:hAnsi="Fira Sans"/>
          <w:sz w:val="22"/>
          <w:szCs w:val="22"/>
        </w:rPr>
      </w:pPr>
    </w:p>
    <w:p w14:paraId="7A5B64F7" w14:textId="77777777" w:rsidR="00E72694" w:rsidRPr="0085010C" w:rsidRDefault="00E72694" w:rsidP="00E72694">
      <w:pPr>
        <w:spacing w:line="276" w:lineRule="auto"/>
        <w:rPr>
          <w:rFonts w:ascii="Fira Sans" w:hAnsi="Fira Sans"/>
          <w:sz w:val="22"/>
          <w:szCs w:val="22"/>
          <w:lang w:eastAsia="x-none"/>
        </w:rPr>
      </w:pPr>
    </w:p>
    <w:tbl>
      <w:tblPr>
        <w:tblW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0531"/>
        <w:gridCol w:w="1581"/>
        <w:gridCol w:w="1647"/>
      </w:tblGrid>
      <w:tr w:rsidR="00E72694" w:rsidRPr="0085010C" w14:paraId="16FE7479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4787" w14:textId="77777777" w:rsidR="00E72694" w:rsidRPr="0085010C" w:rsidRDefault="00E72694" w:rsidP="00784745">
            <w:pPr>
              <w:pStyle w:val="Nagwek8"/>
              <w:spacing w:line="276" w:lineRule="auto"/>
              <w:rPr>
                <w:rFonts w:ascii="Fira Sans" w:hAnsi="Fira Sans"/>
                <w:b w:val="0"/>
                <w:sz w:val="22"/>
                <w:szCs w:val="22"/>
              </w:rPr>
            </w:pPr>
          </w:p>
        </w:tc>
        <w:tc>
          <w:tcPr>
            <w:tcW w:w="1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B9D2" w14:textId="77777777" w:rsidR="00E72694" w:rsidRPr="0085010C" w:rsidRDefault="00E72694" w:rsidP="00784745">
            <w:pPr>
              <w:pStyle w:val="Nagwek8"/>
              <w:spacing w:line="276" w:lineRule="auto"/>
              <w:rPr>
                <w:rFonts w:ascii="Fira Sans" w:hAnsi="Fira Sans"/>
                <w:b w:val="0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Parametry graniczne dla linii hematologicznej składającej się z: analizatora hematologicznego, urządzenia do automatycznego wykonywania i barwienia rozmazów krwi, urządzenia do elektronicznej weryfikacji rozmazów oraz z backupowego analizatora pomocniczego do oznaczania parametrów morfologii krwi </w:t>
            </w:r>
          </w:p>
        </w:tc>
      </w:tr>
      <w:tr w:rsidR="00E72694" w:rsidRPr="0085010C" w14:paraId="60324250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0EDD" w14:textId="77777777" w:rsidR="00E72694" w:rsidRPr="0085010C" w:rsidRDefault="00E72694" w:rsidP="00784745">
            <w:pPr>
              <w:pStyle w:val="Nagwek8"/>
              <w:spacing w:line="276" w:lineRule="auto"/>
              <w:rPr>
                <w:rFonts w:ascii="Fira Sans" w:hAnsi="Fira Sans"/>
                <w:b w:val="0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Lp.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0403" w14:textId="77777777" w:rsidR="00E72694" w:rsidRPr="0085010C" w:rsidRDefault="00E72694" w:rsidP="00784745">
            <w:pPr>
              <w:pStyle w:val="Nagwek8"/>
              <w:spacing w:line="276" w:lineRule="auto"/>
              <w:rPr>
                <w:rFonts w:ascii="Fira Sans" w:hAnsi="Fira Sans"/>
                <w:b w:val="0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PARAMETRY GRANICZNE AUTOMATYCZNEGO  ANALIZATORA HEMATOLOGICZNEGO PODSTAWOWEGO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A4C1" w14:textId="77777777" w:rsidR="00E72694" w:rsidRPr="0085010C" w:rsidRDefault="00E72694" w:rsidP="00784745">
            <w:pPr>
              <w:pStyle w:val="Nagwek8"/>
              <w:spacing w:line="276" w:lineRule="auto"/>
              <w:rPr>
                <w:rFonts w:ascii="Fira Sans" w:hAnsi="Fira Sans"/>
                <w:b w:val="0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PARAMETRY WYMAGANE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6CC2" w14:textId="77777777" w:rsidR="00E72694" w:rsidRPr="0085010C" w:rsidRDefault="00E72694" w:rsidP="00784745">
            <w:pPr>
              <w:pStyle w:val="Nagwek8"/>
              <w:spacing w:line="276" w:lineRule="auto"/>
              <w:rPr>
                <w:rFonts w:ascii="Fira Sans" w:hAnsi="Fira Sans"/>
                <w:b w:val="0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PARAMETRY OFEROWANE</w:t>
            </w:r>
          </w:p>
        </w:tc>
      </w:tr>
      <w:tr w:rsidR="00E72694" w:rsidRPr="0085010C" w14:paraId="5F8390D0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F03A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898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Analizator hematologiczny do analizy morfologii krwi obwodowej, fabrycznie nowy, rok produkcji 2023/2024 połączony podajnikiem z fabrycznie nowym urządzeniem do automatycznego wykonywania i barwienia rozmazów oraz urządzeniem fabrycznie nowym do cyfrowej weryfikacji rozmazów krwi.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038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D3D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685DA80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58FF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1BE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Wydajność analizatora dla morfologii w trybie CBC- 5 DIFF 100 oznaczeń na godzinę.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807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685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55B86CB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34DE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16B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Wydajność oznaczenia w profilu CBC+5DIFF+RET nie mniejsza niż 80 oznaczeń na godzinę.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642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788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EDA2A7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C76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9F7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Automatyczny analizator pozwalający na wydawanie minimum 30 parametrów morfologii krwi, w tym raportowanych i przesyłanych do LIS (jako parametry diagnostyczne): WBC, RBC, HGB, HCT, MCV, MCH, MCHC, PLT, NEUT%,#, LYMPH%,#, MONO%,#, EO%,#, BASO%,#, RDW-SD, RDW-CV, MPV, P-LCR, PDW, PCT, IG%,#, NRBC%,#,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MicroR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MacroR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8028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55E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C50CBBD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6C2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B6A2" w14:textId="4B703DBD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Standaryzacja oznaczeń niedojrzałych trombocytów – automatyczne wykrywanie i oznaczanie trombocytów metodą o bardzo wysokiej czułości</w:t>
            </w:r>
            <w:r w:rsidR="001200BF">
              <w:rPr>
                <w:rFonts w:ascii="Fira Sans" w:hAnsi="Fira Sans"/>
                <w:sz w:val="22"/>
                <w:szCs w:val="22"/>
              </w:rPr>
              <w:t>.</w:t>
            </w:r>
            <w:r w:rsidRPr="0085010C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53F8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395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D03CA2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006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5B1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Weryfikacja wyniku PLT krwi metodą pomiarową o potwierdzonym, wysokim współczynniku korelacji z metodą referencyjną (CD41/61), z wykorzystaniem dedykowanego odczynnika ze znacznikiem fluorescencyjnym charakterystycznym do płytek krwi.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5BDE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3DA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153AD7C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E58C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329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Oznaczanie frakcji płytek niedojrzałych IPF (%,#) - frakcja niedojrzałych płytek umożliwiająca ocenę liczby młodych płytek, niezależnej od liczby PLT, jako parametr diagnostyczny i raportowany na wyniku.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486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B1A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BEF20CF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4902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D633" w14:textId="2BFD6A42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RET (%,#) -  automatyczna analiza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retikulocytów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z różnicowaniem w zależności od stopnia dojrzałości (zawartość RNA) i raportowaniem indeksu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retikulocytarnego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(IRF)</w:t>
            </w:r>
            <w:r w:rsidR="001200BF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41C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AA8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7C19CF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681C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DBE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RET – He – automatyczny pomiar zawartości hemoglobiny w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retikulocycie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, do monitorowania anemii z niedoboru żelaza, uzyskany wynik przesyłany do LIS jako parametr diagnostyczny.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1B2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A8B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0439A5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EFF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C0D3" w14:textId="4B888B5E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Dowolny wybór opcji pracy analizatora w trybie: CBC, CBC+DIFF, C</w:t>
            </w:r>
            <w:r w:rsidRPr="00AF3179">
              <w:rPr>
                <w:rFonts w:ascii="Fira Sans" w:hAnsi="Fira Sans"/>
                <w:strike/>
                <w:sz w:val="22"/>
                <w:szCs w:val="22"/>
              </w:rPr>
              <w:t>D</w:t>
            </w:r>
            <w:r w:rsidR="00AF3179" w:rsidRPr="00AF3179">
              <w:rPr>
                <w:rFonts w:ascii="Fira Sans" w:hAnsi="Fira Sans"/>
                <w:color w:val="FF0000"/>
                <w:sz w:val="22"/>
                <w:szCs w:val="22"/>
              </w:rPr>
              <w:t>B</w:t>
            </w:r>
            <w:r w:rsidRPr="0085010C">
              <w:rPr>
                <w:rFonts w:ascii="Fira Sans" w:hAnsi="Fira Sans"/>
                <w:sz w:val="22"/>
                <w:szCs w:val="22"/>
              </w:rPr>
              <w:t xml:space="preserve">C+RET, CBC+DIFF+RET, </w:t>
            </w:r>
            <w:r w:rsidRPr="00AF3179">
              <w:rPr>
                <w:rFonts w:ascii="Fira Sans" w:hAnsi="Fira Sans"/>
                <w:strike/>
                <w:color w:val="FF0000"/>
                <w:sz w:val="22"/>
                <w:szCs w:val="22"/>
              </w:rPr>
              <w:t>RET.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66A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BBD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0428A86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2CD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AB1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Oznaczanie w płynach z jam ciała i PMR liczby leukocytów i ich różnicowaniem na komórki jądrzaste  oraz erytrocytów – parametry diagnostyczne przesyłane do LIS. Oznaczania płynów z jam ciała i PMR bez stosowania dodatkowych odczynników.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9F64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8E9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34917AB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3C0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A4D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Oznaczanie parametrów diagnostycznych: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Hypo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–He,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Hyper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–He, Delta–He, RBC–He, PLT–O – liczba płytek krwi mierzona metodą optyczną.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08C7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7C0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1686DD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C4C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CEF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Dedykowany tryb do pomiaru i weryfikacji próbek patologicznych (nieprawidłowości układu WBC), umożliwiający różnicowanie zmian o charakterze reaktywnym i złośliwym oraz umożliwiający ocenę stanu układu odpornościowego.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07A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E89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4BEDA2F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50F4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92E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Pomiar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hematopoetyczny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komórek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progenitorowych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HPC (%,#) we krwi obwodowej, metoda pomiaru korelująca z oznaczeniem CD34, wynik pomiaru jako parametr diagnostyczny przesyłany do LIS i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zwalidowany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przez producenta.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A83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5ECE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A7BE2AA" w14:textId="77777777" w:rsidTr="00E72694">
        <w:trPr>
          <w:cantSplit/>
          <w:trHeight w:val="7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EC4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4A4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Pomiar parametrów diagnostycznych określonych ilościowo, stan aktywacji neutrofili oraz limfocytów reaktywnych i syntetyzujących przeciwciała, pomocne w szybkim diagnozowaniu i różnicowaniu stanów zapalnych i infekcji. Parametry te powinny być mierzone z wykorzystaniem fluorescencyjnej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cytometrii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przepływowej i być dostępne w rutynowym badaniu morfologii (CBC+5DIFF).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F0E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1AA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DEB9196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9E12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24B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Liczba erytroblastów (%,#) z automatyczną korektą liczby WBC – korekta WBC o NRBC również w trybie CBC.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EE1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4E8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77F93F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28D1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C78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Analizator wyposażony w osobny tryb pracy dla próbek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leukopenicznych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, z możliwością manualnego wyboru z menu przez użytkownika. Wybrane próbki mogą być analizowane w tym trybie w oparciu o decyzję użytkownika, niezależnie od kryteriów (progów) ustawionych w modułach i bez konieczności ich modyfikacji do tego celu.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15B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98E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0DFE76A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072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50D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Automatyczne mycie igły pobierającej po każdym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zaaspirowaniu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próbki.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DF1C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05F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6E3726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8089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D60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Bezcjankowy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odczynnik do oznaczania hemoglobiny.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6EE4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FB7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19C334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840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CE1F" w14:textId="74CD5818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Pomiar frakcji niedojrzałych granulocytów IG (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metamielocyty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, mielocyty,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promielocyty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) jako odrębnej populacji wyrażanej w wartościach bezwzględnych (#) i procentowych (%) w stosunku do ogólnej liczby </w:t>
            </w:r>
            <w:r w:rsidRPr="00AF3179">
              <w:rPr>
                <w:rFonts w:ascii="Fira Sans" w:hAnsi="Fira Sans"/>
                <w:strike/>
                <w:sz w:val="22"/>
                <w:szCs w:val="22"/>
              </w:rPr>
              <w:t>granulocytów</w:t>
            </w:r>
            <w:r w:rsidR="00AF3179">
              <w:rPr>
                <w:rFonts w:ascii="Fira Sans" w:hAnsi="Fira Sans"/>
                <w:strike/>
                <w:sz w:val="22"/>
                <w:szCs w:val="22"/>
              </w:rPr>
              <w:t xml:space="preserve"> </w:t>
            </w:r>
            <w:r w:rsidR="00AF3179" w:rsidRPr="00AF3179">
              <w:rPr>
                <w:rFonts w:ascii="Fira Sans" w:hAnsi="Fira Sans"/>
                <w:color w:val="FF0000"/>
                <w:sz w:val="22"/>
                <w:szCs w:val="22"/>
              </w:rPr>
              <w:t>leu</w:t>
            </w:r>
            <w:r w:rsidR="00AF3179">
              <w:rPr>
                <w:rFonts w:ascii="Fira Sans" w:hAnsi="Fira Sans"/>
                <w:color w:val="FF0000"/>
                <w:sz w:val="22"/>
                <w:szCs w:val="22"/>
              </w:rPr>
              <w:t>k</w:t>
            </w:r>
            <w:r w:rsidR="00AF3179" w:rsidRPr="00AF3179">
              <w:rPr>
                <w:rFonts w:ascii="Fira Sans" w:hAnsi="Fira Sans"/>
                <w:color w:val="FF0000"/>
                <w:sz w:val="22"/>
                <w:szCs w:val="22"/>
              </w:rPr>
              <w:t>ocytów.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6E9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EC2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A265E49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79C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1C2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Automatyczny pomiar oraz różnicowanie WBC przy użyciu technologii fluorescencyjnej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cytometrii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przepływowej z wykorzystaniem światła lasera.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52A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5B0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6BC28D0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CD3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A7B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Wymagane zakresy liniowości oznaczeń dla próbek pierwotnych, bez rozcieńczania, z pierwszego podstawienia dla krwi obwodowej:</w:t>
            </w:r>
          </w:p>
          <w:p w14:paraId="11BC327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WBC do co najmniej 400 x 10</w:t>
            </w:r>
            <w:r w:rsidRPr="0085010C">
              <w:rPr>
                <w:rFonts w:ascii="Fira Sans" w:hAnsi="Fira Sans"/>
                <w:sz w:val="22"/>
                <w:szCs w:val="22"/>
                <w:vertAlign w:val="superscript"/>
              </w:rPr>
              <w:t>3/</w:t>
            </w:r>
            <w:r w:rsidRPr="0085010C">
              <w:rPr>
                <w:rFonts w:ascii="Fira Sans" w:hAnsi="Fira Sans"/>
                <w:sz w:val="22"/>
                <w:szCs w:val="22"/>
              </w:rPr>
              <w:t>µl.</w:t>
            </w:r>
          </w:p>
          <w:p w14:paraId="7BE8BE2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PLT do co najmniej 5000 x 10</w:t>
            </w:r>
            <w:r w:rsidRPr="0085010C">
              <w:rPr>
                <w:rFonts w:ascii="Fira Sans" w:hAnsi="Fira Sans"/>
                <w:sz w:val="22"/>
                <w:szCs w:val="22"/>
                <w:vertAlign w:val="superscript"/>
              </w:rPr>
              <w:t>3</w:t>
            </w:r>
            <w:r w:rsidRPr="0085010C">
              <w:rPr>
                <w:rFonts w:ascii="Fira Sans" w:hAnsi="Fira Sans"/>
                <w:sz w:val="22"/>
                <w:szCs w:val="22"/>
              </w:rPr>
              <w:t xml:space="preserve"> µl.</w:t>
            </w:r>
          </w:p>
          <w:p w14:paraId="2AD467A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RBC do co najmniej 8,6 mln/µl.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C756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F00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4CCFC2F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9F76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3AE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Objętość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aspirowanej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próbki w trybie CBC-5DIFF z automatycznego podajnika i manualnie nie więcej niż 100 µl.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4D6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F77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1AD033A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4A0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B5CE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Krew kontrolna dla parametrów krwi obwodowej producenta analizatorów, dostępna w probówkach systemu zamkniętego, dostosowana do pracy z automatycznym podajnikiem, dostępna na trzech poziomach (wysoki, normalny, niski). Wymagany jeden wspólny materiał kontrolny do kontroli oznaczeń podstawowych parametrów morfologii krwi, różnicowania leukocytów, oznaczania parametrów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retikulocytarnych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wraz z liczbą płytek optycznych oznaczanych w kanale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retikulocytarnym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oraz liczbą płytek mierzonych w kanale fluorescencyjnym.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4958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A6E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EF9DC32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132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9EE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Krew kontrolna skalkulowana zgodnie z terminem, w którym parametry oznaczeń nie przekraczają wyznaczonych przez producenta i określonych w arkuszu oznaczeń dopuszczalnych zakresów gwarantujących prawidłową pracę analizatora.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138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568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57783CC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46B4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276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Oprogramowanie analizatora obejmujące system kontroli jakości według systemu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Levey-Jenningsa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i X-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BarM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92B9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9EE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850E247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0E9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81E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Podajnik próbek na co najmniej  50 próbek oczekujących na analizę, z możliwością ciągłego dostawiania nowych próbek bez konieczności przerywania cyklu pomiarowego, ani zatrzymywania pracy podajnika. Możliwość stosowania jednocześnie w trybie podajnikowym różnych typów probówek zamkniętych systemów pobrań. Możliwość oznaczania pojedynczych próbek w systemie podajnikowym.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61B9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B1C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9CF89C2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A69E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D9A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Statywy dostosowane do różnego rodzaju systemów zamkniętych pobierania krwi (w tym próbek z podniesionym dnem - RBT)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BEF3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6A5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E55B7C1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9344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95F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Analizator wyposażony w czytnik kodów kreskowych do odczytu z probówek oznaczanych z podajnika oraz do probówek podstawianych w trybie manualnym.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46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38B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010638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1BB6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029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Dodatkowo Wykonawca dostarczy: system podtrzymania napięcia UPS, drukarkę laserową (kolor wydruku czarno-biały).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1CC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6B9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3ADF389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626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935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Oprogramowania umożliwiające zarządzanie odczynnikami-szacowanie przez system zużycia odczynników wraz z podaniem w formie graficznej na monitorze informacji o poziomie ich zużycia w czasie wykonywania rutynowej pracy.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16A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5C5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778566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BED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F3EE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Wykonawca zapewni moduł serwisowy do zdalnego dostępu, w celu kontrolowania, serwisowania pracy modułów oraz wsparcia technicznego i merytorycznego.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F4E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730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A3F025B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106C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CDC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Podłączenie analizatora do LIS na koszt Wykonawcy (komunikacja dwukierunkowa).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731A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8E4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8A89D4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2392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489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Instalacja, uruchomienie analizatora oraz szkolenie w zakresie obsługi przeprowadzone przez autoryzowane przedstawicielstwo producenta, zakończone wystawieniem certyfikatów. Dodatkowo szkolenia dla personelu laboratorium z interpretacji wyników uzyskanych z analizatora.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DA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29C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3D1A05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421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9CDC" w14:textId="6F987DD9" w:rsidR="00E72694" w:rsidRPr="0085010C" w:rsidRDefault="00E72694" w:rsidP="00784745">
            <w:pPr>
              <w:pStyle w:val="Stopka"/>
              <w:spacing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Witryna chłodnicza z chłodzeniem obiegowym rok produkcji nie starszy niż 2022 ; 600x696x2027 mm 449/422 l;</w:t>
            </w:r>
            <w:r w:rsidRPr="0085010C">
              <w:rPr>
                <w:rFonts w:ascii="Fira Sans" w:hAnsi="Fira Sans"/>
                <w:b/>
                <w:bCs/>
                <w:sz w:val="22"/>
                <w:szCs w:val="22"/>
              </w:rPr>
              <w:t xml:space="preserve"> </w:t>
            </w:r>
            <w:r w:rsidRPr="0085010C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621C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C33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43B4ABA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6D9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00BC" w14:textId="4156E18D" w:rsidR="00E72694" w:rsidRPr="0085010C" w:rsidRDefault="00E72694" w:rsidP="00784745">
            <w:pPr>
              <w:widowControl w:val="0"/>
              <w:suppressLineNumbers/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Drukarka do kodów jako niezbędne wyposażenie analizatorów, </w:t>
            </w:r>
            <w:r w:rsidRPr="0085010C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260D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C75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05C3F9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726C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838E" w14:textId="06448E4E" w:rsidR="00E72694" w:rsidRPr="0085010C" w:rsidRDefault="00E72694" w:rsidP="00784745">
            <w:pPr>
              <w:pStyle w:val="Stopka"/>
              <w:widowControl w:val="0"/>
              <w:suppressLineNumbers/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Urządzenie wielofunkcyjne (</w:t>
            </w:r>
            <w:r w:rsidRPr="0085010C">
              <w:rPr>
                <w:rFonts w:ascii="Fira Sans" w:hAnsi="Fira Sans"/>
                <w:sz w:val="22"/>
                <w:szCs w:val="22"/>
              </w:rPr>
              <w:t xml:space="preserve">drukowanie dwustronnych dokumentów oraz skanowanie, kopiowanie i faksowanie) </w:t>
            </w:r>
            <w:r w:rsidRPr="0085010C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D520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EDB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7D07AAD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FB6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F103" w14:textId="77777777" w:rsidR="00E72694" w:rsidRPr="0085010C" w:rsidRDefault="00E72694" w:rsidP="00784745">
            <w:pPr>
              <w:pStyle w:val="Stopka"/>
              <w:spacing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Klimatyzator wraz z podłączeniem do pracowni hematologicznej o kubaturze ok 30 m </w:t>
            </w:r>
            <w:r w:rsidRPr="0085010C">
              <w:rPr>
                <w:rFonts w:ascii="Fira Sans" w:hAnsi="Fira Sans"/>
                <w:sz w:val="22"/>
                <w:szCs w:val="22"/>
                <w:vertAlign w:val="superscript"/>
              </w:rPr>
              <w:t>2</w:t>
            </w:r>
            <w:r w:rsidRPr="0085010C">
              <w:rPr>
                <w:rFonts w:ascii="Fira Sans" w:hAnsi="Fira Sans"/>
                <w:sz w:val="22"/>
                <w:szCs w:val="22"/>
              </w:rPr>
              <w:t xml:space="preserve"> </w:t>
            </w:r>
            <w:r w:rsidRPr="0085010C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D73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D5C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9BB2EB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25F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B2B9" w14:textId="77777777" w:rsidR="00E72694" w:rsidRPr="0085010C" w:rsidRDefault="00E72694" w:rsidP="00784745">
            <w:pPr>
              <w:pStyle w:val="Stopka"/>
              <w:widowControl w:val="0"/>
              <w:suppressLineNumbers/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2 fotele do stanowisk do obsługi systemu </w:t>
            </w:r>
            <w:r w:rsidRPr="0085010C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15B6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AAEE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6DE42C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526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3C0E" w14:textId="7C0AE622" w:rsidR="00E72694" w:rsidRPr="00940C0F" w:rsidRDefault="00E72694" w:rsidP="00940C0F">
            <w:pPr>
              <w:widowControl w:val="0"/>
              <w:suppressLineNumbers/>
              <w:spacing w:after="160" w:line="276" w:lineRule="auto"/>
              <w:jc w:val="both"/>
              <w:rPr>
                <w:rFonts w:ascii="Fira Sans" w:hAnsi="Fira Sans"/>
                <w:spacing w:val="-1"/>
                <w:sz w:val="22"/>
                <w:szCs w:val="22"/>
              </w:rPr>
            </w:pPr>
            <w:r w:rsidRPr="0085010C">
              <w:rPr>
                <w:rFonts w:ascii="Fira Sans" w:hAnsi="Fira Sans"/>
                <w:color w:val="000000"/>
                <w:spacing w:val="-1"/>
                <w:sz w:val="22"/>
                <w:szCs w:val="22"/>
              </w:rPr>
              <w:t>1 Lapto</w:t>
            </w:r>
            <w:r w:rsidRPr="00FE300E">
              <w:rPr>
                <w:rFonts w:ascii="Fira Sans" w:hAnsi="Fira Sans"/>
                <w:spacing w:val="-1"/>
                <w:sz w:val="22"/>
                <w:szCs w:val="22"/>
              </w:rPr>
              <w:t>p</w:t>
            </w:r>
            <w:r w:rsidR="001D7ACC" w:rsidRP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Pr="00FE300E">
              <w:rPr>
                <w:rFonts w:ascii="Fira Sans" w:hAnsi="Fira Sans"/>
                <w:spacing w:val="-1"/>
                <w:sz w:val="22"/>
                <w:szCs w:val="22"/>
              </w:rPr>
              <w:t xml:space="preserve">o parametrach wyświetlacz minimum 15,6, </w:t>
            </w:r>
            <w:r w:rsidR="00940C0F" w:rsidRPr="00FE300E">
              <w:rPr>
                <w:rFonts w:ascii="Fira Sans" w:hAnsi="Fira Sans"/>
                <w:spacing w:val="-1"/>
                <w:sz w:val="22"/>
                <w:szCs w:val="22"/>
              </w:rPr>
              <w:t xml:space="preserve">minimum </w:t>
            </w:r>
            <w:r w:rsidRPr="00FE300E">
              <w:rPr>
                <w:rFonts w:ascii="Fira Sans" w:hAnsi="Fira Sans"/>
                <w:spacing w:val="-1"/>
                <w:sz w:val="22"/>
                <w:szCs w:val="22"/>
              </w:rPr>
              <w:t xml:space="preserve">procesor </w:t>
            </w:r>
            <w:r w:rsidR="00940C0F" w:rsidRPr="00940C0F">
              <w:rPr>
                <w:rFonts w:ascii="Fira Sans" w:hAnsi="Fira Sans"/>
                <w:spacing w:val="-1"/>
                <w:sz w:val="22"/>
                <w:szCs w:val="22"/>
              </w:rPr>
              <w:t xml:space="preserve">posiadający 6 rdzeni i 12 wątków, </w:t>
            </w:r>
            <w:r w:rsidR="00940C0F">
              <w:rPr>
                <w:rFonts w:ascii="Fira Sans" w:hAnsi="Fira Sans"/>
                <w:spacing w:val="-1"/>
                <w:sz w:val="22"/>
                <w:szCs w:val="22"/>
              </w:rPr>
              <w:t>c</w:t>
            </w:r>
            <w:r w:rsidR="00940C0F" w:rsidRPr="00940C0F">
              <w:rPr>
                <w:rFonts w:ascii="Fira Sans" w:hAnsi="Fira Sans"/>
                <w:spacing w:val="-1"/>
                <w:sz w:val="22"/>
                <w:szCs w:val="22"/>
              </w:rPr>
              <w:t>zęstotliwość taktowania procesora 2.6 GHz.</w:t>
            </w:r>
            <w:r w:rsidR="00940C0F">
              <w:rPr>
                <w:rFonts w:ascii="Fira Sans" w:hAnsi="Fira Sans"/>
                <w:spacing w:val="-1"/>
                <w:sz w:val="22"/>
                <w:szCs w:val="22"/>
              </w:rPr>
              <w:t xml:space="preserve">, </w:t>
            </w:r>
            <w:r w:rsidRPr="00FE300E">
              <w:rPr>
                <w:rFonts w:ascii="Fira Sans" w:hAnsi="Fira Sans"/>
                <w:spacing w:val="-1"/>
                <w:sz w:val="22"/>
                <w:szCs w:val="22"/>
              </w:rPr>
              <w:t xml:space="preserve">minimum 11 generacji, dysk SSD, pamięć RAM min. 16 GB, pojemność dysku minimum 512 GB, grafika FHD, bezterminowe oprogramowanie MS Office min. 2016 Prof. </w:t>
            </w:r>
            <w:r w:rsidR="001D7ACC" w:rsidRPr="00FE300E">
              <w:rPr>
                <w:rFonts w:ascii="Fira Sans" w:hAnsi="Fira Sans"/>
                <w:spacing w:val="-1"/>
                <w:sz w:val="22"/>
                <w:szCs w:val="22"/>
              </w:rPr>
              <w:t>o</w:t>
            </w:r>
            <w:r w:rsidRPr="00FE300E">
              <w:rPr>
                <w:rFonts w:ascii="Fira Sans" w:hAnsi="Fira Sans"/>
                <w:spacing w:val="-1"/>
                <w:sz w:val="22"/>
                <w:szCs w:val="22"/>
              </w:rPr>
              <w:t>raz Windows 11 Pro, po zakończeniu umowy z przekazaniem na własność zamawiającego.</w:t>
            </w:r>
          </w:p>
          <w:p w14:paraId="74E392C4" w14:textId="43E1E638" w:rsidR="001D7ACC" w:rsidRPr="001D7ACC" w:rsidRDefault="001D7ACC" w:rsidP="001D7ACC">
            <w:pPr>
              <w:widowControl w:val="0"/>
              <w:suppressLineNumbers/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1D7ACC">
              <w:rPr>
                <w:rFonts w:ascii="Fira Sans" w:hAnsi="Fira Sans"/>
                <w:sz w:val="22"/>
                <w:szCs w:val="22"/>
              </w:rPr>
              <w:t>Microsoft Windows 11 PR</w:t>
            </w:r>
            <w:r>
              <w:rPr>
                <w:rFonts w:ascii="Fira Sans" w:hAnsi="Fira Sans"/>
                <w:sz w:val="22"/>
                <w:szCs w:val="22"/>
              </w:rPr>
              <w:t xml:space="preserve">O </w:t>
            </w:r>
            <w:r w:rsidRPr="001D7ACC">
              <w:rPr>
                <w:rFonts w:ascii="Fira Sans" w:hAnsi="Fira Sans"/>
                <w:sz w:val="22"/>
                <w:szCs w:val="22"/>
              </w:rPr>
              <w:t>Parametry równoważności:</w:t>
            </w:r>
            <w:r>
              <w:rPr>
                <w:rFonts w:ascii="Fira Sans" w:hAnsi="Fira Sans"/>
                <w:sz w:val="22"/>
                <w:szCs w:val="22"/>
              </w:rPr>
              <w:t xml:space="preserve"> </w:t>
            </w:r>
            <w:r w:rsidRPr="001D7ACC">
              <w:rPr>
                <w:rFonts w:ascii="Fira Sans" w:hAnsi="Fira Sans"/>
                <w:sz w:val="22"/>
                <w:szCs w:val="22"/>
              </w:rPr>
              <w:t>pełna integracja z domeną Active Directory MS Windows opartą na serwerach Windows Serwer 2022</w:t>
            </w:r>
            <w:r>
              <w:rPr>
                <w:rFonts w:ascii="Fira Sans" w:hAnsi="Fira Sans"/>
                <w:sz w:val="22"/>
                <w:szCs w:val="22"/>
              </w:rPr>
              <w:t xml:space="preserve">, </w:t>
            </w:r>
            <w:r w:rsidRPr="001D7ACC">
              <w:rPr>
                <w:rFonts w:ascii="Fira Sans" w:hAnsi="Fira Sans"/>
                <w:sz w:val="22"/>
                <w:szCs w:val="22"/>
              </w:rPr>
              <w:t>zarządzanie komputerami poprzez Zasady Grup GPO, WMI</w:t>
            </w:r>
            <w:r>
              <w:rPr>
                <w:rFonts w:ascii="Fira Sans" w:hAnsi="Fira Sans"/>
                <w:sz w:val="22"/>
                <w:szCs w:val="22"/>
              </w:rPr>
              <w:t xml:space="preserve">, </w:t>
            </w:r>
            <w:r w:rsidRPr="001D7ACC">
              <w:rPr>
                <w:rFonts w:ascii="Fira Sans" w:hAnsi="Fira Sans"/>
                <w:sz w:val="22"/>
                <w:szCs w:val="22"/>
              </w:rPr>
              <w:t>pełna obsługa ActiveX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  <w:p w14:paraId="20944CC6" w14:textId="44BFB8DE" w:rsidR="00E50E8F" w:rsidRPr="00FE300E" w:rsidRDefault="001D7ACC" w:rsidP="00FE300E">
            <w:pPr>
              <w:widowControl w:val="0"/>
              <w:suppressLineNumbers/>
              <w:spacing w:after="160" w:line="276" w:lineRule="auto"/>
              <w:jc w:val="both"/>
              <w:rPr>
                <w:rFonts w:ascii="Fira Sans" w:hAnsi="Fira Sans"/>
                <w:spacing w:val="-1"/>
                <w:sz w:val="22"/>
                <w:szCs w:val="22"/>
              </w:rPr>
            </w:pPr>
            <w:r w:rsidRPr="001D7ACC">
              <w:rPr>
                <w:rFonts w:ascii="Fira Sans" w:hAnsi="Fira Sans"/>
                <w:spacing w:val="-1"/>
                <w:sz w:val="22"/>
                <w:szCs w:val="22"/>
              </w:rPr>
              <w:t>MS Office min. 2016 Prof.</w:t>
            </w:r>
            <w:r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Pr="001D7ACC">
              <w:rPr>
                <w:rFonts w:ascii="Fira Sans" w:hAnsi="Fira Sans"/>
                <w:spacing w:val="-1"/>
                <w:sz w:val="22"/>
                <w:szCs w:val="22"/>
              </w:rPr>
              <w:t>Parametry równoważności: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Pakiet biurowy musi spełniać następujące wymagania poprzez wbudowane mechanizmy, bez użycia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dodatkowych aplikacji: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Musi zawierać co najmniej następujące komponenty: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edytor tekstu,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arkusz kalkulacyjny,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program do przygotowywania i prowadzenia prezentacji,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program do zarządzania informacją przez użytkownika (pocztą elektroniczną, kalendarzem,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kontaktami i zadaniami). Wszystkie komponenty oferowanego pakietu biurowego muszą być integralną częścią tego samego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pakietu, współpracować ze sobą (osadzanie i wymiana danych), posiadać jednolity interfejs oraz ten sam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 xml:space="preserve"> </w:t>
            </w:r>
            <w:r w:rsidR="00FE300E" w:rsidRPr="00FE300E">
              <w:rPr>
                <w:rFonts w:ascii="Fira Sans" w:hAnsi="Fira Sans"/>
                <w:spacing w:val="-1"/>
                <w:sz w:val="22"/>
                <w:szCs w:val="22"/>
              </w:rPr>
              <w:t>jednolity sposób obsługi</w:t>
            </w:r>
            <w:r w:rsidR="00FE300E">
              <w:rPr>
                <w:rFonts w:ascii="Fira Sans" w:hAnsi="Fira Sans"/>
                <w:spacing w:val="-1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133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AD5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AB7B28F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051C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EDF2" w14:textId="72805B74" w:rsidR="00E72694" w:rsidRPr="0085010C" w:rsidRDefault="00E72694" w:rsidP="00784745">
            <w:pPr>
              <w:widowControl w:val="0"/>
              <w:suppressLineNumbers/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eastAsia="Andale Sans UI" w:hAnsi="Fira Sans"/>
                <w:color w:val="000000"/>
                <w:sz w:val="22"/>
                <w:szCs w:val="22"/>
              </w:rPr>
              <w:t xml:space="preserve">W przypadku analizatora </w:t>
            </w:r>
            <w:proofErr w:type="spellStart"/>
            <w:r w:rsidRPr="0085010C">
              <w:rPr>
                <w:rFonts w:ascii="Fira Sans" w:eastAsia="Andale Sans UI" w:hAnsi="Fira Sans"/>
                <w:color w:val="000000"/>
                <w:sz w:val="22"/>
                <w:szCs w:val="22"/>
              </w:rPr>
              <w:t>nastołowego</w:t>
            </w:r>
            <w:proofErr w:type="spellEnd"/>
            <w:r w:rsidRPr="0085010C">
              <w:rPr>
                <w:rFonts w:ascii="Fira Sans" w:eastAsia="Andale Sans UI" w:hAnsi="Fira Sans"/>
                <w:color w:val="000000"/>
                <w:sz w:val="22"/>
                <w:szCs w:val="22"/>
              </w:rPr>
              <w:t xml:space="preserve"> </w:t>
            </w:r>
            <w:r w:rsidR="00E50E8F" w:rsidRPr="00E50E8F">
              <w:rPr>
                <w:rFonts w:ascii="Fira Sans" w:eastAsia="Andale Sans UI" w:hAnsi="Fira Sans"/>
                <w:color w:val="000000"/>
                <w:sz w:val="22"/>
                <w:szCs w:val="22"/>
              </w:rPr>
              <w:t>Wykonawc</w:t>
            </w:r>
            <w:r w:rsidR="00E50E8F">
              <w:rPr>
                <w:rFonts w:ascii="Fira Sans" w:eastAsia="Andale Sans UI" w:hAnsi="Fira Sans"/>
                <w:color w:val="000000"/>
                <w:sz w:val="22"/>
                <w:szCs w:val="22"/>
              </w:rPr>
              <w:t xml:space="preserve">a </w:t>
            </w:r>
            <w:r w:rsidRPr="0085010C">
              <w:rPr>
                <w:rFonts w:ascii="Fira Sans" w:eastAsia="Andale Sans UI" w:hAnsi="Fira Sans"/>
                <w:color w:val="000000"/>
                <w:sz w:val="22"/>
                <w:szCs w:val="22"/>
              </w:rPr>
              <w:t xml:space="preserve">dostarczy nieodpłatnie stół oraz ruchome półki na odczynniki </w:t>
            </w:r>
            <w:r w:rsidRPr="0085010C">
              <w:rPr>
                <w:rFonts w:ascii="Fira Sans" w:eastAsia="Andale Sans UI" w:hAnsi="Fira Sans"/>
                <w:color w:val="000000"/>
                <w:spacing w:val="-1"/>
                <w:sz w:val="22"/>
                <w:szCs w:val="22"/>
              </w:rPr>
              <w:t>po zakończeniu umowy z przekazaniem na własność zamawiającego.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3088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C68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7386C87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F46A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3F88" w14:textId="72435BA4" w:rsidR="00E72694" w:rsidRPr="0085010C" w:rsidRDefault="00E72694" w:rsidP="00784745">
            <w:pPr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bookmarkStart w:id="0" w:name="__DdeLink__1272_787896167"/>
            <w:r w:rsidRPr="0085010C">
              <w:rPr>
                <w:rFonts w:ascii="Fira Sans" w:hAnsi="Fira Sans"/>
                <w:sz w:val="22"/>
                <w:szCs w:val="22"/>
              </w:rPr>
              <w:t xml:space="preserve">Utworzenie bezobsługowego odprowadzania ścieków z analizatorów na koszt </w:t>
            </w:r>
            <w:r w:rsidR="00E50E8F" w:rsidRPr="00E50E8F">
              <w:rPr>
                <w:rFonts w:ascii="Fira Sans" w:hAnsi="Fira Sans"/>
                <w:sz w:val="22"/>
                <w:szCs w:val="22"/>
              </w:rPr>
              <w:t>Wykonawcy</w:t>
            </w:r>
            <w:bookmarkEnd w:id="0"/>
            <w:r w:rsidR="00E50E8F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00A6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BBA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A0448F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4ABD" w14:textId="77777777" w:rsidR="00E72694" w:rsidRPr="0085010C" w:rsidRDefault="00E72694" w:rsidP="00784745">
            <w:pPr>
              <w:tabs>
                <w:tab w:val="left" w:pos="150"/>
              </w:tabs>
              <w:spacing w:line="276" w:lineRule="auto"/>
              <w:ind w:left="785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0A6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b/>
                <w:bCs/>
              </w:rPr>
            </w:pPr>
            <w:r w:rsidRPr="0085010C">
              <w:rPr>
                <w:rFonts w:ascii="Fira Sans" w:hAnsi="Fira Sans"/>
                <w:b/>
                <w:bCs/>
                <w:sz w:val="22"/>
                <w:szCs w:val="22"/>
              </w:rPr>
              <w:t>WYMAGANIA DLA APARATU DO WYKONYWANIA I BARWIENIA ROZMAZÓW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FD4A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AF6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B22840B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5FE8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01A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 pełni automatyczny, fabrycznie nowy rok produkcji 2023/2024 do wykonania rozmazów krwi i szpiku oraz ich barwienia o wydajności 30 rozmazów na godzinę.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2A40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B72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1DB0E09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7B08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9E1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Aparat do wykonywania oraz barwienia rozmazów połączony podajnikiem i zintegrowany z analizatorem hematologicznym.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1346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2C2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40C677A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488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89E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Identyfikacja próbek za pomocą kodów kreskowych.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50BC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079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2F303B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692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3AF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 pełni automatyczne przygotowanie rozmazu i jego wybarwienie wraz z suszeniem – aparat samodzielnie przesuwa wstawione na pokład szkiełka, wykonuje rozmaz, barwi, utrwala, płucze i wydaje ostatecznie wysuszone preparaty krwi.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40B0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738E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A0B3E3C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C04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F38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Możliwość wybarwienia rozmazu krwi, szpiku, płynów z jam ciała przygotowanego manualnie.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616D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753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41CAD87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F3E5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7DF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Metoda rozmazywania próbki umożliwiająca modyfikację ustawień objętości rozmazywanej próbki przez użytkownika, prędkości rozmazywania oraz kąta nachylenia szkiełka rozmazującego.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828E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730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6A4F68C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1A0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DC9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Sposób rozmazywania krwi automatycznie dostosowany do wartości hematokrytu każdej próbki.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CEEC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F87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01DF3F9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171F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FE4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Możliwość dostosowania i edytowania protokołu barwienia (czas barwienia, użyte odczynniki).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4ACD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863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62CF9F0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8B5E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954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Możliwość doładowywania kolejnych szkiełek w trakcie pracy.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8FA6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86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BD9161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3C36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BD2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Pełna standaryzacja wykonania rozmazu i barwienia przy użyciu wysokiej jakości odczynników barwiących.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83B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072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7F10BD2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B0BE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3AB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Możliwość obsługi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mikropróbek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oraz próbek z podniesionym dnem.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980D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bookmarkStart w:id="1" w:name="__DdeLink__1081_1641643553"/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  <w:bookmarkEnd w:id="1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1F5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D7F717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1CE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AAC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Maksymalna objętość aspiracji w trybie automatycznym 100 µl.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4EF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3BE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28FD29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22C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98D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Maksymalna objętość aspiracji krwi w trybie podajnikowym poniżej 1ml.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34B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F91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CFB2A96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4ED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1DC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Kompletne zestawy odczynnikowe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zwalidowane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przez producenta.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C09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542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83787A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A9F7" w14:textId="77777777" w:rsidR="00E72694" w:rsidRPr="0085010C" w:rsidRDefault="00E72694" w:rsidP="00784745">
            <w:p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2AAA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b/>
                <w:bCs/>
              </w:rPr>
            </w:pPr>
            <w:r w:rsidRPr="0085010C">
              <w:rPr>
                <w:rFonts w:ascii="Fira Sans" w:hAnsi="Fira Sans"/>
                <w:b/>
                <w:bCs/>
                <w:sz w:val="22"/>
                <w:szCs w:val="22"/>
              </w:rPr>
              <w:t>WYMAGANIA DLA URZĄDZENIA DO CYFROWEJ WERYFIKACJI ROZMAZÓW KRWI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B5F7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A87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EC238E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711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BF3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Automatyczne urządzenie do weryfikacji rozmazów krwi, fabrycznie nowe rok produkcji 2023/2024.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8E9A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79D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79D39B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674E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0B6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Zautomatyzowany system do oceny rozmazów składający się z modułu optycznego wyposażonego w mikroskop i kamerę/skaner/oraz system komputerowy z oprogramowaniem do gromadzenia wstępnej klasyfikacji komórek zabarwionych preparatów.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4A9D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1FB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074F191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7006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9AE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Automatyczna weryfikacja rozmazów krwi obejmująca analizę obrazu odsetkowego leukocytów, ocenę morfologii erytrocytów oraz charakterystykę płytek krwi.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37796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AB2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A1890DA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4D0C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AB7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Lokalizacja i przedstawienie obrazów każdej znalezionej komórki jądrzastej lub innego obiektu znalezionego w rozmazie.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A3FE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08F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96C2258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C4D9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A7E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Wyniki prezentowane na ekranie w postaci zdjęć, wartości liczbowych zliczonych typów komórek, udziału procentowego, nasilenia występowania określonej patologii w układzie czerwonokrwinkowym.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1D8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C0F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CC72B61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568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04C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Porządkowanie wraz z klasyfikacją wstępną dla leukocytów: granulocyty o jądrze pałkowatym, neutrofile pałeczkowate,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eozynofile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, bazofile, limfocyty,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metamielocyty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, mielocyty,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promielocyty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blasty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, nietypowe limfocyty, plazmocyty.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86C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72C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474A42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1D3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C2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Wstępna klasyfikacja komórek niebędących WBC: erytroblasty, płytki olbrzymie, agregaty płytowe, cienie komórkowe i artefakty.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AEF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4F6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8029C22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D9B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E74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Własna referencyjna baza komórek, która może być wzbogacana o inne komórki.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4A70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74A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D6088AF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950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DF4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Możliwość przeglądania wyników wraz ze zdjęciami w dowolnym czasie.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77B0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61D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FF0389A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81C9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B82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Oferent zapewni udział w kontroli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zewnątrzlaboratoryjnej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w zakresie oceny rozmazów krwi dwa razy w roku na koszt Oferenta.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DDCE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15E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8726BD8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453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02B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Możliwość bezpośredniego połączenia z aparatem do wykonywania rozmazów krwi.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6D9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1EE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30C5C0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14D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27A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Identyfikacja próbek przy pomocy kodów kreskowych lub QR.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868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117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2B1F14C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ED61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799B" w14:textId="31F1974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Możliwość kopiowania wybranych obrazów komórek na dysk twardy komputera w formie PDF</w:t>
            </w:r>
            <w:r w:rsidR="00863CAC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863CAC" w:rsidRPr="00863CAC">
              <w:rPr>
                <w:rFonts w:ascii="Fira Sans" w:hAnsi="Fira Sans"/>
                <w:color w:val="FF0000"/>
                <w:sz w:val="22"/>
                <w:szCs w:val="22"/>
              </w:rPr>
              <w:t>lub w formie plików JPG.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0134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162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06D0DAE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E3DA" w14:textId="77777777" w:rsidR="00E72694" w:rsidRPr="0085010C" w:rsidRDefault="00E72694" w:rsidP="00784745">
            <w:p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E39C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b/>
                <w:bCs/>
              </w:rPr>
            </w:pPr>
            <w:r w:rsidRPr="0085010C">
              <w:rPr>
                <w:rFonts w:ascii="Fira Sans" w:hAnsi="Fira Sans"/>
                <w:b/>
                <w:bCs/>
                <w:sz w:val="22"/>
                <w:szCs w:val="22"/>
              </w:rPr>
              <w:t>WYMAGANIA DLA ANALIZATORA HEMATOLOGICZNEGO BACK-UP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A11A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3C9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D0D9DE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6EE6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719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Analizator hematologiczny typu CBC-5DIFF, fabrycznie nowy rok produkcji 2023/2024.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2217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B8B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2C24947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1F2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ECA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Analizator całkowicie automatyczny, wyposażony w pełni automatyczny podajnik z mieszalnikiem na co najmniej 50 próbek oczekujących na analizę, z możliwością ciągłego dostawiania nowych próbek bez konieczności przerywania cyklu pomiarowego, ani wstrzymywania pracy podajnika. Możliwość podania próbki również w trybie manualnym.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E7A9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173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71BA3F2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1583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31EE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Możliwość stosowania różnych typów probówek zamkniętych systemów pobierania.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7484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CBD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DFD159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3967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10F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Parametry mierzone RBC, WBC, HGB, HCT, PLT.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9B5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515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1D7BC564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C2D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26B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Analizator pozwalający na wydawanie minimum 30 parametrów morfologii krwi, w tym raportowanych i przesyłanych do LIS (jako parametry diagnostyczne): WBC, RBC, HGB, HCT, MCV, MCH, MCHC, PLT, NEUT%,#, LYMPH%,#, MONO%,#, EO%,#, BASO%,#, RDW-SD, RDW-CV, MPV, P-LCR, PDW, PCT, IG%,#, NRBC%,#,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MicroR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,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MacroR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234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459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BE43EC1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9C2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257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Wydajność analizatora dla morfologii w trybie CBC- 5 DIFF 100 oznaczeń na godzinę.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423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32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20B4393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439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AFC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Objętość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aspirowanej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próbki w trybie CBC-5DIFF z automatycznego podajnika i manualnie nie więcej niż 100 µl.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FFB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40A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2D6D591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306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A1C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Analizator wyposażony w osobny tryb pracy dla próbek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leukopenicznych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>, z możliwością manualnego wyboru z menu przez użytkownika. Wybrane próbki mogą być analizowane w tym trybie w oparciu o decyzję użytkownika, niezależnie od kryteriów (progów) ustawionych w modułach i bez konieczności ich modyfikacji do tego celu.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0D0A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DF8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B6A0D4E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1D3A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162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Oznaczanie w płynach z jam ciała i PMR liczby leukocytów i ich różnicowanie na komórki jądrzaste oraz RBC – parametry diagnostyczne przesyłane do LIS. Oznaczanie płynów z jam ciała i PMR bez stosowania dodatkowych odczynników.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DF6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9C8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190CA36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6BD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C0F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Wymagana objętość próbki potrzebna do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zaaspirowania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płynów z jam ciała i PMR w trybie otwartej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mikropróbki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≤ 200 µl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DE9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A55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BDD6F0A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42F8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1DA1" w14:textId="345DEA78" w:rsidR="00E72694" w:rsidRPr="0085010C" w:rsidRDefault="00E72694" w:rsidP="00784745">
            <w:pPr>
              <w:spacing w:line="276" w:lineRule="auto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Materiał kontrolny dla płynów z jam ciała, w ilości minimum 1 fiolka na miesiąc w całym okresie trwania umowy dzierżawy- uwzględnić i wyspecyfikować w formularzu asortymentowo cenowym. </w:t>
            </w:r>
            <w:r w:rsidR="00D7728C">
              <w:rPr>
                <w:rFonts w:ascii="Fira Sans" w:hAnsi="Fira Sans"/>
                <w:sz w:val="22"/>
                <w:szCs w:val="22"/>
              </w:rPr>
              <w:t xml:space="preserve">Wykonawca </w:t>
            </w:r>
            <w:r w:rsidRPr="0085010C">
              <w:rPr>
                <w:rFonts w:ascii="Fira Sans" w:hAnsi="Fira Sans"/>
                <w:sz w:val="22"/>
                <w:szCs w:val="22"/>
              </w:rPr>
              <w:t xml:space="preserve">zapewni udział w kontroli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zewnątrzlaboratoryjnej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płynów z jam dwa razy w roku na koszt </w:t>
            </w:r>
            <w:r w:rsidR="00D7728C">
              <w:rPr>
                <w:rFonts w:ascii="Fira Sans" w:hAnsi="Fira Sans"/>
                <w:sz w:val="22"/>
                <w:szCs w:val="22"/>
              </w:rPr>
              <w:t>Wykonawcy</w:t>
            </w:r>
            <w:r w:rsidRPr="0085010C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74C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584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55AAB95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A4FA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FC9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Automatyczny pomiar oraz różnicowanie WBC dokonywanie w oparciu o fluorescencyjną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cytometrię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przepływową z wykorzystaniem światła lasera półprzewodnikowego.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EFD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CDA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B559BE9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5A75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007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Wymagane zakresy liniowości oznaczeń dla próbek pierwotnych, bez rozcieńczania, z pierwszego podstawienia dla krwi obwodowej:</w:t>
            </w:r>
          </w:p>
          <w:p w14:paraId="3C4B87E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leukocyty do co najmniej 400 x 10</w:t>
            </w:r>
            <w:r w:rsidRPr="0085010C">
              <w:rPr>
                <w:rFonts w:ascii="Fira Sans" w:hAnsi="Fira Sans"/>
                <w:sz w:val="22"/>
                <w:szCs w:val="22"/>
                <w:vertAlign w:val="superscript"/>
              </w:rPr>
              <w:t>3/</w:t>
            </w:r>
            <w:r w:rsidRPr="0085010C">
              <w:rPr>
                <w:rFonts w:ascii="Fira Sans" w:hAnsi="Fira Sans"/>
                <w:sz w:val="22"/>
                <w:szCs w:val="22"/>
              </w:rPr>
              <w:t>µl.</w:t>
            </w:r>
          </w:p>
          <w:p w14:paraId="38A9E0F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płytki krwi do co najmniej 5000 x 10</w:t>
            </w:r>
            <w:r w:rsidRPr="0085010C">
              <w:rPr>
                <w:rFonts w:ascii="Fira Sans" w:hAnsi="Fira Sans"/>
                <w:sz w:val="22"/>
                <w:szCs w:val="22"/>
                <w:vertAlign w:val="superscript"/>
              </w:rPr>
              <w:t>3</w:t>
            </w:r>
            <w:r w:rsidRPr="0085010C">
              <w:rPr>
                <w:rFonts w:ascii="Fira Sans" w:hAnsi="Fira Sans"/>
                <w:sz w:val="22"/>
                <w:szCs w:val="22"/>
              </w:rPr>
              <w:t xml:space="preserve"> µl.</w:t>
            </w:r>
          </w:p>
          <w:p w14:paraId="68275B9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RBC do co najmniej 8,6 mln/µl.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61C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2844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F2832C6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000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EF5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Pamięć wewnętrzna analizatora umożliwiająca przechowywanie minimum 90 000 wyników z pełną grafiką.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D9C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C80C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695E647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BB88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35E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System informowania o wynikach patologicznych wraz z komunikatami opisującymi typowe patologie, tzw. flagowanie, prezentowane w formie graficznej i liczbowej w oprogramowaniu własnym analizatora (wyklucza się oprogramowanie zewnętrzne).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F06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C26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CD449B9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1659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250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Materiał kontrolny na trzech poziomach dla parametrów krwi obwodowej, dostarczany zgodnie z harmonogramem dostaw.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6F6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2C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E7B197F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11C0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E0E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Oprogramowania umożliwiające zarządzanie odczynnikami-szacowanie przez system zużycia odczynników wraz z podaniem w formie graficznej na monitorze informacji o poziomie ich zużycia.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8B7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C2C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D97BB01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13F9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149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Krew kontrolna skalkulowana zgodnie z terminem, w którym parametry oznaczeń nie przekraczają wyznaczonych przez producenta i określonych w arkuszu oznaczeń dopuszczalnych zakresów gwarantujących prawidłową pracę analizatora.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DC98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70BD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1D672A7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05F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5F4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Instrukcja obsługi w języku polskim dostarczona wraz z analizatorem.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F7C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C1B2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F5FA86E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31D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797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Wykonawca zapewni moduł serwisowy do zdalnego dostępu, w celu kontrolowania, serwisowania pracy modułów oraz wsparcia technicznego i merytorycznego.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F0E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2D6F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4354BFD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6B24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132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Wpięcie analizatora do LIS na koszt Wykonawcy.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A4A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F92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26E6E1D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236A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990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Analizator pracujący na tych samych odczynnikach do morfologii CBC+5DIFF, co oferowany analizator w linii do analizy morfologii krwi obwodowej.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E1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A180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59F81BC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45F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3F14" w14:textId="4BC8F9A0" w:rsidR="00E72694" w:rsidRPr="0085010C" w:rsidRDefault="00E72694" w:rsidP="00784745">
            <w:pPr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Utworzenie bezobsługowego odprowadzania ścieków z analizatorów na koszt </w:t>
            </w:r>
            <w:r w:rsidR="00D7728C">
              <w:rPr>
                <w:rFonts w:ascii="Fira Sans" w:hAnsi="Fira Sans"/>
                <w:sz w:val="22"/>
                <w:szCs w:val="22"/>
              </w:rPr>
              <w:t>Wykonawcy.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AF7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6AD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0E9CA39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FC04" w14:textId="77777777" w:rsidR="00E72694" w:rsidRPr="0085010C" w:rsidRDefault="00E72694" w:rsidP="00784745">
            <w:pPr>
              <w:tabs>
                <w:tab w:val="left" w:pos="150"/>
              </w:tabs>
              <w:spacing w:line="276" w:lineRule="auto"/>
              <w:ind w:left="785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DC86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b/>
                <w:bCs/>
              </w:rPr>
            </w:pPr>
            <w:r w:rsidRPr="0085010C">
              <w:rPr>
                <w:rFonts w:ascii="Fira Sans" w:hAnsi="Fira Sans"/>
                <w:b/>
                <w:bCs/>
                <w:sz w:val="22"/>
                <w:szCs w:val="22"/>
              </w:rPr>
              <w:t xml:space="preserve">PARAMETRY WSPÓLNE DLA ANALIZATORÓW HEMATOLOGICZNYCH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EDED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8793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A328AE1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D2E8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053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Analizator główny oraz analizator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back-up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pracujące przy zastosowaniu tych samych odczynników, pozwalające na użycie tej samej krwi kontrolnej oraz płynu czyszcząco – odbiałczającego.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0CC2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2DC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76210542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B42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0567" w14:textId="77777777" w:rsidR="00E72694" w:rsidRPr="0085010C" w:rsidRDefault="00E72694" w:rsidP="00784745">
            <w:pPr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color w:val="000000"/>
                <w:sz w:val="22"/>
                <w:szCs w:val="22"/>
              </w:rPr>
              <w:t>Wykonawca zapewni możliwość udziału w zewnętrznej kontroli jakości on-line opartej o materiał kontroli codziennej producenta, z możliwością uzyskiwania raportów comiesięcznych, potwierdzanych certyfikatem uczestnictwa.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1F5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9EDB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9A40B7C" w14:textId="77777777" w:rsidTr="00E72694">
        <w:trPr>
          <w:cantSplit/>
          <w:trHeight w:val="2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9CA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81AC" w14:textId="77777777" w:rsidR="00E72694" w:rsidRPr="0085010C" w:rsidRDefault="00E72694" w:rsidP="00784745">
            <w:pPr>
              <w:spacing w:after="160" w:line="276" w:lineRule="auto"/>
              <w:jc w:val="both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Kalkulacja ilości kalibratorów, materiału </w:t>
            </w:r>
            <w:proofErr w:type="spellStart"/>
            <w:r w:rsidRPr="0085010C">
              <w:rPr>
                <w:rFonts w:ascii="Fira Sans" w:hAnsi="Fira Sans"/>
                <w:sz w:val="22"/>
                <w:szCs w:val="22"/>
              </w:rPr>
              <w:t>kontrolnego,odczynników</w:t>
            </w:r>
            <w:proofErr w:type="spellEnd"/>
            <w:r w:rsidRPr="0085010C">
              <w:rPr>
                <w:rFonts w:ascii="Fira Sans" w:hAnsi="Fira Sans"/>
                <w:sz w:val="22"/>
                <w:szCs w:val="22"/>
              </w:rPr>
              <w:t xml:space="preserve"> oraz wszystkich materiałów zużywalnych zgodna z zaleceniami producenta.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81D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231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EFBECDE" w14:textId="77777777" w:rsidTr="00784745">
        <w:trPr>
          <w:cantSplit/>
          <w:trHeight w:val="20"/>
        </w:trPr>
        <w:tc>
          <w:tcPr>
            <w:tcW w:w="1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6965" w14:textId="77777777" w:rsidR="00E72694" w:rsidRPr="0085010C" w:rsidRDefault="00E72694" w:rsidP="00784745">
            <w:pPr>
              <w:widowControl w:val="0"/>
              <w:shd w:val="clear" w:color="auto" w:fill="FFFFFF"/>
              <w:tabs>
                <w:tab w:val="left" w:pos="150"/>
              </w:tabs>
              <w:spacing w:line="276" w:lineRule="auto"/>
              <w:ind w:right="168" w:hanging="10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b/>
                <w:sz w:val="22"/>
                <w:szCs w:val="22"/>
              </w:rPr>
              <w:t>WARUNKI GWARANCJI I SERWISU</w:t>
            </w:r>
            <w:r w:rsidRPr="0085010C">
              <w:rPr>
                <w:rFonts w:ascii="Fira Sans" w:hAnsi="Fira Sans"/>
                <w:b/>
                <w:sz w:val="22"/>
                <w:szCs w:val="22"/>
                <w:lang w:eastAsia="zh-CN"/>
              </w:rPr>
              <w:t xml:space="preserve"> DLA WSZYSTKICH   ANALIZATORÓW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F6E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99A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B258C51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DFE1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B5C5" w14:textId="77777777" w:rsidR="00E72694" w:rsidRPr="0085010C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Gwarancja techniczna przez cały okres trwania umowy -uwzględniająca koszty napraw, wymiany podzespołów, okresowych przeglądów serwisowych 2 razy w roku, a także inne nie wymienione koszty, z wyjątkiem wyspecyfikowanych w ofercie części zużywalnych.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2A25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B6A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405BDF2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D7FE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F993" w14:textId="77777777" w:rsidR="00E72694" w:rsidRPr="0085010C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Czas reakcji serwisu - do 60 min. od chwili zgłoszenia.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4F1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467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71EB951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97B2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7D01" w14:textId="77777777" w:rsidR="00E72694" w:rsidRPr="0085010C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Czas przystąpienia do naprawy - do 24 godz. od chwili zgłoszenia.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439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E5C5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27D8CBC2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30EC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2582" w14:textId="77777777" w:rsidR="00E72694" w:rsidRPr="00863CAC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strike/>
                <w:sz w:val="22"/>
                <w:szCs w:val="22"/>
              </w:rPr>
            </w:pPr>
            <w:r w:rsidRPr="00863CAC">
              <w:rPr>
                <w:rFonts w:ascii="Fira Sans" w:hAnsi="Fira Sans"/>
                <w:strike/>
                <w:sz w:val="22"/>
                <w:szCs w:val="22"/>
              </w:rPr>
              <w:t xml:space="preserve">Dostępność serwisu - ciągła, przez cały czas trwania umowy -  zgłaszania awarii i wsparcie serwisanta przez 24 godz. / dobę, 7 dni w tygodniu ( także w dni ustawowo wolne od pracy). </w:t>
            </w:r>
            <w:r w:rsidR="00D7728C" w:rsidRPr="00863CAC">
              <w:rPr>
                <w:rFonts w:ascii="Fira Sans" w:hAnsi="Fira Sans"/>
                <w:strike/>
                <w:sz w:val="22"/>
                <w:szCs w:val="22"/>
              </w:rPr>
              <w:t>Wykonawca</w:t>
            </w:r>
            <w:r w:rsidRPr="00863CAC">
              <w:rPr>
                <w:rFonts w:ascii="Fira Sans" w:hAnsi="Fira Sans"/>
                <w:strike/>
                <w:sz w:val="22"/>
                <w:szCs w:val="22"/>
              </w:rPr>
              <w:t xml:space="preserve"> przekaże Zamawiającemu bezpośredni numer telefonu do serwisanta.</w:t>
            </w:r>
          </w:p>
          <w:p w14:paraId="501D2371" w14:textId="77777777" w:rsidR="00863CAC" w:rsidRPr="00863CAC" w:rsidRDefault="00863CAC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color w:val="FF0000"/>
                <w:sz w:val="22"/>
                <w:szCs w:val="22"/>
                <w:lang w:eastAsia="zh-CN"/>
              </w:rPr>
            </w:pPr>
          </w:p>
          <w:p w14:paraId="35396EB4" w14:textId="011293DC" w:rsidR="00863CAC" w:rsidRPr="00FC3506" w:rsidRDefault="00863CAC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863CAC">
              <w:rPr>
                <w:rFonts w:ascii="Fira Sans" w:hAnsi="Fira Sans"/>
                <w:color w:val="FF0000"/>
                <w:sz w:val="22"/>
                <w:szCs w:val="22"/>
                <w:lang w:eastAsia="zh-CN"/>
              </w:rPr>
              <w:t>Dostępność serwisu - ciągła, przez cały czas trwania umowy - zgłaszania awarii i wsparcie serwisanta (w dni ustawowo wolne od pracy, w czasie trwania dyżurów Wykonawcy). Wykonawca przekaże Zamawiającemu bezpośredni numer telefonu do serwisanta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C63B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C8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188F839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A7C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FA2C" w14:textId="77777777" w:rsidR="00E72694" w:rsidRPr="00FC3506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sz w:val="22"/>
                <w:szCs w:val="22"/>
                <w:lang w:eastAsia="zh-CN"/>
              </w:rPr>
            </w:pPr>
            <w:r w:rsidRPr="00FC3506">
              <w:rPr>
                <w:rFonts w:ascii="Fira Sans" w:hAnsi="Fira Sans"/>
                <w:sz w:val="22"/>
                <w:szCs w:val="22"/>
              </w:rPr>
              <w:t>Działania naprawcze będą podejmowane niezwłocznie, bez jakichkolwiek dodatkowych warunków wstępnych.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6B9C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22CE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4C8D0957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962D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EC4D" w14:textId="4B55CBC3" w:rsidR="00E72694" w:rsidRPr="00FC3506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</w:rPr>
            </w:pPr>
            <w:r w:rsidRPr="00863CAC">
              <w:rPr>
                <w:rFonts w:ascii="Fira Sans" w:hAnsi="Fira Sans"/>
                <w:strike/>
                <w:sz w:val="22"/>
                <w:szCs w:val="22"/>
              </w:rPr>
              <w:t>Odczynniki ważne od dnia dostawy minimum 9 miesięcy.</w:t>
            </w:r>
            <w:r w:rsidRPr="00FC3506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863CAC" w:rsidRPr="00863CAC">
              <w:rPr>
                <w:rFonts w:ascii="Fira Sans" w:hAnsi="Fira Sans"/>
                <w:color w:val="FF0000"/>
                <w:sz w:val="22"/>
                <w:szCs w:val="22"/>
              </w:rPr>
              <w:t>O</w:t>
            </w:r>
            <w:r w:rsidR="00863CAC" w:rsidRPr="00863CAC">
              <w:rPr>
                <w:rFonts w:ascii="Fira Sans" w:hAnsi="Fira Sans"/>
                <w:color w:val="FF0000"/>
                <w:sz w:val="22"/>
                <w:szCs w:val="22"/>
              </w:rPr>
              <w:t>dczynniki posiadały minimalny termin ważności 6 miesięcy od dnia dostawy, z wyłączeniem kontroli i kalibratorów, które ze względu na rodzaj materiału posiadają termin ważności 2 miesiące</w:t>
            </w:r>
            <w:r w:rsidR="001C1BED">
              <w:rPr>
                <w:rFonts w:ascii="Fira Sans" w:hAnsi="Fira Sans"/>
                <w:color w:val="FF0000"/>
                <w:sz w:val="22"/>
                <w:szCs w:val="22"/>
              </w:rPr>
              <w:t xml:space="preserve">. </w:t>
            </w:r>
            <w:r w:rsidRPr="00FC3506">
              <w:rPr>
                <w:rFonts w:ascii="Fira Sans" w:hAnsi="Fira Sans"/>
                <w:sz w:val="22"/>
                <w:szCs w:val="22"/>
              </w:rPr>
              <w:t>Maksymalny czas dostawy 3 dni roboczych.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2966" w14:textId="77777777" w:rsidR="00E72694" w:rsidRPr="00D7728C" w:rsidRDefault="00E72694" w:rsidP="00784745">
            <w:pPr>
              <w:spacing w:line="276" w:lineRule="auto"/>
              <w:jc w:val="center"/>
              <w:rPr>
                <w:rFonts w:ascii="Fira Sans" w:hAnsi="Fira Sans"/>
                <w:color w:val="FF0000"/>
                <w:sz w:val="22"/>
                <w:szCs w:val="22"/>
              </w:rPr>
            </w:pPr>
            <w:r w:rsidRPr="00EE7D82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2FAF" w14:textId="77777777" w:rsidR="00E72694" w:rsidRPr="00D7728C" w:rsidRDefault="00E72694" w:rsidP="00784745">
            <w:pPr>
              <w:spacing w:line="276" w:lineRule="auto"/>
              <w:rPr>
                <w:rFonts w:ascii="Fira Sans" w:hAnsi="Fira Sans"/>
                <w:color w:val="FF0000"/>
                <w:sz w:val="22"/>
                <w:szCs w:val="22"/>
              </w:rPr>
            </w:pPr>
          </w:p>
        </w:tc>
      </w:tr>
      <w:tr w:rsidR="00E72694" w:rsidRPr="0085010C" w14:paraId="2F4CF571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345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7A86" w14:textId="77777777" w:rsidR="00E72694" w:rsidRPr="00FC3506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</w:rPr>
            </w:pPr>
            <w:r w:rsidRPr="00FC3506">
              <w:rPr>
                <w:rFonts w:ascii="Fira Sans" w:hAnsi="Fira Sans"/>
                <w:sz w:val="22"/>
                <w:szCs w:val="22"/>
              </w:rPr>
              <w:t xml:space="preserve">Instalacja, uruchomienie i szkolenie personelu laboratorium w zakresie obsługi, konserwacji, rozwiązywania drobnych problemów technicznych oraz interpretacji wyników (czułość i swoistość testów, interferencje, zakres wartości referencyjnych) na koszt oferenta. </w:t>
            </w:r>
            <w:bookmarkStart w:id="2" w:name="_Hlk162264069"/>
            <w:r w:rsidRPr="00FC3506">
              <w:rPr>
                <w:rFonts w:ascii="Fira Sans" w:hAnsi="Fira Sans"/>
                <w:sz w:val="22"/>
                <w:szCs w:val="22"/>
              </w:rPr>
              <w:t>Zamawiający wymaga dwóch etapów szkoleń, pierwszego przy instalacji natomiast drugiego do 30 dni od czasu instalacji.</w:t>
            </w:r>
            <w:bookmarkEnd w:id="2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3CF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E611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691BC414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ACA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F3F1" w14:textId="097F0470" w:rsidR="00E72694" w:rsidRPr="0085010C" w:rsidRDefault="00D7728C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Wykonawca</w:t>
            </w:r>
            <w:r w:rsidR="00E72694" w:rsidRPr="0085010C">
              <w:rPr>
                <w:rFonts w:ascii="Fira Sans" w:hAnsi="Fira Sans"/>
                <w:sz w:val="22"/>
                <w:szCs w:val="22"/>
              </w:rPr>
              <w:t xml:space="preserve"> zapewni bezpłatn</w:t>
            </w:r>
            <w:r>
              <w:rPr>
                <w:rFonts w:ascii="Fira Sans" w:hAnsi="Fira Sans"/>
                <w:sz w:val="22"/>
                <w:szCs w:val="22"/>
              </w:rPr>
              <w:t>ą</w:t>
            </w:r>
            <w:r w:rsidR="00E72694" w:rsidRPr="0085010C">
              <w:rPr>
                <w:rFonts w:ascii="Fira Sans" w:hAnsi="Fira Sans"/>
                <w:sz w:val="22"/>
                <w:szCs w:val="22"/>
              </w:rPr>
              <w:t xml:space="preserve"> aktualizację oprogramowania i dokumentacji  w okresie eksploatacji wyrobu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1387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1DFA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06CF4D69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1F4F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170F" w14:textId="74081D43" w:rsidR="00E72694" w:rsidRPr="0085010C" w:rsidRDefault="00D7728C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</w:rPr>
            </w:pPr>
            <w:r>
              <w:rPr>
                <w:rFonts w:ascii="Fira Sans" w:hAnsi="Fira Sans"/>
                <w:sz w:val="22"/>
                <w:szCs w:val="22"/>
              </w:rPr>
              <w:t>Wykonawca</w:t>
            </w:r>
            <w:r w:rsidR="00E72694" w:rsidRPr="0085010C">
              <w:rPr>
                <w:rFonts w:ascii="Fira Sans" w:hAnsi="Fira Sans"/>
                <w:sz w:val="22"/>
                <w:szCs w:val="22"/>
              </w:rPr>
              <w:t xml:space="preserve"> zapewni opiekę merytoryczną poprzez szkolenie wyznaczonego personelu 2 razy w roku przez cały czas trwania umowy na swój koszt.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4981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667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5A3EDA62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6D44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A56B" w14:textId="14B88E69" w:rsidR="00E72694" w:rsidRPr="0085010C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 xml:space="preserve">Podłączenie do LIS wszystkich analizatorów i urządzeń na koszt </w:t>
            </w:r>
            <w:r w:rsidR="00D7728C">
              <w:rPr>
                <w:rFonts w:ascii="Fira Sans" w:hAnsi="Fira Sans"/>
                <w:sz w:val="22"/>
                <w:szCs w:val="22"/>
              </w:rPr>
              <w:t>Wykonawcy.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B9EF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EB46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72694" w:rsidRPr="0085010C" w14:paraId="36590F07" w14:textId="77777777" w:rsidTr="00E72694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C87B" w14:textId="77777777" w:rsidR="00E72694" w:rsidRPr="0085010C" w:rsidRDefault="00E72694" w:rsidP="00E72694">
            <w:pPr>
              <w:numPr>
                <w:ilvl w:val="0"/>
                <w:numId w:val="34"/>
              </w:numPr>
              <w:tabs>
                <w:tab w:val="left" w:pos="150"/>
              </w:tabs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D938" w14:textId="77777777" w:rsidR="00E72694" w:rsidRPr="0085010C" w:rsidRDefault="00E72694" w:rsidP="00784745">
            <w:pPr>
              <w:widowControl w:val="0"/>
              <w:shd w:val="clear" w:color="auto" w:fill="FFFFFF"/>
              <w:spacing w:line="276" w:lineRule="auto"/>
              <w:ind w:right="168" w:hanging="10"/>
              <w:rPr>
                <w:rFonts w:ascii="Fira Sans" w:hAnsi="Fira Sans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Autoryzowany, potwierdzony certyfikatem przynajmniej z roku 2023, serwis producenta aparatów.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1E93" w14:textId="77777777" w:rsidR="00E72694" w:rsidRPr="0085010C" w:rsidRDefault="00E72694" w:rsidP="00784745">
            <w:pPr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85010C">
              <w:rPr>
                <w:rFonts w:ascii="Fira Sans" w:hAnsi="Fira Sans"/>
                <w:sz w:val="22"/>
                <w:szCs w:val="22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B029" w14:textId="77777777" w:rsidR="00E72694" w:rsidRPr="0085010C" w:rsidRDefault="00E72694" w:rsidP="00784745">
            <w:pPr>
              <w:spacing w:line="276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11A25C3B" w14:textId="77777777" w:rsidR="00E72694" w:rsidRPr="0085010C" w:rsidRDefault="00E72694" w:rsidP="00E72694">
      <w:pPr>
        <w:pStyle w:val="Tekstpodstawowy"/>
        <w:spacing w:line="276" w:lineRule="auto"/>
        <w:ind w:left="720"/>
        <w:rPr>
          <w:rFonts w:ascii="Fira Sans" w:hAnsi="Fira Sans"/>
          <w:szCs w:val="22"/>
        </w:rPr>
      </w:pPr>
    </w:p>
    <w:p w14:paraId="1CB9115D" w14:textId="77777777" w:rsidR="00E72694" w:rsidRPr="0085010C" w:rsidRDefault="00E72694" w:rsidP="00E72694">
      <w:pPr>
        <w:pStyle w:val="Tekstpodstawowy"/>
        <w:spacing w:line="276" w:lineRule="auto"/>
        <w:ind w:left="9912" w:hanging="1416"/>
        <w:jc w:val="center"/>
        <w:rPr>
          <w:rFonts w:ascii="Fira Sans" w:hAnsi="Fira Sans"/>
          <w:szCs w:val="22"/>
        </w:rPr>
      </w:pPr>
    </w:p>
    <w:p w14:paraId="02DBCCAB" w14:textId="77777777" w:rsidR="00E72694" w:rsidRPr="0085010C" w:rsidRDefault="00E72694" w:rsidP="00E72694">
      <w:pPr>
        <w:spacing w:line="276" w:lineRule="auto"/>
        <w:rPr>
          <w:rFonts w:ascii="Fira Sans" w:hAnsi="Fira Sans"/>
          <w:sz w:val="22"/>
          <w:szCs w:val="22"/>
        </w:rPr>
      </w:pPr>
    </w:p>
    <w:p w14:paraId="45477238" w14:textId="77777777" w:rsidR="00E72694" w:rsidRPr="0085010C" w:rsidRDefault="00E72694" w:rsidP="00E72694">
      <w:pPr>
        <w:spacing w:line="276" w:lineRule="auto"/>
        <w:rPr>
          <w:rFonts w:ascii="Fira Sans" w:hAnsi="Fira Sans"/>
          <w:sz w:val="22"/>
          <w:szCs w:val="22"/>
        </w:rPr>
      </w:pPr>
    </w:p>
    <w:p w14:paraId="60F5ADBA" w14:textId="77777777" w:rsidR="00E72694" w:rsidRPr="0085010C" w:rsidRDefault="00E72694" w:rsidP="00E72694">
      <w:pPr>
        <w:pStyle w:val="Tekstpodstawowy"/>
        <w:spacing w:line="276" w:lineRule="auto"/>
        <w:ind w:left="9912" w:hanging="1416"/>
        <w:jc w:val="center"/>
        <w:rPr>
          <w:rFonts w:ascii="Fira Sans" w:hAnsi="Fira Sans"/>
          <w:szCs w:val="22"/>
        </w:rPr>
      </w:pPr>
    </w:p>
    <w:p w14:paraId="4C16B22E" w14:textId="77777777" w:rsidR="00E72694" w:rsidRPr="0085010C" w:rsidRDefault="00E72694" w:rsidP="00E72694">
      <w:pPr>
        <w:spacing w:line="276" w:lineRule="auto"/>
        <w:rPr>
          <w:rFonts w:ascii="Fira Sans" w:hAnsi="Fira Sans"/>
          <w:sz w:val="22"/>
          <w:szCs w:val="22"/>
        </w:rPr>
      </w:pPr>
    </w:p>
    <w:p w14:paraId="132BFD5F" w14:textId="77777777" w:rsidR="00E72694" w:rsidRPr="00E611CB" w:rsidRDefault="00E72694" w:rsidP="005654DC">
      <w:pPr>
        <w:pStyle w:val="Tekstpodstawowy"/>
        <w:rPr>
          <w:b/>
          <w:color w:val="000000"/>
          <w:szCs w:val="24"/>
        </w:rPr>
      </w:pPr>
    </w:p>
    <w:sectPr w:rsidR="00E72694" w:rsidRPr="00E611CB" w:rsidSect="00FD5071">
      <w:footerReference w:type="default" r:id="rId7"/>
      <w:headerReference w:type="first" r:id="rId8"/>
      <w:footerReference w:type="first" r:id="rId9"/>
      <w:pgSz w:w="16838" w:h="11906" w:orient="landscape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56A2E" w14:textId="77777777" w:rsidR="00B51240" w:rsidRDefault="00B51240" w:rsidP="00DC4A2B">
      <w:r>
        <w:separator/>
      </w:r>
    </w:p>
  </w:endnote>
  <w:endnote w:type="continuationSeparator" w:id="0">
    <w:p w14:paraId="43DD3E55" w14:textId="77777777" w:rsidR="00B51240" w:rsidRDefault="00B51240" w:rsidP="00DC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C7699" w14:textId="77777777" w:rsidR="007148E0" w:rsidRDefault="007148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22F">
      <w:rPr>
        <w:noProof/>
      </w:rPr>
      <w:t>2</w:t>
    </w:r>
    <w:r>
      <w:fldChar w:fldCharType="end"/>
    </w:r>
  </w:p>
  <w:p w14:paraId="134E807C" w14:textId="77777777" w:rsidR="007148E0" w:rsidRDefault="00714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EE3A4" w14:textId="1AEF940B" w:rsidR="00944416" w:rsidRPr="00EF00C8" w:rsidRDefault="006943D1" w:rsidP="00944416">
    <w:pPr>
      <w:pStyle w:val="NormalnyWeb"/>
      <w:spacing w:before="1131" w:beforeAutospacing="0" w:after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6EA9FF" wp14:editId="5286DD96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B0124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944416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44416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44416">
      <w:rPr>
        <w:rFonts w:ascii="Fira Sans Condensed" w:hAnsi="Fira Sans Condensed" w:cs="Arial"/>
        <w:sz w:val="14"/>
        <w:szCs w:val="14"/>
      </w:rPr>
      <w:t xml:space="preserve">Hubalczyków 1 </w:t>
    </w:r>
    <w:r w:rsidR="00944416" w:rsidRPr="00EF00C8">
      <w:rPr>
        <w:rFonts w:ascii="Fira Sans Condensed" w:hAnsi="Fira Sans Condensed" w:cs="Arial"/>
        <w:sz w:val="14"/>
        <w:szCs w:val="14"/>
      </w:rPr>
      <w:t xml:space="preserve">| </w:t>
    </w:r>
    <w:r w:rsidR="00944416">
      <w:rPr>
        <w:rFonts w:ascii="Fira Sans Condensed" w:hAnsi="Fira Sans Condensed" w:cs="Arial"/>
        <w:sz w:val="14"/>
        <w:szCs w:val="14"/>
      </w:rPr>
      <w:t>76-200 Słupsk</w:t>
    </w:r>
    <w:r w:rsidR="00944416" w:rsidRPr="00EF00C8">
      <w:rPr>
        <w:rFonts w:ascii="Fira Sans Condensed" w:hAnsi="Fira Sans Condensed" w:cs="Arial"/>
        <w:sz w:val="14"/>
        <w:szCs w:val="14"/>
      </w:rPr>
      <w:t xml:space="preserve"> </w:t>
    </w:r>
    <w:r w:rsidR="00944416" w:rsidRPr="00EF00C8">
      <w:rPr>
        <w:rFonts w:ascii="Fira Sans Condensed" w:hAnsi="Fira Sans Condensed" w:cs="Arial"/>
        <w:sz w:val="14"/>
        <w:szCs w:val="14"/>
      </w:rPr>
      <w:br/>
      <w:t>tel. 5</w:t>
    </w:r>
    <w:r w:rsidR="00944416">
      <w:rPr>
        <w:rFonts w:ascii="Fira Sans Condensed" w:hAnsi="Fira Sans Condensed" w:cs="Arial"/>
        <w:sz w:val="14"/>
        <w:szCs w:val="14"/>
      </w:rPr>
      <w:t>9 84 60 670, 59 84 60 680</w:t>
    </w:r>
    <w:r w:rsidR="00944416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44416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44416">
      <w:rPr>
        <w:rFonts w:ascii="Fira Sans Condensed" w:hAnsi="Fira Sans Condensed" w:cs="Arial"/>
        <w:sz w:val="14"/>
        <w:szCs w:val="14"/>
      </w:rPr>
      <w:t xml:space="preserve"> </w:t>
    </w:r>
    <w:r w:rsidR="00944416" w:rsidRPr="00EF00C8">
      <w:rPr>
        <w:rFonts w:ascii="Fira Sans Condensed" w:hAnsi="Fira Sans Condensed" w:cs="Arial"/>
        <w:sz w:val="14"/>
        <w:szCs w:val="14"/>
      </w:rPr>
      <w:t>l</w:t>
    </w:r>
    <w:r w:rsidR="00944416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940102D" w14:textId="77777777" w:rsidR="00944416" w:rsidRDefault="0094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94735" w14:textId="77777777" w:rsidR="00B51240" w:rsidRDefault="00B51240" w:rsidP="00DC4A2B">
      <w:r>
        <w:separator/>
      </w:r>
    </w:p>
  </w:footnote>
  <w:footnote w:type="continuationSeparator" w:id="0">
    <w:p w14:paraId="6C0A13F4" w14:textId="77777777" w:rsidR="00B51240" w:rsidRDefault="00B51240" w:rsidP="00DC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F3E93" w14:textId="75809F07" w:rsidR="00676527" w:rsidRDefault="006943D1" w:rsidP="00944416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0A414DB3" wp14:editId="164523F1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062BF" w14:textId="77777777" w:rsidR="00971493" w:rsidRDefault="00971493" w:rsidP="00944416">
    <w:pPr>
      <w:pStyle w:val="Nagwek"/>
      <w:rPr>
        <w:noProof/>
      </w:rPr>
    </w:pPr>
  </w:p>
  <w:p w14:paraId="47D90EF4" w14:textId="77777777" w:rsidR="00971493" w:rsidRDefault="00971493" w:rsidP="00944416">
    <w:pPr>
      <w:pStyle w:val="Nagwek"/>
    </w:pPr>
    <w:r>
      <w:rPr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AEB"/>
    <w:multiLevelType w:val="hybridMultilevel"/>
    <w:tmpl w:val="85080EEA"/>
    <w:lvl w:ilvl="0" w:tplc="8288160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B94"/>
    <w:multiLevelType w:val="hybridMultilevel"/>
    <w:tmpl w:val="C192740C"/>
    <w:lvl w:ilvl="0" w:tplc="71180E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A0AE6"/>
    <w:multiLevelType w:val="hybridMultilevel"/>
    <w:tmpl w:val="8BB2C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6401"/>
    <w:multiLevelType w:val="hybridMultilevel"/>
    <w:tmpl w:val="6C0C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192E"/>
    <w:multiLevelType w:val="hybridMultilevel"/>
    <w:tmpl w:val="58D8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A86"/>
    <w:multiLevelType w:val="hybridMultilevel"/>
    <w:tmpl w:val="FE20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6D35"/>
    <w:multiLevelType w:val="hybridMultilevel"/>
    <w:tmpl w:val="AA145A00"/>
    <w:lvl w:ilvl="0" w:tplc="D332B7BC">
      <w:start w:val="1"/>
      <w:numFmt w:val="bullet"/>
      <w:lvlText w:val=""/>
      <w:lvlJc w:val="left"/>
      <w:pPr>
        <w:tabs>
          <w:tab w:val="num" w:pos="738"/>
        </w:tabs>
        <w:ind w:left="738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544A4"/>
    <w:multiLevelType w:val="hybridMultilevel"/>
    <w:tmpl w:val="2DCA28C2"/>
    <w:lvl w:ilvl="0" w:tplc="02586C1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206E5"/>
    <w:multiLevelType w:val="multilevel"/>
    <w:tmpl w:val="6CDEE3F2"/>
    <w:lvl w:ilvl="0">
      <w:start w:val="1"/>
      <w:numFmt w:val="decimal"/>
      <w:lvlText w:val="%1."/>
      <w:lvlJc w:val="right"/>
      <w:pPr>
        <w:ind w:left="785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14104"/>
    <w:multiLevelType w:val="hybridMultilevel"/>
    <w:tmpl w:val="DBACE60A"/>
    <w:lvl w:ilvl="0" w:tplc="71180E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4605"/>
    <w:multiLevelType w:val="hybridMultilevel"/>
    <w:tmpl w:val="2852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4775F"/>
    <w:multiLevelType w:val="hybridMultilevel"/>
    <w:tmpl w:val="570C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A34E7"/>
    <w:multiLevelType w:val="hybridMultilevel"/>
    <w:tmpl w:val="6C0C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650E"/>
    <w:multiLevelType w:val="hybridMultilevel"/>
    <w:tmpl w:val="FE20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36F1D"/>
    <w:multiLevelType w:val="hybridMultilevel"/>
    <w:tmpl w:val="85080EEA"/>
    <w:lvl w:ilvl="0" w:tplc="8288160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27C3B"/>
    <w:multiLevelType w:val="hybridMultilevel"/>
    <w:tmpl w:val="8A1E1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A0204"/>
    <w:multiLevelType w:val="hybridMultilevel"/>
    <w:tmpl w:val="D024744E"/>
    <w:lvl w:ilvl="0" w:tplc="8288160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263113"/>
    <w:multiLevelType w:val="hybridMultilevel"/>
    <w:tmpl w:val="2852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32"/>
    <w:multiLevelType w:val="hybridMultilevel"/>
    <w:tmpl w:val="D024744E"/>
    <w:lvl w:ilvl="0" w:tplc="8288160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32811"/>
    <w:multiLevelType w:val="hybridMultilevel"/>
    <w:tmpl w:val="8A2407F6"/>
    <w:lvl w:ilvl="0" w:tplc="CBFC0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344807"/>
    <w:multiLevelType w:val="hybridMultilevel"/>
    <w:tmpl w:val="FE20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0EF4"/>
    <w:multiLevelType w:val="hybridMultilevel"/>
    <w:tmpl w:val="BCC8F134"/>
    <w:lvl w:ilvl="0" w:tplc="71180E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85794"/>
    <w:multiLevelType w:val="hybridMultilevel"/>
    <w:tmpl w:val="D024744E"/>
    <w:lvl w:ilvl="0" w:tplc="8288160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215D0"/>
    <w:multiLevelType w:val="hybridMultilevel"/>
    <w:tmpl w:val="2852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E2AF6"/>
    <w:multiLevelType w:val="hybridMultilevel"/>
    <w:tmpl w:val="FE20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5ABA"/>
    <w:multiLevelType w:val="hybridMultilevel"/>
    <w:tmpl w:val="C4A21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35BC"/>
    <w:multiLevelType w:val="hybridMultilevel"/>
    <w:tmpl w:val="72DE4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A0F1E"/>
    <w:multiLevelType w:val="hybridMultilevel"/>
    <w:tmpl w:val="5C66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B4078"/>
    <w:multiLevelType w:val="hybridMultilevel"/>
    <w:tmpl w:val="FF16B9DC"/>
    <w:lvl w:ilvl="0" w:tplc="DD664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72C2F"/>
    <w:multiLevelType w:val="hybridMultilevel"/>
    <w:tmpl w:val="C4A21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C04A9"/>
    <w:multiLevelType w:val="hybridMultilevel"/>
    <w:tmpl w:val="D024744E"/>
    <w:lvl w:ilvl="0" w:tplc="8288160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EA674E"/>
    <w:multiLevelType w:val="hybridMultilevel"/>
    <w:tmpl w:val="2852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0457">
    <w:abstractNumId w:val="20"/>
  </w:num>
  <w:num w:numId="2" w16cid:durableId="1154759922">
    <w:abstractNumId w:val="27"/>
  </w:num>
  <w:num w:numId="3" w16cid:durableId="1433433615">
    <w:abstractNumId w:val="2"/>
  </w:num>
  <w:num w:numId="4" w16cid:durableId="21058626">
    <w:abstractNumId w:val="23"/>
  </w:num>
  <w:num w:numId="5" w16cid:durableId="1063605888">
    <w:abstractNumId w:val="18"/>
  </w:num>
  <w:num w:numId="6" w16cid:durableId="662321825">
    <w:abstractNumId w:val="12"/>
  </w:num>
  <w:num w:numId="7" w16cid:durableId="2145079476">
    <w:abstractNumId w:val="19"/>
  </w:num>
  <w:num w:numId="8" w16cid:durableId="13440160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4801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4937">
    <w:abstractNumId w:val="3"/>
  </w:num>
  <w:num w:numId="11" w16cid:durableId="23213187">
    <w:abstractNumId w:val="4"/>
  </w:num>
  <w:num w:numId="12" w16cid:durableId="1016535867">
    <w:abstractNumId w:val="28"/>
  </w:num>
  <w:num w:numId="13" w16cid:durableId="1447312938">
    <w:abstractNumId w:val="31"/>
  </w:num>
  <w:num w:numId="14" w16cid:durableId="45957525">
    <w:abstractNumId w:val="16"/>
  </w:num>
  <w:num w:numId="15" w16cid:durableId="950013346">
    <w:abstractNumId w:val="26"/>
  </w:num>
  <w:num w:numId="16" w16cid:durableId="1090128545">
    <w:abstractNumId w:val="30"/>
  </w:num>
  <w:num w:numId="17" w16cid:durableId="2073113035">
    <w:abstractNumId w:val="21"/>
  </w:num>
  <w:num w:numId="18" w16cid:durableId="1797943448">
    <w:abstractNumId w:val="5"/>
  </w:num>
  <w:num w:numId="19" w16cid:durableId="1118255793">
    <w:abstractNumId w:val="13"/>
  </w:num>
  <w:num w:numId="20" w16cid:durableId="1531870424">
    <w:abstractNumId w:val="6"/>
  </w:num>
  <w:num w:numId="21" w16cid:durableId="1191410714">
    <w:abstractNumId w:val="24"/>
  </w:num>
  <w:num w:numId="22" w16cid:durableId="1417819570">
    <w:abstractNumId w:val="0"/>
  </w:num>
  <w:num w:numId="23" w16cid:durableId="970673502">
    <w:abstractNumId w:val="14"/>
  </w:num>
  <w:num w:numId="24" w16cid:durableId="1189370157">
    <w:abstractNumId w:val="17"/>
  </w:num>
  <w:num w:numId="25" w16cid:durableId="1662735622">
    <w:abstractNumId w:val="32"/>
  </w:num>
  <w:num w:numId="26" w16cid:durableId="80489660">
    <w:abstractNumId w:val="11"/>
  </w:num>
  <w:num w:numId="27" w16cid:durableId="1859999456">
    <w:abstractNumId w:val="10"/>
  </w:num>
  <w:num w:numId="28" w16cid:durableId="520363214">
    <w:abstractNumId w:val="29"/>
  </w:num>
  <w:num w:numId="29" w16cid:durableId="1027952913">
    <w:abstractNumId w:val="9"/>
  </w:num>
  <w:num w:numId="30" w16cid:durableId="904141346">
    <w:abstractNumId w:val="22"/>
  </w:num>
  <w:num w:numId="31" w16cid:durableId="864975296">
    <w:abstractNumId w:val="1"/>
  </w:num>
  <w:num w:numId="32" w16cid:durableId="326058121">
    <w:abstractNumId w:val="15"/>
  </w:num>
  <w:num w:numId="33" w16cid:durableId="374086946">
    <w:abstractNumId w:val="25"/>
  </w:num>
  <w:num w:numId="34" w16cid:durableId="17668039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7E"/>
    <w:rsid w:val="00014F7A"/>
    <w:rsid w:val="000171F6"/>
    <w:rsid w:val="000305C6"/>
    <w:rsid w:val="00035547"/>
    <w:rsid w:val="00056525"/>
    <w:rsid w:val="00064700"/>
    <w:rsid w:val="00075259"/>
    <w:rsid w:val="0008361A"/>
    <w:rsid w:val="00093305"/>
    <w:rsid w:val="00096FBD"/>
    <w:rsid w:val="000B65A3"/>
    <w:rsid w:val="000C1014"/>
    <w:rsid w:val="000C504F"/>
    <w:rsid w:val="000C7F26"/>
    <w:rsid w:val="000D512A"/>
    <w:rsid w:val="000D6582"/>
    <w:rsid w:val="000E486E"/>
    <w:rsid w:val="000F386A"/>
    <w:rsid w:val="0010763C"/>
    <w:rsid w:val="001160D5"/>
    <w:rsid w:val="001200BF"/>
    <w:rsid w:val="0013170D"/>
    <w:rsid w:val="001352BB"/>
    <w:rsid w:val="001933FA"/>
    <w:rsid w:val="00196D4C"/>
    <w:rsid w:val="001A381E"/>
    <w:rsid w:val="001A5935"/>
    <w:rsid w:val="001A6B2C"/>
    <w:rsid w:val="001B08E4"/>
    <w:rsid w:val="001B2FFE"/>
    <w:rsid w:val="001C1BED"/>
    <w:rsid w:val="001C2BF1"/>
    <w:rsid w:val="001C4D20"/>
    <w:rsid w:val="001D7ACC"/>
    <w:rsid w:val="001E4BB5"/>
    <w:rsid w:val="001E60E0"/>
    <w:rsid w:val="001F1D8E"/>
    <w:rsid w:val="001F7877"/>
    <w:rsid w:val="00200039"/>
    <w:rsid w:val="00212765"/>
    <w:rsid w:val="002271FA"/>
    <w:rsid w:val="0023422F"/>
    <w:rsid w:val="00241AC6"/>
    <w:rsid w:val="0024336F"/>
    <w:rsid w:val="00267C6F"/>
    <w:rsid w:val="0027375F"/>
    <w:rsid w:val="0027537B"/>
    <w:rsid w:val="00282CAA"/>
    <w:rsid w:val="00293490"/>
    <w:rsid w:val="002974CE"/>
    <w:rsid w:val="002A209A"/>
    <w:rsid w:val="002B51CC"/>
    <w:rsid w:val="002C0366"/>
    <w:rsid w:val="002C0ADA"/>
    <w:rsid w:val="002C4193"/>
    <w:rsid w:val="002C44A2"/>
    <w:rsid w:val="002C73B8"/>
    <w:rsid w:val="002E5E13"/>
    <w:rsid w:val="002F32E1"/>
    <w:rsid w:val="002F7816"/>
    <w:rsid w:val="00304024"/>
    <w:rsid w:val="00312310"/>
    <w:rsid w:val="0035022D"/>
    <w:rsid w:val="0036726E"/>
    <w:rsid w:val="00370E74"/>
    <w:rsid w:val="00377846"/>
    <w:rsid w:val="003903E1"/>
    <w:rsid w:val="00393DAD"/>
    <w:rsid w:val="003A0ACA"/>
    <w:rsid w:val="003A1C07"/>
    <w:rsid w:val="003C0519"/>
    <w:rsid w:val="003C33C8"/>
    <w:rsid w:val="003C6072"/>
    <w:rsid w:val="003E1C4D"/>
    <w:rsid w:val="003F3EB3"/>
    <w:rsid w:val="0040191E"/>
    <w:rsid w:val="004047B7"/>
    <w:rsid w:val="00406813"/>
    <w:rsid w:val="00417BD5"/>
    <w:rsid w:val="00433467"/>
    <w:rsid w:val="00436DEF"/>
    <w:rsid w:val="004632AB"/>
    <w:rsid w:val="00471DF5"/>
    <w:rsid w:val="00497AA0"/>
    <w:rsid w:val="004C24EE"/>
    <w:rsid w:val="004C2FF8"/>
    <w:rsid w:val="004D45A9"/>
    <w:rsid w:val="004E52FD"/>
    <w:rsid w:val="00504FCB"/>
    <w:rsid w:val="005176F5"/>
    <w:rsid w:val="00517735"/>
    <w:rsid w:val="0052053B"/>
    <w:rsid w:val="00521B5A"/>
    <w:rsid w:val="00527788"/>
    <w:rsid w:val="0054008A"/>
    <w:rsid w:val="005400C5"/>
    <w:rsid w:val="00540CE4"/>
    <w:rsid w:val="00550680"/>
    <w:rsid w:val="005532F3"/>
    <w:rsid w:val="00554A6D"/>
    <w:rsid w:val="0055534C"/>
    <w:rsid w:val="005654DC"/>
    <w:rsid w:val="005776CA"/>
    <w:rsid w:val="005A1C52"/>
    <w:rsid w:val="005B2FEE"/>
    <w:rsid w:val="005B6148"/>
    <w:rsid w:val="005B7AE6"/>
    <w:rsid w:val="005C5F4F"/>
    <w:rsid w:val="005E0757"/>
    <w:rsid w:val="005E5160"/>
    <w:rsid w:val="005E793E"/>
    <w:rsid w:val="005F3C8B"/>
    <w:rsid w:val="00604C2A"/>
    <w:rsid w:val="00611136"/>
    <w:rsid w:val="00617F87"/>
    <w:rsid w:val="00630D0A"/>
    <w:rsid w:val="00634151"/>
    <w:rsid w:val="006518AE"/>
    <w:rsid w:val="00654A73"/>
    <w:rsid w:val="00654B62"/>
    <w:rsid w:val="00660B16"/>
    <w:rsid w:val="00675AC8"/>
    <w:rsid w:val="00676527"/>
    <w:rsid w:val="0068790B"/>
    <w:rsid w:val="006943D1"/>
    <w:rsid w:val="006A78DA"/>
    <w:rsid w:val="006B6DEB"/>
    <w:rsid w:val="006C0E41"/>
    <w:rsid w:val="006C19F7"/>
    <w:rsid w:val="006C4DDA"/>
    <w:rsid w:val="006D06B1"/>
    <w:rsid w:val="006D07B1"/>
    <w:rsid w:val="006D6E73"/>
    <w:rsid w:val="006E3D1A"/>
    <w:rsid w:val="006E50BC"/>
    <w:rsid w:val="006F2192"/>
    <w:rsid w:val="006F4369"/>
    <w:rsid w:val="007148E0"/>
    <w:rsid w:val="00717131"/>
    <w:rsid w:val="00730DFD"/>
    <w:rsid w:val="0074258B"/>
    <w:rsid w:val="00742DF8"/>
    <w:rsid w:val="00745629"/>
    <w:rsid w:val="00751613"/>
    <w:rsid w:val="007656A1"/>
    <w:rsid w:val="00770C2A"/>
    <w:rsid w:val="00771385"/>
    <w:rsid w:val="0077186D"/>
    <w:rsid w:val="0077510B"/>
    <w:rsid w:val="00780EAE"/>
    <w:rsid w:val="0078627A"/>
    <w:rsid w:val="007A54C7"/>
    <w:rsid w:val="007C1884"/>
    <w:rsid w:val="007D07DD"/>
    <w:rsid w:val="007E3C96"/>
    <w:rsid w:val="007E49A8"/>
    <w:rsid w:val="007F6DB5"/>
    <w:rsid w:val="00806117"/>
    <w:rsid w:val="0081735B"/>
    <w:rsid w:val="00822F82"/>
    <w:rsid w:val="00841F32"/>
    <w:rsid w:val="00844787"/>
    <w:rsid w:val="00852C46"/>
    <w:rsid w:val="00854B8F"/>
    <w:rsid w:val="00856CAC"/>
    <w:rsid w:val="00863CAC"/>
    <w:rsid w:val="00875801"/>
    <w:rsid w:val="00880D04"/>
    <w:rsid w:val="00883FED"/>
    <w:rsid w:val="008952FE"/>
    <w:rsid w:val="008A2475"/>
    <w:rsid w:val="008A2F02"/>
    <w:rsid w:val="008A7E7C"/>
    <w:rsid w:val="008B03DB"/>
    <w:rsid w:val="008B7A82"/>
    <w:rsid w:val="008C1D8A"/>
    <w:rsid w:val="008C5373"/>
    <w:rsid w:val="008D1A6D"/>
    <w:rsid w:val="008D568D"/>
    <w:rsid w:val="008D77AE"/>
    <w:rsid w:val="008E29F5"/>
    <w:rsid w:val="008E3E7A"/>
    <w:rsid w:val="008E76EB"/>
    <w:rsid w:val="008F2EC7"/>
    <w:rsid w:val="009030A3"/>
    <w:rsid w:val="009055C9"/>
    <w:rsid w:val="00912539"/>
    <w:rsid w:val="00912AD3"/>
    <w:rsid w:val="00920065"/>
    <w:rsid w:val="00940226"/>
    <w:rsid w:val="00940C0F"/>
    <w:rsid w:val="00941BAB"/>
    <w:rsid w:val="009438B7"/>
    <w:rsid w:val="00944416"/>
    <w:rsid w:val="0095785A"/>
    <w:rsid w:val="00971493"/>
    <w:rsid w:val="00981A31"/>
    <w:rsid w:val="00984027"/>
    <w:rsid w:val="009B044F"/>
    <w:rsid w:val="009B5DE7"/>
    <w:rsid w:val="009C1C2D"/>
    <w:rsid w:val="009C3AA3"/>
    <w:rsid w:val="009D27CD"/>
    <w:rsid w:val="009D784A"/>
    <w:rsid w:val="009E4300"/>
    <w:rsid w:val="009F55AD"/>
    <w:rsid w:val="009F740D"/>
    <w:rsid w:val="00A038D1"/>
    <w:rsid w:val="00A068D8"/>
    <w:rsid w:val="00A221C8"/>
    <w:rsid w:val="00A26CA3"/>
    <w:rsid w:val="00A30FFD"/>
    <w:rsid w:val="00A47E13"/>
    <w:rsid w:val="00A54E1C"/>
    <w:rsid w:val="00A6674C"/>
    <w:rsid w:val="00A66AF2"/>
    <w:rsid w:val="00A75A12"/>
    <w:rsid w:val="00A83F60"/>
    <w:rsid w:val="00A8643E"/>
    <w:rsid w:val="00A87672"/>
    <w:rsid w:val="00A90641"/>
    <w:rsid w:val="00AA0FCF"/>
    <w:rsid w:val="00AA6377"/>
    <w:rsid w:val="00AB5A33"/>
    <w:rsid w:val="00AC0BE8"/>
    <w:rsid w:val="00AC5141"/>
    <w:rsid w:val="00AD043F"/>
    <w:rsid w:val="00AD6628"/>
    <w:rsid w:val="00AE326B"/>
    <w:rsid w:val="00AE7DFF"/>
    <w:rsid w:val="00AF3179"/>
    <w:rsid w:val="00B01EC1"/>
    <w:rsid w:val="00B075C9"/>
    <w:rsid w:val="00B11F2B"/>
    <w:rsid w:val="00B13E43"/>
    <w:rsid w:val="00B141C9"/>
    <w:rsid w:val="00B1535E"/>
    <w:rsid w:val="00B15E89"/>
    <w:rsid w:val="00B300B6"/>
    <w:rsid w:val="00B44131"/>
    <w:rsid w:val="00B47584"/>
    <w:rsid w:val="00B51240"/>
    <w:rsid w:val="00B6357A"/>
    <w:rsid w:val="00B73E16"/>
    <w:rsid w:val="00BA317F"/>
    <w:rsid w:val="00BA5D2B"/>
    <w:rsid w:val="00BA5FA5"/>
    <w:rsid w:val="00BB146C"/>
    <w:rsid w:val="00BB52D3"/>
    <w:rsid w:val="00BC13E5"/>
    <w:rsid w:val="00BC1EA4"/>
    <w:rsid w:val="00BC4D0A"/>
    <w:rsid w:val="00BD2C48"/>
    <w:rsid w:val="00BD3FF6"/>
    <w:rsid w:val="00BD6102"/>
    <w:rsid w:val="00BF12AC"/>
    <w:rsid w:val="00BF4443"/>
    <w:rsid w:val="00C1026A"/>
    <w:rsid w:val="00C1267A"/>
    <w:rsid w:val="00C1699D"/>
    <w:rsid w:val="00C32AE8"/>
    <w:rsid w:val="00C34B97"/>
    <w:rsid w:val="00C37C3D"/>
    <w:rsid w:val="00C62840"/>
    <w:rsid w:val="00C65C89"/>
    <w:rsid w:val="00C742C0"/>
    <w:rsid w:val="00C95304"/>
    <w:rsid w:val="00C97EBB"/>
    <w:rsid w:val="00CB5834"/>
    <w:rsid w:val="00CC0322"/>
    <w:rsid w:val="00CC371D"/>
    <w:rsid w:val="00CC7A8E"/>
    <w:rsid w:val="00CD3CF4"/>
    <w:rsid w:val="00CE26AB"/>
    <w:rsid w:val="00CE383A"/>
    <w:rsid w:val="00CE7D95"/>
    <w:rsid w:val="00CF582F"/>
    <w:rsid w:val="00CF7014"/>
    <w:rsid w:val="00D15AAD"/>
    <w:rsid w:val="00D17C59"/>
    <w:rsid w:val="00D57FFB"/>
    <w:rsid w:val="00D63753"/>
    <w:rsid w:val="00D710A5"/>
    <w:rsid w:val="00D7728C"/>
    <w:rsid w:val="00D77893"/>
    <w:rsid w:val="00D83133"/>
    <w:rsid w:val="00D84BE0"/>
    <w:rsid w:val="00D8748A"/>
    <w:rsid w:val="00D9125D"/>
    <w:rsid w:val="00DB3290"/>
    <w:rsid w:val="00DB5D69"/>
    <w:rsid w:val="00DC2360"/>
    <w:rsid w:val="00DC4A2B"/>
    <w:rsid w:val="00DD40C3"/>
    <w:rsid w:val="00DE55B1"/>
    <w:rsid w:val="00DF64D5"/>
    <w:rsid w:val="00E0137C"/>
    <w:rsid w:val="00E07731"/>
    <w:rsid w:val="00E11124"/>
    <w:rsid w:val="00E23CEB"/>
    <w:rsid w:val="00E24452"/>
    <w:rsid w:val="00E300BC"/>
    <w:rsid w:val="00E327E6"/>
    <w:rsid w:val="00E338B0"/>
    <w:rsid w:val="00E408CE"/>
    <w:rsid w:val="00E50E8F"/>
    <w:rsid w:val="00E531A4"/>
    <w:rsid w:val="00E611CB"/>
    <w:rsid w:val="00E6210B"/>
    <w:rsid w:val="00E72694"/>
    <w:rsid w:val="00E74A02"/>
    <w:rsid w:val="00E75E4B"/>
    <w:rsid w:val="00E85A87"/>
    <w:rsid w:val="00E87AA7"/>
    <w:rsid w:val="00E87BC3"/>
    <w:rsid w:val="00E94356"/>
    <w:rsid w:val="00EA3866"/>
    <w:rsid w:val="00EB0119"/>
    <w:rsid w:val="00EB33BA"/>
    <w:rsid w:val="00EB3DAA"/>
    <w:rsid w:val="00EB5B44"/>
    <w:rsid w:val="00EE3AF0"/>
    <w:rsid w:val="00EE7D82"/>
    <w:rsid w:val="00EF4F9A"/>
    <w:rsid w:val="00EF556F"/>
    <w:rsid w:val="00F05CED"/>
    <w:rsid w:val="00F1065A"/>
    <w:rsid w:val="00F2247E"/>
    <w:rsid w:val="00F322BB"/>
    <w:rsid w:val="00F570F0"/>
    <w:rsid w:val="00F7155D"/>
    <w:rsid w:val="00F72C32"/>
    <w:rsid w:val="00F73B12"/>
    <w:rsid w:val="00F829BE"/>
    <w:rsid w:val="00F92281"/>
    <w:rsid w:val="00F9759C"/>
    <w:rsid w:val="00FA35F8"/>
    <w:rsid w:val="00FA788C"/>
    <w:rsid w:val="00FB6D0C"/>
    <w:rsid w:val="00FC3506"/>
    <w:rsid w:val="00FD10D0"/>
    <w:rsid w:val="00FD5071"/>
    <w:rsid w:val="00FE300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E758AB"/>
  <w15:chartTrackingRefBased/>
  <w15:docId w15:val="{8AB4D134-EB7E-4B5D-87A3-C31DAD6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247E"/>
  </w:style>
  <w:style w:type="paragraph" w:styleId="Nagwek1">
    <w:name w:val="heading 1"/>
    <w:basedOn w:val="Normalny"/>
    <w:next w:val="Normalny"/>
    <w:link w:val="Nagwek1Znak"/>
    <w:qFormat/>
    <w:rsid w:val="006D0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247E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2247E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F2247E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F2247E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2247E"/>
    <w:rPr>
      <w:rFonts w:ascii="Arial" w:hAnsi="Arial"/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F2247E"/>
    <w:rPr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F2247E"/>
    <w:rPr>
      <w:rFonts w:ascii="Arial" w:hAnsi="Arial"/>
      <w:b/>
      <w:sz w:val="24"/>
      <w:lang w:val="pl-PL" w:eastAsia="pl-PL" w:bidi="ar-SA"/>
    </w:rPr>
  </w:style>
  <w:style w:type="character" w:customStyle="1" w:styleId="Nagwek8Znak">
    <w:name w:val="Nagłówek 8 Znak"/>
    <w:link w:val="Nagwek8"/>
    <w:rsid w:val="00F2247E"/>
    <w:rPr>
      <w:b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2247E"/>
    <w:rPr>
      <w:sz w:val="24"/>
    </w:rPr>
  </w:style>
  <w:style w:type="character" w:customStyle="1" w:styleId="TekstpodstawowyZnak">
    <w:name w:val="Tekst podstawowy Znak"/>
    <w:link w:val="Tekstpodstawowy"/>
    <w:rsid w:val="00F2247E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22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247E"/>
    <w:rPr>
      <w:lang w:val="pl-PL" w:eastAsia="pl-PL" w:bidi="ar-SA"/>
    </w:rPr>
  </w:style>
  <w:style w:type="paragraph" w:styleId="Stopka">
    <w:name w:val="footer"/>
    <w:basedOn w:val="Normalny"/>
    <w:link w:val="StopkaZnak"/>
    <w:rsid w:val="00DC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C4A2B"/>
  </w:style>
  <w:style w:type="paragraph" w:styleId="Akapitzlist">
    <w:name w:val="List Paragraph"/>
    <w:basedOn w:val="Normalny"/>
    <w:uiPriority w:val="34"/>
    <w:qFormat/>
    <w:rsid w:val="00CC7A8E"/>
    <w:pPr>
      <w:ind w:left="708"/>
    </w:pPr>
  </w:style>
  <w:style w:type="paragraph" w:styleId="Tekstdymka">
    <w:name w:val="Balloon Text"/>
    <w:basedOn w:val="Normalny"/>
    <w:link w:val="TekstdymkaZnak"/>
    <w:rsid w:val="002C0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C0ADA"/>
    <w:rPr>
      <w:rFonts w:ascii="Tahoma" w:hAnsi="Tahoma" w:cs="Tahoma"/>
      <w:sz w:val="16"/>
      <w:szCs w:val="16"/>
    </w:rPr>
  </w:style>
  <w:style w:type="character" w:styleId="Hipercze">
    <w:name w:val="Hyperlink"/>
    <w:rsid w:val="00981A31"/>
    <w:rPr>
      <w:color w:val="0000FF"/>
      <w:u w:val="single"/>
    </w:rPr>
  </w:style>
  <w:style w:type="character" w:customStyle="1" w:styleId="Nagwek1Znak">
    <w:name w:val="Nagłówek 1 Znak"/>
    <w:link w:val="Nagwek1"/>
    <w:rsid w:val="006D07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6D07B1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link w:val="Tekstprzypisudolnego"/>
    <w:rsid w:val="006D07B1"/>
    <w:rPr>
      <w:rFonts w:cs="Calibri"/>
      <w:lang w:eastAsia="ar-SA"/>
    </w:rPr>
  </w:style>
  <w:style w:type="paragraph" w:customStyle="1" w:styleId="product-description">
    <w:name w:val="product-description"/>
    <w:basedOn w:val="Normalny"/>
    <w:rsid w:val="000C504F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7735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uiPriority w:val="22"/>
    <w:qFormat/>
    <w:rsid w:val="00B15E89"/>
    <w:rPr>
      <w:b/>
      <w:bCs/>
    </w:rPr>
  </w:style>
  <w:style w:type="paragraph" w:styleId="Bezodstpw">
    <w:name w:val="No Spacing"/>
    <w:uiPriority w:val="1"/>
    <w:qFormat/>
    <w:rsid w:val="00B15E89"/>
  </w:style>
  <w:style w:type="table" w:styleId="Tabela-Siatka">
    <w:name w:val="Table Grid"/>
    <w:basedOn w:val="Standardowy"/>
    <w:rsid w:val="00E7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2822</Words>
  <Characters>18854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21633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Andrzej Łakomiec</dc:creator>
  <cp:keywords/>
  <cp:lastModifiedBy>Agnieszka Znamirowska</cp:lastModifiedBy>
  <cp:revision>3</cp:revision>
  <cp:lastPrinted>2024-04-18T10:43:00Z</cp:lastPrinted>
  <dcterms:created xsi:type="dcterms:W3CDTF">2024-04-18T10:28:00Z</dcterms:created>
  <dcterms:modified xsi:type="dcterms:W3CDTF">2024-04-18T10:43:00Z</dcterms:modified>
</cp:coreProperties>
</file>