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D373DF" w14:textId="14B325E1" w:rsidR="00A73D9D" w:rsidRDefault="009D4FD0" w:rsidP="009D4FD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3.3 do SW</w:t>
      </w:r>
      <w:r>
        <w:rPr>
          <w:rFonts w:ascii="Arial" w:hAnsi="Arial" w:cs="Arial"/>
          <w:sz w:val="22"/>
          <w:szCs w:val="22"/>
        </w:rPr>
        <w:t>Z</w:t>
      </w:r>
    </w:p>
    <w:p w14:paraId="195D6FAA" w14:textId="7CE485D3" w:rsidR="008B5C96" w:rsidRPr="004230A5" w:rsidRDefault="003D5FFF" w:rsidP="008B5C96">
      <w:pPr>
        <w:rPr>
          <w:rFonts w:ascii="Arial" w:hAnsi="Arial" w:cs="Arial"/>
          <w:sz w:val="20"/>
          <w:szCs w:val="20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8B5C96" w:rsidRPr="008B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596361">
        <w:rPr>
          <w:rFonts w:ascii="Arial" w:hAnsi="Arial" w:cs="Arial"/>
          <w:b/>
          <w:bCs/>
          <w:sz w:val="22"/>
          <w:szCs w:val="22"/>
        </w:rPr>
        <w:t>szaf</w:t>
      </w:r>
      <w:r w:rsidR="00842830">
        <w:rPr>
          <w:rFonts w:ascii="Arial" w:hAnsi="Arial" w:cs="Arial"/>
          <w:b/>
          <w:bCs/>
          <w:sz w:val="22"/>
          <w:szCs w:val="22"/>
        </w:rPr>
        <w:t>y</w:t>
      </w:r>
      <w:r w:rsidR="00596361">
        <w:rPr>
          <w:rFonts w:ascii="Arial" w:hAnsi="Arial" w:cs="Arial"/>
          <w:b/>
          <w:bCs/>
          <w:sz w:val="22"/>
          <w:szCs w:val="22"/>
        </w:rPr>
        <w:t xml:space="preserve"> wentylowan</w:t>
      </w:r>
      <w:r w:rsidR="00842830">
        <w:rPr>
          <w:rFonts w:ascii="Arial" w:hAnsi="Arial" w:cs="Arial"/>
          <w:b/>
          <w:bCs/>
          <w:sz w:val="22"/>
          <w:szCs w:val="22"/>
        </w:rPr>
        <w:t>e</w:t>
      </w:r>
      <w:r w:rsidR="008A7EBB">
        <w:rPr>
          <w:rFonts w:ascii="Arial" w:hAnsi="Arial" w:cs="Arial"/>
          <w:b/>
          <w:bCs/>
          <w:sz w:val="22"/>
          <w:szCs w:val="22"/>
        </w:rPr>
        <w:t xml:space="preserve"> (9 sztuk)</w:t>
      </w:r>
      <w:r w:rsidR="00596361">
        <w:rPr>
          <w:rFonts w:ascii="Arial" w:hAnsi="Arial" w:cs="Arial"/>
          <w:b/>
          <w:bCs/>
          <w:sz w:val="22"/>
          <w:szCs w:val="22"/>
        </w:rPr>
        <w:t xml:space="preserve"> do przechowywania </w:t>
      </w:r>
      <w:r w:rsidR="00C550B3">
        <w:rPr>
          <w:rFonts w:ascii="Arial" w:hAnsi="Arial" w:cs="Arial"/>
          <w:b/>
          <w:bCs/>
          <w:sz w:val="22"/>
          <w:szCs w:val="22"/>
        </w:rPr>
        <w:t>butli z gazem</w:t>
      </w:r>
      <w:r w:rsidR="005424AE">
        <w:rPr>
          <w:rFonts w:ascii="Arial" w:hAnsi="Arial" w:cs="Arial"/>
          <w:b/>
          <w:bCs/>
          <w:sz w:val="22"/>
          <w:szCs w:val="22"/>
        </w:rPr>
        <w:t xml:space="preserve"> z certyfikatem G</w:t>
      </w:r>
      <w:r w:rsidR="00A12ED1">
        <w:rPr>
          <w:rFonts w:ascii="Arial" w:hAnsi="Arial" w:cs="Arial"/>
          <w:b/>
          <w:bCs/>
          <w:sz w:val="22"/>
          <w:szCs w:val="22"/>
        </w:rPr>
        <w:t>30</w:t>
      </w:r>
      <w:r w:rsidR="00311468">
        <w:rPr>
          <w:rFonts w:ascii="Arial" w:hAnsi="Arial" w:cs="Arial"/>
          <w:b/>
          <w:bCs/>
          <w:sz w:val="22"/>
          <w:szCs w:val="22"/>
        </w:rPr>
        <w:t>,</w:t>
      </w:r>
      <w:r w:rsidR="005424AE">
        <w:rPr>
          <w:rFonts w:ascii="Arial" w:hAnsi="Arial" w:cs="Arial"/>
          <w:b/>
          <w:bCs/>
          <w:sz w:val="22"/>
          <w:szCs w:val="22"/>
        </w:rPr>
        <w:t xml:space="preserve"> </w:t>
      </w:r>
      <w:r w:rsidR="008B5C96" w:rsidRPr="008B5C96">
        <w:rPr>
          <w:rFonts w:ascii="Arial" w:hAnsi="Arial" w:cs="Arial"/>
          <w:b/>
          <w:sz w:val="22"/>
          <w:szCs w:val="22"/>
        </w:rPr>
        <w:t>zgodn</w:t>
      </w:r>
      <w:r w:rsidR="003B7713">
        <w:rPr>
          <w:rFonts w:ascii="Arial" w:hAnsi="Arial" w:cs="Arial"/>
          <w:b/>
          <w:sz w:val="22"/>
          <w:szCs w:val="22"/>
        </w:rPr>
        <w:t>e</w:t>
      </w:r>
      <w:r w:rsidR="008B5C96" w:rsidRPr="008B5C96">
        <w:rPr>
          <w:rFonts w:ascii="Arial" w:hAnsi="Arial" w:cs="Arial"/>
          <w:b/>
          <w:sz w:val="22"/>
          <w:szCs w:val="22"/>
        </w:rPr>
        <w:t xml:space="preserve"> z minimalnymi parametrami technicznymi</w:t>
      </w:r>
      <w:r w:rsidR="00E51414">
        <w:rPr>
          <w:rFonts w:ascii="Arial" w:hAnsi="Arial" w:cs="Arial"/>
          <w:b/>
          <w:sz w:val="22"/>
          <w:szCs w:val="22"/>
        </w:rPr>
        <w:t>.</w:t>
      </w:r>
    </w:p>
    <w:p w14:paraId="5078F1AA" w14:textId="77777777" w:rsidR="00645E27" w:rsidRDefault="00645E27" w:rsidP="00645E27">
      <w:pPr>
        <w:spacing w:after="100" w:afterAutospacing="1"/>
        <w:rPr>
          <w:rFonts w:ascii="Arial" w:hAnsi="Arial" w:cs="Arial"/>
          <w:bCs/>
          <w:sz w:val="22"/>
          <w:szCs w:val="22"/>
        </w:rPr>
      </w:pPr>
    </w:p>
    <w:p w14:paraId="42687461" w14:textId="1DACC773" w:rsidR="00645E27" w:rsidRDefault="00645E27" w:rsidP="00645E27">
      <w:pPr>
        <w:spacing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550B3" w:rsidRPr="00C550B3">
        <w:rPr>
          <w:rFonts w:ascii="Arial" w:hAnsi="Arial" w:cs="Arial"/>
          <w:bCs/>
          <w:sz w:val="22"/>
          <w:szCs w:val="22"/>
        </w:rPr>
        <w:t>zer</w:t>
      </w:r>
      <w:r>
        <w:rPr>
          <w:rFonts w:ascii="Arial" w:hAnsi="Arial" w:cs="Arial"/>
          <w:bCs/>
          <w:sz w:val="22"/>
          <w:szCs w:val="22"/>
        </w:rPr>
        <w:t>okość:</w:t>
      </w:r>
      <w:r w:rsidR="00C550B3" w:rsidRPr="00C550B3">
        <w:rPr>
          <w:rFonts w:ascii="Arial" w:hAnsi="Arial" w:cs="Arial"/>
          <w:bCs/>
          <w:sz w:val="22"/>
          <w:szCs w:val="22"/>
        </w:rPr>
        <w:t xml:space="preserve"> 60 cm -  </w:t>
      </w:r>
      <w:r w:rsidR="00C550B3" w:rsidRPr="00C550B3">
        <w:rPr>
          <w:rFonts w:ascii="Arial" w:hAnsi="Arial" w:cs="Arial"/>
          <w:b/>
          <w:bCs/>
          <w:sz w:val="22"/>
          <w:szCs w:val="22"/>
        </w:rPr>
        <w:t>3 szt.</w:t>
      </w:r>
      <w:r w:rsidR="002E7686">
        <w:rPr>
          <w:rFonts w:ascii="Arial" w:hAnsi="Arial" w:cs="Arial"/>
          <w:b/>
          <w:bCs/>
          <w:sz w:val="22"/>
          <w:szCs w:val="22"/>
        </w:rPr>
        <w:t xml:space="preserve"> ( na dwie butle)</w:t>
      </w:r>
      <w:r w:rsidR="00C550B3" w:rsidRPr="00C550B3">
        <w:rPr>
          <w:rFonts w:ascii="Arial" w:hAnsi="Arial" w:cs="Arial"/>
          <w:bCs/>
          <w:sz w:val="22"/>
          <w:szCs w:val="22"/>
        </w:rPr>
        <w:t>, szer</w:t>
      </w:r>
      <w:r>
        <w:rPr>
          <w:rFonts w:ascii="Arial" w:hAnsi="Arial" w:cs="Arial"/>
          <w:bCs/>
          <w:sz w:val="22"/>
          <w:szCs w:val="22"/>
        </w:rPr>
        <w:t>okość:</w:t>
      </w:r>
      <w:r w:rsidR="00C550B3" w:rsidRPr="00C550B3">
        <w:rPr>
          <w:rFonts w:ascii="Arial" w:hAnsi="Arial" w:cs="Arial"/>
          <w:bCs/>
          <w:sz w:val="22"/>
          <w:szCs w:val="22"/>
        </w:rPr>
        <w:t xml:space="preserve"> 90 cm -  </w:t>
      </w:r>
      <w:r w:rsidR="00C550B3" w:rsidRPr="00C550B3">
        <w:rPr>
          <w:rFonts w:ascii="Arial" w:hAnsi="Arial" w:cs="Arial"/>
          <w:b/>
          <w:bCs/>
          <w:sz w:val="22"/>
          <w:szCs w:val="22"/>
        </w:rPr>
        <w:t>4 szt.</w:t>
      </w:r>
      <w:r w:rsidR="002E7686">
        <w:rPr>
          <w:rFonts w:ascii="Arial" w:hAnsi="Arial" w:cs="Arial"/>
          <w:b/>
          <w:bCs/>
          <w:sz w:val="22"/>
          <w:szCs w:val="22"/>
        </w:rPr>
        <w:t xml:space="preserve"> (na 3 butle)</w:t>
      </w:r>
      <w:r w:rsidR="00C550B3" w:rsidRPr="00C550B3">
        <w:rPr>
          <w:rFonts w:ascii="Arial" w:hAnsi="Arial" w:cs="Arial"/>
          <w:bCs/>
          <w:sz w:val="22"/>
          <w:szCs w:val="22"/>
        </w:rPr>
        <w:t>, szer</w:t>
      </w:r>
      <w:r>
        <w:rPr>
          <w:rFonts w:ascii="Arial" w:hAnsi="Arial" w:cs="Arial"/>
          <w:bCs/>
          <w:sz w:val="22"/>
          <w:szCs w:val="22"/>
        </w:rPr>
        <w:t>okość:</w:t>
      </w:r>
      <w:r w:rsidR="00C550B3" w:rsidRPr="00C550B3">
        <w:rPr>
          <w:rFonts w:ascii="Arial" w:hAnsi="Arial" w:cs="Arial"/>
          <w:bCs/>
          <w:sz w:val="22"/>
          <w:szCs w:val="22"/>
        </w:rPr>
        <w:t xml:space="preserve"> 120</w:t>
      </w:r>
      <w:r w:rsidR="00473F71">
        <w:rPr>
          <w:rFonts w:ascii="Arial" w:hAnsi="Arial" w:cs="Arial"/>
          <w:bCs/>
          <w:sz w:val="22"/>
          <w:szCs w:val="22"/>
        </w:rPr>
        <w:t xml:space="preserve"> cm</w:t>
      </w:r>
      <w:r w:rsidR="00C550B3" w:rsidRPr="00C550B3">
        <w:rPr>
          <w:rFonts w:ascii="Arial" w:hAnsi="Arial" w:cs="Arial"/>
          <w:bCs/>
          <w:sz w:val="22"/>
          <w:szCs w:val="22"/>
        </w:rPr>
        <w:t xml:space="preserve"> -  </w:t>
      </w:r>
      <w:r w:rsidR="00C550B3" w:rsidRPr="00C550B3">
        <w:rPr>
          <w:rFonts w:ascii="Arial" w:hAnsi="Arial" w:cs="Arial"/>
          <w:b/>
          <w:bCs/>
          <w:sz w:val="22"/>
          <w:szCs w:val="22"/>
        </w:rPr>
        <w:t>2 szt</w:t>
      </w:r>
      <w:r w:rsidR="00066404">
        <w:rPr>
          <w:rFonts w:ascii="Arial" w:hAnsi="Arial" w:cs="Arial"/>
          <w:b/>
          <w:bCs/>
          <w:sz w:val="22"/>
          <w:szCs w:val="22"/>
        </w:rPr>
        <w:t>.</w:t>
      </w:r>
      <w:r w:rsidR="002E7686">
        <w:rPr>
          <w:rFonts w:ascii="Arial" w:hAnsi="Arial" w:cs="Arial"/>
          <w:b/>
          <w:bCs/>
          <w:sz w:val="22"/>
          <w:szCs w:val="22"/>
        </w:rPr>
        <w:t xml:space="preserve"> (na 4 butle).</w:t>
      </w:r>
    </w:p>
    <w:p w14:paraId="67C76DE3" w14:textId="6F5F9F20" w:rsidR="00FB31DF" w:rsidRPr="00645E27" w:rsidRDefault="00FB31DF" w:rsidP="00645E27">
      <w:pPr>
        <w:spacing w:after="100" w:afterAutospacing="1"/>
        <w:rPr>
          <w:rFonts w:ascii="Arial" w:hAnsi="Arial" w:cs="Arial"/>
          <w:bCs/>
          <w:sz w:val="22"/>
          <w:szCs w:val="22"/>
        </w:rPr>
      </w:pPr>
      <w:r w:rsidRPr="00CB0B57">
        <w:rPr>
          <w:rFonts w:ascii="Arial" w:hAnsi="Arial" w:cs="Arial"/>
          <w:sz w:val="22"/>
          <w:szCs w:val="22"/>
        </w:rPr>
        <w:t>Model/typ</w:t>
      </w:r>
      <w:r w:rsidR="00DB69FB" w:rsidRPr="00CB0B57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AE43436" w14:textId="061E032D" w:rsidR="00FB31DF" w:rsidRPr="00CB0B57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  <w:r w:rsidRPr="00CB0B57">
        <w:rPr>
          <w:rFonts w:ascii="Arial" w:hAnsi="Arial" w:cs="Arial"/>
          <w:sz w:val="22"/>
          <w:szCs w:val="22"/>
        </w:rPr>
        <w:t>Producent/kraj</w:t>
      </w:r>
      <w:r w:rsidR="003366ED" w:rsidRPr="00CB0B57">
        <w:rPr>
          <w:rFonts w:ascii="Arial" w:hAnsi="Arial" w:cs="Arial"/>
          <w:sz w:val="22"/>
          <w:szCs w:val="22"/>
        </w:rPr>
        <w:t>:………………………………………</w:t>
      </w:r>
    </w:p>
    <w:p w14:paraId="55937506" w14:textId="77777777" w:rsidR="007C0594" w:rsidRPr="00CB0B57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803"/>
        <w:gridCol w:w="5386"/>
      </w:tblGrid>
      <w:tr w:rsidR="00596BFD" w:rsidRPr="003271E5" w14:paraId="032698E6" w14:textId="77777777" w:rsidTr="00916649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4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22" w:type="pct"/>
            <w:vAlign w:val="center"/>
            <w:hideMark/>
          </w:tcPr>
          <w:p w14:paraId="2F9BB2C9" w14:textId="3A00BDEB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A64C8D0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1D87F" w14:textId="0634CF5B" w:rsidR="00D514D0" w:rsidRDefault="00AD5C40" w:rsidP="0033221B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 xml:space="preserve">Szafy niepalne, nienasiąkliwe łatwo zmywalne, o wytrzymałości ogniowej </w:t>
            </w:r>
            <w:r w:rsidR="00A12ED1">
              <w:rPr>
                <w:rFonts w:ascii="Arial" w:hAnsi="Arial" w:cs="Arial"/>
                <w:sz w:val="22"/>
                <w:szCs w:val="22"/>
              </w:rPr>
              <w:t>30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minut (klasa G</w:t>
            </w:r>
            <w:r w:rsidR="00A12ED1">
              <w:rPr>
                <w:rFonts w:ascii="Arial" w:hAnsi="Arial" w:cs="Arial"/>
                <w:sz w:val="22"/>
                <w:szCs w:val="22"/>
              </w:rPr>
              <w:t>30</w:t>
            </w:r>
            <w:r w:rsidRPr="00AD5C40">
              <w:rPr>
                <w:rFonts w:ascii="Arial" w:hAnsi="Arial" w:cs="Arial"/>
                <w:sz w:val="22"/>
                <w:szCs w:val="22"/>
              </w:rPr>
              <w:t>, testy zgodnie z normą EN 14470-2</w:t>
            </w:r>
            <w:r w:rsidR="00B90CF5">
              <w:rPr>
                <w:rFonts w:ascii="Arial" w:hAnsi="Arial" w:cs="Arial"/>
                <w:sz w:val="22"/>
                <w:szCs w:val="22"/>
              </w:rPr>
              <w:t xml:space="preserve"> lub równoważną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), odpowiednio zabezpieczone przed działaniem korozji. </w:t>
            </w:r>
          </w:p>
          <w:p w14:paraId="2DE20737" w14:textId="20ED71C2" w:rsidR="0033221B" w:rsidRPr="00AD5C40" w:rsidRDefault="0033221B" w:rsidP="0033221B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3221B" w:rsidRPr="003271E5" w14:paraId="0204B865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48B4C318" w14:textId="77777777" w:rsidR="0033221B" w:rsidRPr="00A53F85" w:rsidRDefault="0033221B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17202960" w14:textId="77777777" w:rsidR="0033221B" w:rsidRDefault="0033221B" w:rsidP="00311468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EA0486" w14:textId="77777777" w:rsidR="00311468" w:rsidRDefault="0033221B" w:rsidP="00311468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Obudowa</w:t>
            </w:r>
            <w:r>
              <w:rPr>
                <w:rFonts w:ascii="Arial" w:hAnsi="Arial" w:cs="Arial"/>
                <w:sz w:val="22"/>
                <w:szCs w:val="22"/>
              </w:rPr>
              <w:t xml:space="preserve"> szaf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zewnętrzna powinna być wykonana z blachy stalowej, dopuszcza się zastosowanie blachy ocynkowanej galwanicznie (grubość warstwy cynku minimum 2,5 µm) lub ze stali kwasoodpornej gat</w:t>
            </w:r>
            <w:r w:rsidR="000F29C8">
              <w:rPr>
                <w:rFonts w:ascii="Arial" w:hAnsi="Arial" w:cs="Arial"/>
                <w:sz w:val="22"/>
                <w:szCs w:val="22"/>
              </w:rPr>
              <w:t>unek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OH18N9</w:t>
            </w:r>
            <w:r w:rsidR="000F29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dwustronnie pokrytej proszkowo lakierem poliuretanowym, nakładanym metodą proszkową (grubość powłoki lakierniczej 40µm - 100µm). </w:t>
            </w:r>
            <w:r w:rsidR="000D33C8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14:paraId="234B62BF" w14:textId="7507EBB2" w:rsidR="0033221B" w:rsidRPr="00AD5C40" w:rsidRDefault="000D33C8" w:rsidP="00311468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21B" w:rsidRPr="00AD5C40">
              <w:rPr>
                <w:rFonts w:ascii="Arial" w:hAnsi="Arial" w:cs="Arial"/>
                <w:sz w:val="22"/>
                <w:szCs w:val="22"/>
              </w:rPr>
              <w:t>Nie dopuszcza się stosowania zamkniętych kształtowników.</w:t>
            </w:r>
          </w:p>
          <w:p w14:paraId="59AD53AC" w14:textId="77777777" w:rsidR="0033221B" w:rsidRDefault="0033221B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696FD329" w14:textId="77777777" w:rsidR="0033221B" w:rsidRPr="003271E5" w:rsidRDefault="0033221B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514D0" w:rsidRPr="003271E5" w14:paraId="67410B42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36C9EDA6" w14:textId="77777777" w:rsidR="00D514D0" w:rsidRPr="00A53F85" w:rsidRDefault="00D514D0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69A1711C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DEF17" w14:textId="7F4FD4AB" w:rsidR="00AD5C40" w:rsidRP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Zamawiający wymaga, aby w przypadku pożaru otwarte drzwi szafy oraz kanały powietrzne nawiewne i wywiewne zost</w:t>
            </w:r>
            <w:r w:rsidR="00245207">
              <w:rPr>
                <w:rFonts w:ascii="Arial" w:hAnsi="Arial" w:cs="Arial"/>
                <w:sz w:val="22"/>
                <w:szCs w:val="22"/>
              </w:rPr>
              <w:t>ały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automatycznie zamknięte. Ponadto obwód drzwi </w:t>
            </w:r>
            <w:r w:rsidR="00360BF5">
              <w:rPr>
                <w:rFonts w:ascii="Arial" w:hAnsi="Arial" w:cs="Arial"/>
                <w:sz w:val="22"/>
                <w:szCs w:val="22"/>
              </w:rPr>
              <w:t>powinien zostać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uszczelniony specjalnymi uszczelkami przeciwpożarowymi</w:t>
            </w:r>
            <w:r w:rsidR="00360BF5">
              <w:rPr>
                <w:rFonts w:ascii="Arial" w:hAnsi="Arial" w:cs="Arial"/>
                <w:sz w:val="22"/>
                <w:szCs w:val="22"/>
              </w:rPr>
              <w:t xml:space="preserve"> co zapewnia </w:t>
            </w:r>
            <w:r w:rsidRPr="00AD5C40">
              <w:rPr>
                <w:rFonts w:ascii="Arial" w:hAnsi="Arial" w:cs="Arial"/>
                <w:sz w:val="22"/>
                <w:szCs w:val="22"/>
              </w:rPr>
              <w:t>hermetycznie odizolowan</w:t>
            </w:r>
            <w:r w:rsidR="00360BF5">
              <w:rPr>
                <w:rFonts w:ascii="Arial" w:hAnsi="Arial" w:cs="Arial"/>
                <w:sz w:val="22"/>
                <w:szCs w:val="22"/>
              </w:rPr>
              <w:t>ie</w:t>
            </w:r>
            <w:r w:rsidR="0009762D">
              <w:rPr>
                <w:rFonts w:ascii="Arial" w:hAnsi="Arial" w:cs="Arial"/>
                <w:sz w:val="22"/>
                <w:szCs w:val="22"/>
              </w:rPr>
              <w:t xml:space="preserve"> szafy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od ognia z zewnątrz.</w:t>
            </w:r>
          </w:p>
          <w:p w14:paraId="7BAECB6C" w14:textId="77777777" w:rsidR="00D514D0" w:rsidRPr="00AD5C40" w:rsidRDefault="00D514D0" w:rsidP="004F2E3E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7BBEF16E" w14:textId="77777777" w:rsidR="00D514D0" w:rsidRPr="003271E5" w:rsidRDefault="00D514D0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4248FBA" w14:textId="5621DF97" w:rsidR="00226B2B" w:rsidRPr="00AD5C40" w:rsidRDefault="00AD5C40" w:rsidP="00AD5C40">
            <w:pPr>
              <w:spacing w:after="100" w:afterAutospacing="1" w:line="257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Kolorystyka do ustalenia z Zamawiającym na etapie realizacji.</w:t>
            </w:r>
          </w:p>
        </w:tc>
        <w:tc>
          <w:tcPr>
            <w:tcW w:w="2022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41B7A0ED" w14:textId="77777777" w:rsidR="00AD5C40" w:rsidRDefault="00AD5C40" w:rsidP="00AD5C40">
            <w:pPr>
              <w:spacing w:after="100" w:afterAutospacing="1" w:line="257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E504" w14:textId="74BEB05A" w:rsidR="00AD5C40" w:rsidRPr="00AD5C40" w:rsidRDefault="00AD5C40" w:rsidP="00AD5C40">
            <w:pPr>
              <w:spacing w:after="100" w:afterAutospacing="1" w:line="257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 xml:space="preserve">Uchwyty do otwierania drzwi z zamkiem na klucz, obracane o 90 stopni w celu otwarcia szafy, blokowane kluczem. </w:t>
            </w:r>
            <w:r w:rsidR="00D25528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AD5C40">
              <w:rPr>
                <w:rFonts w:ascii="Arial" w:hAnsi="Arial" w:cs="Arial"/>
                <w:sz w:val="22"/>
                <w:szCs w:val="22"/>
              </w:rPr>
              <w:t>Szafy wyposażone w zamek dla każdej z komór.</w:t>
            </w:r>
          </w:p>
          <w:p w14:paraId="714AC998" w14:textId="2B734D2B" w:rsidR="000827EA" w:rsidRPr="00AD5C40" w:rsidRDefault="000827EA" w:rsidP="000A509C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345BAC2C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0B3E0" w14:textId="0389F3F7" w:rsidR="005A0977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Szafa wyposażona w regulowane nóżki w celu wypoziomowania na nierównej powierzchni</w:t>
            </w:r>
            <w:r w:rsidR="009D44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2051DC" w14:textId="6DB9FA35" w:rsidR="00AD5C40" w:rsidRP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0F12559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63933B59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650623" w14:textId="77777777" w:rsidR="00F24BC8" w:rsidRDefault="00AD5C40" w:rsidP="00A63202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 xml:space="preserve">Przyłącze do układu wyciągowego: 2 szt. o średnicy 75 mm (do nawiewu i wyciągu) z termomechanicznym systemem automatycznego zamykania.  </w:t>
            </w:r>
          </w:p>
          <w:p w14:paraId="065D81D2" w14:textId="10906AFC" w:rsidR="00A63202" w:rsidRPr="00AD5C40" w:rsidRDefault="00A63202" w:rsidP="00A63202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4C4A1414" w14:textId="52990AE9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1539388A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401547AB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33B193" w14:textId="59F5DC98" w:rsidR="00AD5C40" w:rsidRP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Szafa wyposażona w szyny do montażu paneli z armaturą, metalowe uchwyty do przytrzymywania butli oraz rozkładaną rampę najazdową</w:t>
            </w:r>
            <w:r w:rsidR="004153C4">
              <w:rPr>
                <w:rFonts w:ascii="Arial" w:hAnsi="Arial" w:cs="Arial"/>
                <w:sz w:val="22"/>
                <w:szCs w:val="22"/>
              </w:rPr>
              <w:t>,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która zapobiega uszkodzeniu uszczelek przeciwpożarowych.</w:t>
            </w:r>
          </w:p>
          <w:p w14:paraId="526193AB" w14:textId="016433E8" w:rsidR="00F24BC8" w:rsidRPr="00AD5C40" w:rsidRDefault="00F24BC8" w:rsidP="00EA7974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046AEE00" w14:textId="77777777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C4D3B70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EC85174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5ED24" w14:textId="4C244547" w:rsidR="006F31C8" w:rsidRDefault="00AD5C40" w:rsidP="00B83B1A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 xml:space="preserve">Zamawiający wymaga odporności ogniowej minimum </w:t>
            </w:r>
            <w:r w:rsidR="00A12ED1">
              <w:rPr>
                <w:rFonts w:ascii="Arial" w:hAnsi="Arial" w:cs="Arial"/>
                <w:sz w:val="22"/>
                <w:szCs w:val="22"/>
              </w:rPr>
              <w:t>30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minut, zgodn</w:t>
            </w:r>
            <w:r w:rsidR="00E87492">
              <w:rPr>
                <w:rFonts w:ascii="Arial" w:hAnsi="Arial" w:cs="Arial"/>
                <w:sz w:val="22"/>
                <w:szCs w:val="22"/>
              </w:rPr>
              <w:t>i</w:t>
            </w:r>
            <w:r w:rsidRPr="00AD5C40">
              <w:rPr>
                <w:rFonts w:ascii="Arial" w:hAnsi="Arial" w:cs="Arial"/>
                <w:sz w:val="22"/>
                <w:szCs w:val="22"/>
              </w:rPr>
              <w:t>e z normą  EN 14470 cz. 2 lub równoważną</w:t>
            </w:r>
            <w:r w:rsidR="00B83B1A">
              <w:rPr>
                <w:rFonts w:ascii="Arial" w:hAnsi="Arial" w:cs="Arial"/>
                <w:sz w:val="22"/>
                <w:szCs w:val="22"/>
              </w:rPr>
              <w:t>.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C4474F" w14:textId="220827FA" w:rsidR="00B83B1A" w:rsidRPr="006F31C8" w:rsidRDefault="00B83B1A" w:rsidP="00B83B1A">
            <w:pPr>
              <w:spacing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31C8">
              <w:rPr>
                <w:rFonts w:ascii="Arial" w:hAnsi="Arial" w:cs="Arial"/>
                <w:b/>
                <w:sz w:val="22"/>
                <w:szCs w:val="22"/>
              </w:rPr>
              <w:t xml:space="preserve">Zamawiający wymaga dołączenia </w:t>
            </w:r>
            <w:r w:rsidR="007D3A11">
              <w:rPr>
                <w:rFonts w:ascii="Arial" w:hAnsi="Arial" w:cs="Arial"/>
                <w:b/>
                <w:sz w:val="22"/>
                <w:szCs w:val="22"/>
              </w:rPr>
              <w:t>certyfikatu</w:t>
            </w:r>
            <w:r w:rsidR="00AD5E59">
              <w:rPr>
                <w:rFonts w:ascii="Arial" w:hAnsi="Arial" w:cs="Arial"/>
                <w:b/>
                <w:sz w:val="22"/>
                <w:szCs w:val="22"/>
              </w:rPr>
              <w:t xml:space="preserve"> ognioodporności</w:t>
            </w:r>
            <w:r w:rsidRPr="006F31C8">
              <w:rPr>
                <w:rFonts w:ascii="Arial" w:hAnsi="Arial" w:cs="Arial"/>
                <w:b/>
                <w:sz w:val="22"/>
                <w:szCs w:val="22"/>
              </w:rPr>
              <w:t xml:space="preserve"> do oferty.</w:t>
            </w:r>
          </w:p>
          <w:p w14:paraId="3A4F1C40" w14:textId="74754AD2" w:rsidR="00F24BC8" w:rsidRPr="00AD5C40" w:rsidRDefault="00F24BC8" w:rsidP="00F24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07FBA748" w14:textId="77777777" w:rsidR="00F24BC8" w:rsidRPr="003271E5" w:rsidRDefault="00F24BC8" w:rsidP="00F24BC8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BC8" w:rsidRPr="003271E5" w14:paraId="5F667C5C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F24BC8" w:rsidRPr="00A53F85" w:rsidRDefault="00F24BC8" w:rsidP="00F24BC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7C725FFA" w14:textId="77777777" w:rsid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B53C31" w14:textId="0E7DFE98" w:rsidR="00AD5C40" w:rsidRPr="00AD5C40" w:rsidRDefault="00AD5C4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Wymiary: szer</w:t>
            </w:r>
            <w:r w:rsidR="00D41622">
              <w:rPr>
                <w:rFonts w:ascii="Arial" w:hAnsi="Arial" w:cs="Arial"/>
                <w:sz w:val="22"/>
                <w:szCs w:val="22"/>
              </w:rPr>
              <w:t>okość</w:t>
            </w:r>
            <w:r w:rsidRPr="00AD5C40">
              <w:rPr>
                <w:rFonts w:ascii="Arial" w:hAnsi="Arial" w:cs="Arial"/>
                <w:sz w:val="22"/>
                <w:szCs w:val="22"/>
              </w:rPr>
              <w:t>: 600/90</w:t>
            </w:r>
            <w:r w:rsidR="00D41622">
              <w:rPr>
                <w:rFonts w:ascii="Arial" w:hAnsi="Arial" w:cs="Arial"/>
                <w:sz w:val="22"/>
                <w:szCs w:val="22"/>
              </w:rPr>
              <w:t>0</w:t>
            </w:r>
            <w:r w:rsidRPr="00AD5C40">
              <w:rPr>
                <w:rFonts w:ascii="Arial" w:hAnsi="Arial" w:cs="Arial"/>
                <w:sz w:val="22"/>
                <w:szCs w:val="22"/>
              </w:rPr>
              <w:t>/1200 mm x gł</w:t>
            </w:r>
            <w:r w:rsidR="00D41622">
              <w:rPr>
                <w:rFonts w:ascii="Arial" w:hAnsi="Arial" w:cs="Arial"/>
                <w:sz w:val="22"/>
                <w:szCs w:val="22"/>
              </w:rPr>
              <w:t>ębokość</w:t>
            </w:r>
            <w:r w:rsidRPr="00AD5C40">
              <w:rPr>
                <w:rFonts w:ascii="Arial" w:hAnsi="Arial" w:cs="Arial"/>
                <w:sz w:val="22"/>
                <w:szCs w:val="22"/>
              </w:rPr>
              <w:t>: 610 - 615 mm x wys</w:t>
            </w:r>
            <w:r w:rsidR="00D41622">
              <w:rPr>
                <w:rFonts w:ascii="Arial" w:hAnsi="Arial" w:cs="Arial"/>
                <w:sz w:val="22"/>
                <w:szCs w:val="22"/>
              </w:rPr>
              <w:t>okość:</w:t>
            </w:r>
            <w:r w:rsidRPr="00AD5C40">
              <w:rPr>
                <w:rFonts w:ascii="Arial" w:hAnsi="Arial" w:cs="Arial"/>
                <w:sz w:val="22"/>
                <w:szCs w:val="22"/>
              </w:rPr>
              <w:t xml:space="preserve"> 2040 - 2050 mm ±10%</w:t>
            </w:r>
            <w:r w:rsidR="00642D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B5BC5" w14:textId="235A01B0" w:rsidR="00F24BC8" w:rsidRPr="00AD5C40" w:rsidRDefault="00F24BC8" w:rsidP="003A6F29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4E9FB16D" w14:textId="5F4EBD2E" w:rsidR="00F24BC8" w:rsidRPr="003271E5" w:rsidRDefault="00F24BC8" w:rsidP="00F24BC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424AE" w:rsidRPr="003271E5" w14:paraId="0BEBD601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424AE" w:rsidRPr="00A53F85" w:rsidRDefault="005424AE" w:rsidP="005424AE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2AF231E5" w14:textId="2D5F8143" w:rsidR="005424AE" w:rsidRPr="00AD5C40" w:rsidRDefault="00AD5C40" w:rsidP="003F515A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C40">
              <w:rPr>
                <w:rFonts w:ascii="Arial" w:hAnsi="Arial" w:cs="Arial"/>
                <w:sz w:val="22"/>
                <w:szCs w:val="22"/>
              </w:rPr>
              <w:t>Możliwość przechowywania 2, 3 lub 4 butli  z gazem o pojemności 50 l, o średnicy zewnętrznej 230 mm lub butli małych.</w:t>
            </w:r>
          </w:p>
        </w:tc>
        <w:tc>
          <w:tcPr>
            <w:tcW w:w="2022" w:type="pct"/>
            <w:vAlign w:val="center"/>
          </w:tcPr>
          <w:p w14:paraId="2870D6C4" w14:textId="77777777" w:rsidR="005424AE" w:rsidRPr="003271E5" w:rsidRDefault="005424AE" w:rsidP="005424A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95717" w:rsidRPr="003271E5" w14:paraId="3986006A" w14:textId="77777777" w:rsidTr="00916649">
        <w:trPr>
          <w:trHeight w:val="1265"/>
        </w:trPr>
        <w:tc>
          <w:tcPr>
            <w:tcW w:w="424" w:type="pct"/>
            <w:vAlign w:val="center"/>
          </w:tcPr>
          <w:p w14:paraId="6EA57310" w14:textId="77777777" w:rsidR="00D95717" w:rsidRPr="00A53F85" w:rsidRDefault="00D95717" w:rsidP="005424AE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vAlign w:val="center"/>
          </w:tcPr>
          <w:p w14:paraId="4FF2318C" w14:textId="77777777" w:rsidR="00766DF0" w:rsidRDefault="00766DF0" w:rsidP="00AD5C4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47B3B" w14:textId="53ED914D" w:rsidR="002C6898" w:rsidRDefault="00D95717" w:rsidP="00766DF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Bezpłatny przegląd techniczny szaf, jeden raz w roku, przez okres trwania gwarancji (60 miesięcy)</w:t>
            </w:r>
            <w:r w:rsidR="00766DF0">
              <w:rPr>
                <w:rFonts w:ascii="Arial" w:hAnsi="Arial" w:cs="Arial"/>
                <w:sz w:val="22"/>
                <w:szCs w:val="22"/>
              </w:rPr>
              <w:t xml:space="preserve"> wraz z przekazaniem Zamawiającemu certyfikatu ognioodporności</w:t>
            </w:r>
            <w:r w:rsidR="00284DEF">
              <w:rPr>
                <w:rFonts w:ascii="Arial" w:hAnsi="Arial" w:cs="Arial"/>
                <w:sz w:val="22"/>
                <w:szCs w:val="22"/>
              </w:rPr>
              <w:t xml:space="preserve"> na kolejnych 12 miesięcy</w:t>
            </w:r>
            <w:r w:rsidR="00766D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3C1077" w14:textId="441AC2C3" w:rsidR="00766DF0" w:rsidRDefault="00766DF0" w:rsidP="00766DF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pct"/>
            <w:vAlign w:val="center"/>
          </w:tcPr>
          <w:p w14:paraId="0750958D" w14:textId="77777777" w:rsidR="00D95717" w:rsidRPr="003271E5" w:rsidRDefault="00D95717" w:rsidP="005424A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33FE0A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499B2B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676B0195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F2893D0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2BB4E8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6BF90B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E1EAA5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97AD0B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77A593A1" w14:textId="77777777" w:rsidR="00E33FE0" w:rsidRPr="007C0594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261D8CA3" w14:textId="77777777" w:rsidR="00E33FE0" w:rsidRDefault="00E33FE0" w:rsidP="00E33FE0">
      <w:pPr>
        <w:rPr>
          <w:rFonts w:asciiTheme="minorHAnsi" w:hAnsiTheme="minorHAnsi" w:cstheme="minorHAnsi"/>
          <w:sz w:val="20"/>
          <w:szCs w:val="20"/>
        </w:rPr>
      </w:pPr>
    </w:p>
    <w:p w14:paraId="3C8D08CE" w14:textId="77777777" w:rsidR="00C57C3A" w:rsidRDefault="00C57C3A" w:rsidP="00A52684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7E5B011C" w14:textId="77777777" w:rsidR="00AD5C40" w:rsidRDefault="00AD5C40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1BA20323" w14:textId="55C74AAD" w:rsidR="00A530BD" w:rsidRPr="00CB152B" w:rsidRDefault="009D4FD0" w:rsidP="009D4FD0">
      <w:pPr>
        <w:suppressAutoHyphens/>
        <w:ind w:left="4395" w:firstLine="708"/>
        <w:jc w:val="center"/>
        <w:rPr>
          <w:rFonts w:asciiTheme="minorHAnsi" w:hAnsiTheme="minorHAnsi" w:cstheme="minorHAnsi"/>
        </w:rPr>
      </w:pPr>
      <w:r w:rsidRPr="00181778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181778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181778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181778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634" w14:textId="77777777" w:rsidR="008B76A0" w:rsidRDefault="008B76A0" w:rsidP="00DF1622">
      <w:r>
        <w:separator/>
      </w:r>
    </w:p>
  </w:endnote>
  <w:endnote w:type="continuationSeparator" w:id="0">
    <w:p w14:paraId="088EB233" w14:textId="77777777" w:rsidR="008B76A0" w:rsidRDefault="008B76A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7191" w14:textId="77777777" w:rsidR="008B76A0" w:rsidRDefault="008B76A0" w:rsidP="00DF1622">
      <w:r>
        <w:separator/>
      </w:r>
    </w:p>
  </w:footnote>
  <w:footnote w:type="continuationSeparator" w:id="0">
    <w:p w14:paraId="36121EE7" w14:textId="77777777" w:rsidR="008B76A0" w:rsidRDefault="008B76A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1E"/>
    <w:multiLevelType w:val="hybridMultilevel"/>
    <w:tmpl w:val="4BB61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470"/>
    <w:multiLevelType w:val="hybridMultilevel"/>
    <w:tmpl w:val="C47C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21285"/>
    <w:multiLevelType w:val="hybridMultilevel"/>
    <w:tmpl w:val="B6F2069A"/>
    <w:lvl w:ilvl="0" w:tplc="A3882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85723"/>
    <w:multiLevelType w:val="hybridMultilevel"/>
    <w:tmpl w:val="1B6E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6"/>
  </w:num>
  <w:num w:numId="4">
    <w:abstractNumId w:val="23"/>
  </w:num>
  <w:num w:numId="5">
    <w:abstractNumId w:val="2"/>
  </w:num>
  <w:num w:numId="6">
    <w:abstractNumId w:val="8"/>
  </w:num>
  <w:num w:numId="7">
    <w:abstractNumId w:val="45"/>
  </w:num>
  <w:num w:numId="8">
    <w:abstractNumId w:val="43"/>
  </w:num>
  <w:num w:numId="9">
    <w:abstractNumId w:val="11"/>
  </w:num>
  <w:num w:numId="10">
    <w:abstractNumId w:val="22"/>
  </w:num>
  <w:num w:numId="11">
    <w:abstractNumId w:val="35"/>
  </w:num>
  <w:num w:numId="12">
    <w:abstractNumId w:val="26"/>
  </w:num>
  <w:num w:numId="13">
    <w:abstractNumId w:val="17"/>
  </w:num>
  <w:num w:numId="14">
    <w:abstractNumId w:val="12"/>
  </w:num>
  <w:num w:numId="15">
    <w:abstractNumId w:val="39"/>
  </w:num>
  <w:num w:numId="16">
    <w:abstractNumId w:val="7"/>
  </w:num>
  <w:num w:numId="17">
    <w:abstractNumId w:val="5"/>
  </w:num>
  <w:num w:numId="18">
    <w:abstractNumId w:val="10"/>
  </w:num>
  <w:num w:numId="19">
    <w:abstractNumId w:val="32"/>
  </w:num>
  <w:num w:numId="20">
    <w:abstractNumId w:val="38"/>
  </w:num>
  <w:num w:numId="21">
    <w:abstractNumId w:val="15"/>
  </w:num>
  <w:num w:numId="22">
    <w:abstractNumId w:val="20"/>
  </w:num>
  <w:num w:numId="23">
    <w:abstractNumId w:val="42"/>
  </w:num>
  <w:num w:numId="24">
    <w:abstractNumId w:val="31"/>
  </w:num>
  <w:num w:numId="25">
    <w:abstractNumId w:val="3"/>
  </w:num>
  <w:num w:numId="26">
    <w:abstractNumId w:val="9"/>
  </w:num>
  <w:num w:numId="27">
    <w:abstractNumId w:val="21"/>
  </w:num>
  <w:num w:numId="28">
    <w:abstractNumId w:val="27"/>
  </w:num>
  <w:num w:numId="29">
    <w:abstractNumId w:val="44"/>
  </w:num>
  <w:num w:numId="30">
    <w:abstractNumId w:val="1"/>
  </w:num>
  <w:num w:numId="31">
    <w:abstractNumId w:val="29"/>
  </w:num>
  <w:num w:numId="32">
    <w:abstractNumId w:val="34"/>
  </w:num>
  <w:num w:numId="33">
    <w:abstractNumId w:val="6"/>
  </w:num>
  <w:num w:numId="34">
    <w:abstractNumId w:val="25"/>
  </w:num>
  <w:num w:numId="35">
    <w:abstractNumId w:val="4"/>
  </w:num>
  <w:num w:numId="36">
    <w:abstractNumId w:val="40"/>
  </w:num>
  <w:num w:numId="37">
    <w:abstractNumId w:val="13"/>
  </w:num>
  <w:num w:numId="38">
    <w:abstractNumId w:val="41"/>
  </w:num>
  <w:num w:numId="39">
    <w:abstractNumId w:val="30"/>
  </w:num>
  <w:num w:numId="40">
    <w:abstractNumId w:val="37"/>
  </w:num>
  <w:num w:numId="41">
    <w:abstractNumId w:val="28"/>
  </w:num>
  <w:num w:numId="42">
    <w:abstractNumId w:val="14"/>
  </w:num>
  <w:num w:numId="43">
    <w:abstractNumId w:val="36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061E"/>
    <w:rsid w:val="0000475C"/>
    <w:rsid w:val="00006102"/>
    <w:rsid w:val="0002050E"/>
    <w:rsid w:val="0002511E"/>
    <w:rsid w:val="00030903"/>
    <w:rsid w:val="00043F52"/>
    <w:rsid w:val="0004608F"/>
    <w:rsid w:val="00050A68"/>
    <w:rsid w:val="00055C6A"/>
    <w:rsid w:val="00066404"/>
    <w:rsid w:val="00072392"/>
    <w:rsid w:val="0007368A"/>
    <w:rsid w:val="000827EA"/>
    <w:rsid w:val="00082B47"/>
    <w:rsid w:val="00092120"/>
    <w:rsid w:val="0009762D"/>
    <w:rsid w:val="000A509C"/>
    <w:rsid w:val="000B5168"/>
    <w:rsid w:val="000C0C51"/>
    <w:rsid w:val="000C0C87"/>
    <w:rsid w:val="000D05C2"/>
    <w:rsid w:val="000D33C8"/>
    <w:rsid w:val="000D49FE"/>
    <w:rsid w:val="000E6843"/>
    <w:rsid w:val="000E79A7"/>
    <w:rsid w:val="000F29C8"/>
    <w:rsid w:val="00102B5A"/>
    <w:rsid w:val="0011328F"/>
    <w:rsid w:val="00131762"/>
    <w:rsid w:val="00150F17"/>
    <w:rsid w:val="00154807"/>
    <w:rsid w:val="00163B84"/>
    <w:rsid w:val="00173511"/>
    <w:rsid w:val="001C1A25"/>
    <w:rsid w:val="001D3B86"/>
    <w:rsid w:val="001D4C74"/>
    <w:rsid w:val="001D7372"/>
    <w:rsid w:val="001E4D41"/>
    <w:rsid w:val="001F2F49"/>
    <w:rsid w:val="0020179A"/>
    <w:rsid w:val="00205BB4"/>
    <w:rsid w:val="00211651"/>
    <w:rsid w:val="0021542C"/>
    <w:rsid w:val="0022367C"/>
    <w:rsid w:val="00224C80"/>
    <w:rsid w:val="00226B2B"/>
    <w:rsid w:val="0023047D"/>
    <w:rsid w:val="00232B48"/>
    <w:rsid w:val="00234F00"/>
    <w:rsid w:val="00241FEB"/>
    <w:rsid w:val="0024320A"/>
    <w:rsid w:val="00245207"/>
    <w:rsid w:val="00251050"/>
    <w:rsid w:val="00252491"/>
    <w:rsid w:val="00252D0A"/>
    <w:rsid w:val="00262F37"/>
    <w:rsid w:val="0026330A"/>
    <w:rsid w:val="0028306A"/>
    <w:rsid w:val="00284A38"/>
    <w:rsid w:val="00284DEF"/>
    <w:rsid w:val="00286BB9"/>
    <w:rsid w:val="00292FF0"/>
    <w:rsid w:val="002B0A05"/>
    <w:rsid w:val="002B2A36"/>
    <w:rsid w:val="002B4860"/>
    <w:rsid w:val="002C6898"/>
    <w:rsid w:val="002E255B"/>
    <w:rsid w:val="002E3E03"/>
    <w:rsid w:val="002E7686"/>
    <w:rsid w:val="002F3A6A"/>
    <w:rsid w:val="003106FC"/>
    <w:rsid w:val="00311468"/>
    <w:rsid w:val="00312739"/>
    <w:rsid w:val="00320346"/>
    <w:rsid w:val="003271E5"/>
    <w:rsid w:val="0033221B"/>
    <w:rsid w:val="003342FF"/>
    <w:rsid w:val="003366ED"/>
    <w:rsid w:val="00342C85"/>
    <w:rsid w:val="00354789"/>
    <w:rsid w:val="0035615F"/>
    <w:rsid w:val="00360AA9"/>
    <w:rsid w:val="00360BF5"/>
    <w:rsid w:val="00364BA0"/>
    <w:rsid w:val="0037323D"/>
    <w:rsid w:val="00392838"/>
    <w:rsid w:val="003A5AF4"/>
    <w:rsid w:val="003A6F29"/>
    <w:rsid w:val="003B45D4"/>
    <w:rsid w:val="003B7713"/>
    <w:rsid w:val="003C7323"/>
    <w:rsid w:val="003D506C"/>
    <w:rsid w:val="003D5FFF"/>
    <w:rsid w:val="003D7375"/>
    <w:rsid w:val="003E1D05"/>
    <w:rsid w:val="003E3179"/>
    <w:rsid w:val="003E7A0F"/>
    <w:rsid w:val="003F24ED"/>
    <w:rsid w:val="003F515A"/>
    <w:rsid w:val="003F54A9"/>
    <w:rsid w:val="003F622F"/>
    <w:rsid w:val="003F6ECD"/>
    <w:rsid w:val="00406583"/>
    <w:rsid w:val="00411B6C"/>
    <w:rsid w:val="0041460A"/>
    <w:rsid w:val="004153C4"/>
    <w:rsid w:val="00416CC9"/>
    <w:rsid w:val="004217A1"/>
    <w:rsid w:val="004412FC"/>
    <w:rsid w:val="00444BF5"/>
    <w:rsid w:val="0044715E"/>
    <w:rsid w:val="00450F5E"/>
    <w:rsid w:val="0045195A"/>
    <w:rsid w:val="00464FC4"/>
    <w:rsid w:val="00467C5C"/>
    <w:rsid w:val="00472DFC"/>
    <w:rsid w:val="00473F71"/>
    <w:rsid w:val="004923A3"/>
    <w:rsid w:val="004A73D6"/>
    <w:rsid w:val="004D6A31"/>
    <w:rsid w:val="004F0842"/>
    <w:rsid w:val="004F2767"/>
    <w:rsid w:val="004F2E3E"/>
    <w:rsid w:val="00505485"/>
    <w:rsid w:val="00513E6A"/>
    <w:rsid w:val="005153B4"/>
    <w:rsid w:val="00520E58"/>
    <w:rsid w:val="00521AC7"/>
    <w:rsid w:val="0052285D"/>
    <w:rsid w:val="00525591"/>
    <w:rsid w:val="00535633"/>
    <w:rsid w:val="005424AE"/>
    <w:rsid w:val="00545473"/>
    <w:rsid w:val="005500A7"/>
    <w:rsid w:val="005571E4"/>
    <w:rsid w:val="0056672E"/>
    <w:rsid w:val="00570EB8"/>
    <w:rsid w:val="00586CAE"/>
    <w:rsid w:val="00594341"/>
    <w:rsid w:val="00596361"/>
    <w:rsid w:val="0059676E"/>
    <w:rsid w:val="00596BFD"/>
    <w:rsid w:val="005A0977"/>
    <w:rsid w:val="005A2748"/>
    <w:rsid w:val="005A70DA"/>
    <w:rsid w:val="005C5EB5"/>
    <w:rsid w:val="005C64DC"/>
    <w:rsid w:val="005D27E8"/>
    <w:rsid w:val="005D28E8"/>
    <w:rsid w:val="005D2EF6"/>
    <w:rsid w:val="005D4B89"/>
    <w:rsid w:val="00603112"/>
    <w:rsid w:val="00607312"/>
    <w:rsid w:val="0063268E"/>
    <w:rsid w:val="00637885"/>
    <w:rsid w:val="00642DB4"/>
    <w:rsid w:val="00644284"/>
    <w:rsid w:val="00644591"/>
    <w:rsid w:val="00645E27"/>
    <w:rsid w:val="0065472D"/>
    <w:rsid w:val="00660753"/>
    <w:rsid w:val="00665B87"/>
    <w:rsid w:val="0068297B"/>
    <w:rsid w:val="00687BC3"/>
    <w:rsid w:val="00691D27"/>
    <w:rsid w:val="00697853"/>
    <w:rsid w:val="006A7A14"/>
    <w:rsid w:val="006B047F"/>
    <w:rsid w:val="006E74F6"/>
    <w:rsid w:val="006F1E26"/>
    <w:rsid w:val="006F31C8"/>
    <w:rsid w:val="006F48CD"/>
    <w:rsid w:val="006F6DAE"/>
    <w:rsid w:val="00701802"/>
    <w:rsid w:val="007051FA"/>
    <w:rsid w:val="00711D27"/>
    <w:rsid w:val="00713AD4"/>
    <w:rsid w:val="00713DFA"/>
    <w:rsid w:val="007275D1"/>
    <w:rsid w:val="0073539F"/>
    <w:rsid w:val="00736699"/>
    <w:rsid w:val="00741B5C"/>
    <w:rsid w:val="00742EAD"/>
    <w:rsid w:val="007631AA"/>
    <w:rsid w:val="00766DF0"/>
    <w:rsid w:val="007716E2"/>
    <w:rsid w:val="007753C3"/>
    <w:rsid w:val="0078308C"/>
    <w:rsid w:val="00787B4C"/>
    <w:rsid w:val="007A26BC"/>
    <w:rsid w:val="007A2AED"/>
    <w:rsid w:val="007A46B4"/>
    <w:rsid w:val="007A659B"/>
    <w:rsid w:val="007B13D4"/>
    <w:rsid w:val="007B2308"/>
    <w:rsid w:val="007B6FA6"/>
    <w:rsid w:val="007B7481"/>
    <w:rsid w:val="007C0594"/>
    <w:rsid w:val="007D3A11"/>
    <w:rsid w:val="007D3EC6"/>
    <w:rsid w:val="007E47B6"/>
    <w:rsid w:val="007E6E4E"/>
    <w:rsid w:val="007F3069"/>
    <w:rsid w:val="00802D77"/>
    <w:rsid w:val="00806170"/>
    <w:rsid w:val="00807151"/>
    <w:rsid w:val="00813D5E"/>
    <w:rsid w:val="008331D4"/>
    <w:rsid w:val="00841430"/>
    <w:rsid w:val="00842830"/>
    <w:rsid w:val="0084743E"/>
    <w:rsid w:val="00862173"/>
    <w:rsid w:val="00885171"/>
    <w:rsid w:val="00890772"/>
    <w:rsid w:val="0089124D"/>
    <w:rsid w:val="008A7EBB"/>
    <w:rsid w:val="008B5C96"/>
    <w:rsid w:val="008B76A0"/>
    <w:rsid w:val="008C1F71"/>
    <w:rsid w:val="008E029F"/>
    <w:rsid w:val="008E1047"/>
    <w:rsid w:val="008E24E8"/>
    <w:rsid w:val="008F1573"/>
    <w:rsid w:val="008F3E19"/>
    <w:rsid w:val="008F7993"/>
    <w:rsid w:val="009133F8"/>
    <w:rsid w:val="00916649"/>
    <w:rsid w:val="00924186"/>
    <w:rsid w:val="00930FF9"/>
    <w:rsid w:val="00931B63"/>
    <w:rsid w:val="00940EF7"/>
    <w:rsid w:val="009500AB"/>
    <w:rsid w:val="009522DC"/>
    <w:rsid w:val="00966016"/>
    <w:rsid w:val="00967832"/>
    <w:rsid w:val="00981AC6"/>
    <w:rsid w:val="00993928"/>
    <w:rsid w:val="00994DA1"/>
    <w:rsid w:val="00996788"/>
    <w:rsid w:val="009A0728"/>
    <w:rsid w:val="009A2A8C"/>
    <w:rsid w:val="009A5B1F"/>
    <w:rsid w:val="009B306C"/>
    <w:rsid w:val="009B564E"/>
    <w:rsid w:val="009B6FFC"/>
    <w:rsid w:val="009D0118"/>
    <w:rsid w:val="009D44F4"/>
    <w:rsid w:val="009D4877"/>
    <w:rsid w:val="009D4F53"/>
    <w:rsid w:val="009D4FD0"/>
    <w:rsid w:val="009E2503"/>
    <w:rsid w:val="00A12ED1"/>
    <w:rsid w:val="00A1321B"/>
    <w:rsid w:val="00A2388D"/>
    <w:rsid w:val="00A45A6D"/>
    <w:rsid w:val="00A52684"/>
    <w:rsid w:val="00A530BD"/>
    <w:rsid w:val="00A53F85"/>
    <w:rsid w:val="00A60965"/>
    <w:rsid w:val="00A63202"/>
    <w:rsid w:val="00A73D9D"/>
    <w:rsid w:val="00A97D6E"/>
    <w:rsid w:val="00AA357A"/>
    <w:rsid w:val="00AB2A0C"/>
    <w:rsid w:val="00AB5025"/>
    <w:rsid w:val="00AD1A9B"/>
    <w:rsid w:val="00AD5C40"/>
    <w:rsid w:val="00AD5E59"/>
    <w:rsid w:val="00AE4876"/>
    <w:rsid w:val="00AF081E"/>
    <w:rsid w:val="00AF4811"/>
    <w:rsid w:val="00B035FD"/>
    <w:rsid w:val="00B0422E"/>
    <w:rsid w:val="00B04EA5"/>
    <w:rsid w:val="00B14880"/>
    <w:rsid w:val="00B329EB"/>
    <w:rsid w:val="00B34162"/>
    <w:rsid w:val="00B450B2"/>
    <w:rsid w:val="00B54F87"/>
    <w:rsid w:val="00B55A8B"/>
    <w:rsid w:val="00B612F8"/>
    <w:rsid w:val="00B62544"/>
    <w:rsid w:val="00B7777D"/>
    <w:rsid w:val="00B80668"/>
    <w:rsid w:val="00B81252"/>
    <w:rsid w:val="00B81368"/>
    <w:rsid w:val="00B83B1A"/>
    <w:rsid w:val="00B87D12"/>
    <w:rsid w:val="00B90CF5"/>
    <w:rsid w:val="00BA3FC3"/>
    <w:rsid w:val="00BA589A"/>
    <w:rsid w:val="00BB0763"/>
    <w:rsid w:val="00BB7A3D"/>
    <w:rsid w:val="00BD7567"/>
    <w:rsid w:val="00BE6EF2"/>
    <w:rsid w:val="00BE78F8"/>
    <w:rsid w:val="00C0468D"/>
    <w:rsid w:val="00C10BCF"/>
    <w:rsid w:val="00C32395"/>
    <w:rsid w:val="00C4432A"/>
    <w:rsid w:val="00C50909"/>
    <w:rsid w:val="00C550B3"/>
    <w:rsid w:val="00C57C3A"/>
    <w:rsid w:val="00C61C27"/>
    <w:rsid w:val="00C61D4D"/>
    <w:rsid w:val="00C72AF1"/>
    <w:rsid w:val="00C74500"/>
    <w:rsid w:val="00C74A27"/>
    <w:rsid w:val="00C8433F"/>
    <w:rsid w:val="00CA0692"/>
    <w:rsid w:val="00CA4D6B"/>
    <w:rsid w:val="00CB0B57"/>
    <w:rsid w:val="00CB152B"/>
    <w:rsid w:val="00CB709C"/>
    <w:rsid w:val="00CC07C0"/>
    <w:rsid w:val="00CC1B46"/>
    <w:rsid w:val="00CC2945"/>
    <w:rsid w:val="00CD2D18"/>
    <w:rsid w:val="00CD5A52"/>
    <w:rsid w:val="00CE0DA8"/>
    <w:rsid w:val="00CE5B58"/>
    <w:rsid w:val="00CE6F19"/>
    <w:rsid w:val="00CF5239"/>
    <w:rsid w:val="00D00604"/>
    <w:rsid w:val="00D07B99"/>
    <w:rsid w:val="00D120C8"/>
    <w:rsid w:val="00D12549"/>
    <w:rsid w:val="00D14C18"/>
    <w:rsid w:val="00D16947"/>
    <w:rsid w:val="00D25389"/>
    <w:rsid w:val="00D25528"/>
    <w:rsid w:val="00D26045"/>
    <w:rsid w:val="00D2742A"/>
    <w:rsid w:val="00D41622"/>
    <w:rsid w:val="00D50ACD"/>
    <w:rsid w:val="00D514D0"/>
    <w:rsid w:val="00D5198C"/>
    <w:rsid w:val="00D52D1C"/>
    <w:rsid w:val="00D540C8"/>
    <w:rsid w:val="00D6530F"/>
    <w:rsid w:val="00D76E62"/>
    <w:rsid w:val="00D95717"/>
    <w:rsid w:val="00DA2B52"/>
    <w:rsid w:val="00DA4F81"/>
    <w:rsid w:val="00DB586C"/>
    <w:rsid w:val="00DB69FB"/>
    <w:rsid w:val="00DC2B2F"/>
    <w:rsid w:val="00DC7D2A"/>
    <w:rsid w:val="00DD31A2"/>
    <w:rsid w:val="00DE65DA"/>
    <w:rsid w:val="00DF0936"/>
    <w:rsid w:val="00DF1622"/>
    <w:rsid w:val="00E05801"/>
    <w:rsid w:val="00E16340"/>
    <w:rsid w:val="00E33FE0"/>
    <w:rsid w:val="00E51414"/>
    <w:rsid w:val="00E52AD3"/>
    <w:rsid w:val="00E53665"/>
    <w:rsid w:val="00E56922"/>
    <w:rsid w:val="00E660E5"/>
    <w:rsid w:val="00E67964"/>
    <w:rsid w:val="00E714C1"/>
    <w:rsid w:val="00E87492"/>
    <w:rsid w:val="00EA1726"/>
    <w:rsid w:val="00EA2CB6"/>
    <w:rsid w:val="00EA550E"/>
    <w:rsid w:val="00EA7974"/>
    <w:rsid w:val="00EA7E38"/>
    <w:rsid w:val="00EB3997"/>
    <w:rsid w:val="00EB4831"/>
    <w:rsid w:val="00EC7923"/>
    <w:rsid w:val="00ED04F5"/>
    <w:rsid w:val="00ED57B1"/>
    <w:rsid w:val="00EF4C0D"/>
    <w:rsid w:val="00F004AE"/>
    <w:rsid w:val="00F00DDC"/>
    <w:rsid w:val="00F042F5"/>
    <w:rsid w:val="00F05FC8"/>
    <w:rsid w:val="00F17659"/>
    <w:rsid w:val="00F20AF6"/>
    <w:rsid w:val="00F247AD"/>
    <w:rsid w:val="00F24BC8"/>
    <w:rsid w:val="00F276A0"/>
    <w:rsid w:val="00F411C5"/>
    <w:rsid w:val="00F42E99"/>
    <w:rsid w:val="00F5198F"/>
    <w:rsid w:val="00F51FDB"/>
    <w:rsid w:val="00F63577"/>
    <w:rsid w:val="00F75B5D"/>
    <w:rsid w:val="00F83BB1"/>
    <w:rsid w:val="00FA0CCC"/>
    <w:rsid w:val="00FB18E9"/>
    <w:rsid w:val="00FB31DF"/>
    <w:rsid w:val="00FD5DBE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Marta Kozłowska</cp:lastModifiedBy>
  <cp:revision>238</cp:revision>
  <cp:lastPrinted>2021-05-14T06:24:00Z</cp:lastPrinted>
  <dcterms:created xsi:type="dcterms:W3CDTF">2022-08-07T10:51:00Z</dcterms:created>
  <dcterms:modified xsi:type="dcterms:W3CDTF">2023-07-05T12:41:00Z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