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314012">
      <w:pPr>
        <w:spacing w:after="600"/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5D35608B" w:rsidR="007314F4" w:rsidRPr="0014299B" w:rsidRDefault="00D205EA" w:rsidP="00AF2A7F">
      <w:pPr>
        <w:ind w:left="284" w:right="281"/>
        <w:jc w:val="both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w zakresie </w:t>
      </w:r>
      <w:r w:rsidR="00870268">
        <w:rPr>
          <w:rFonts w:ascii="Century Gothic" w:hAnsi="Century Gothic" w:cstheme="minorHAnsi"/>
          <w:b/>
          <w:sz w:val="32"/>
          <w:szCs w:val="32"/>
        </w:rPr>
        <w:t xml:space="preserve">obsługi transportowej </w:t>
      </w:r>
      <w:r w:rsidR="000D38C8">
        <w:rPr>
          <w:rFonts w:ascii="Century Gothic" w:hAnsi="Century Gothic" w:cstheme="minorHAnsi"/>
          <w:b/>
          <w:sz w:val="32"/>
          <w:szCs w:val="32"/>
        </w:rPr>
        <w:t xml:space="preserve">platformy w Mysłowicach </w:t>
      </w:r>
      <w:r w:rsidR="00DB24AE">
        <w:rPr>
          <w:rFonts w:ascii="Century Gothic" w:hAnsi="Century Gothic" w:cstheme="minorHAnsi"/>
          <w:b/>
          <w:sz w:val="32"/>
          <w:szCs w:val="32"/>
        </w:rPr>
        <w:t>produktów spożywczych lub niespożywczych suchych</w:t>
      </w:r>
      <w:r w:rsidR="003472DD">
        <w:rPr>
          <w:rFonts w:ascii="Century Gothic" w:hAnsi="Century Gothic" w:cstheme="minorHAnsi"/>
          <w:b/>
          <w:sz w:val="32"/>
          <w:szCs w:val="32"/>
        </w:rPr>
        <w:t xml:space="preserve"> i świeżych do </w:t>
      </w:r>
      <w:r w:rsidR="004E6922">
        <w:rPr>
          <w:rFonts w:ascii="Century Gothic" w:hAnsi="Century Gothic" w:cstheme="minorHAnsi"/>
          <w:b/>
          <w:sz w:val="32"/>
          <w:szCs w:val="32"/>
        </w:rPr>
        <w:t xml:space="preserve">sklepów sieci </w:t>
      </w:r>
      <w:r w:rsidR="00313B82">
        <w:rPr>
          <w:rFonts w:ascii="Century Gothic" w:hAnsi="Century Gothic" w:cstheme="minorHAnsi"/>
          <w:b/>
          <w:sz w:val="32"/>
          <w:szCs w:val="32"/>
        </w:rPr>
        <w:t>Intermarche</w:t>
      </w:r>
      <w:r w:rsidR="000D38C8">
        <w:rPr>
          <w:rFonts w:ascii="Century Gothic" w:hAnsi="Century Gothic" w:cstheme="minorHAnsi"/>
          <w:b/>
          <w:sz w:val="32"/>
          <w:szCs w:val="32"/>
        </w:rPr>
        <w:t>.</w:t>
      </w:r>
    </w:p>
    <w:p w14:paraId="05A17AD8" w14:textId="77777777" w:rsidR="007314F4" w:rsidRDefault="007314F4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71F9DD5" w14:textId="2AF15529" w:rsidR="00AF2A7F" w:rsidRPr="00E24EB0" w:rsidRDefault="00AF2A7F" w:rsidP="00AF2A7F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8537CB">
        <w:rPr>
          <w:rFonts w:ascii="Century Gothic" w:hAnsi="Century Gothic"/>
          <w:bCs/>
          <w:sz w:val="20"/>
          <w:szCs w:val="20"/>
        </w:rPr>
        <w:t xml:space="preserve">Swadzim </w:t>
      </w:r>
      <w:r w:rsidR="009E0BF2">
        <w:rPr>
          <w:rFonts w:ascii="Century Gothic" w:hAnsi="Century Gothic" w:cstheme="minorHAnsi"/>
          <w:bCs/>
          <w:sz w:val="20"/>
          <w:szCs w:val="20"/>
        </w:rPr>
        <w:t>29</w:t>
      </w:r>
      <w:r w:rsidRPr="008537CB">
        <w:rPr>
          <w:rFonts w:ascii="Century Gothic" w:hAnsi="Century Gothic" w:cstheme="minorHAnsi"/>
          <w:bCs/>
          <w:sz w:val="20"/>
          <w:szCs w:val="20"/>
        </w:rPr>
        <w:t>.0</w:t>
      </w:r>
      <w:r w:rsidR="008537CB" w:rsidRPr="008537CB">
        <w:rPr>
          <w:rFonts w:ascii="Century Gothic" w:hAnsi="Century Gothic" w:cstheme="minorHAnsi"/>
          <w:bCs/>
          <w:sz w:val="20"/>
          <w:szCs w:val="20"/>
        </w:rPr>
        <w:t>4</w:t>
      </w:r>
      <w:r w:rsidRPr="008537CB">
        <w:rPr>
          <w:rFonts w:ascii="Century Gothic" w:hAnsi="Century Gothic" w:cstheme="minorHAnsi"/>
          <w:bCs/>
          <w:sz w:val="20"/>
          <w:szCs w:val="20"/>
        </w:rPr>
        <w:t>.2022</w:t>
      </w:r>
    </w:p>
    <w:p w14:paraId="44B34D36" w14:textId="42D1E25B" w:rsidR="003C2799" w:rsidRPr="003C2799" w:rsidRDefault="003C2799" w:rsidP="003C2799">
      <w:pPr>
        <w:pStyle w:val="Akapitzlist"/>
        <w:keepNext/>
        <w:numPr>
          <w:ilvl w:val="0"/>
          <w:numId w:val="7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0"/>
    </w:p>
    <w:p w14:paraId="09EBDC2A" w14:textId="19026E0B" w:rsidR="00423153" w:rsidRPr="00A90E21" w:rsidRDefault="00423153" w:rsidP="00A90E21">
      <w:pPr>
        <w:spacing w:after="60" w:line="312" w:lineRule="auto"/>
        <w:jc w:val="both"/>
      </w:pPr>
      <w:r w:rsidRPr="00600EC0">
        <w:rPr>
          <w:rFonts w:ascii="Century Gothic" w:hAnsi="Century Gothic"/>
          <w:sz w:val="20"/>
          <w:szCs w:val="20"/>
        </w:rPr>
        <w:t>Grupa Muszkieterów jest s</w:t>
      </w:r>
      <w:r w:rsidRPr="00600EC0">
        <w:rPr>
          <w:rFonts w:ascii="Century Gothic" w:hAnsi="Century Gothic" w:cs="Helv"/>
          <w:color w:val="000000"/>
          <w:sz w:val="20"/>
          <w:szCs w:val="20"/>
        </w:rPr>
        <w:t xml:space="preserve">iecią handlową </w:t>
      </w:r>
      <w:r w:rsidR="00E010A9">
        <w:rPr>
          <w:rFonts w:ascii="Century Gothic" w:hAnsi="Century Gothic" w:cs="Helv"/>
          <w:color w:val="000000"/>
          <w:sz w:val="20"/>
          <w:szCs w:val="20"/>
        </w:rPr>
        <w:t>działająca w modelu franczyzowym</w:t>
      </w:r>
      <w:r w:rsidR="004813B0">
        <w:rPr>
          <w:rFonts w:ascii="Century Gothic" w:hAnsi="Century Gothic" w:cs="Helv"/>
          <w:color w:val="000000"/>
          <w:sz w:val="20"/>
          <w:szCs w:val="20"/>
        </w:rPr>
        <w:t xml:space="preserve"> </w:t>
      </w:r>
      <w:r w:rsidRPr="00600EC0">
        <w:rPr>
          <w:rFonts w:ascii="Century Gothic" w:hAnsi="Century Gothic"/>
          <w:sz w:val="20"/>
          <w:szCs w:val="20"/>
        </w:rPr>
        <w:t xml:space="preserve">zrzeszającą 368 supermarketów, w tym 191 spożywczych 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Intermarche </w:t>
      </w:r>
      <w:r w:rsidR="00530D0D">
        <w:rPr>
          <w:rFonts w:ascii="Century Gothic" w:hAnsi="Century Gothic"/>
          <w:color w:val="000000"/>
          <w:sz w:val="20"/>
          <w:szCs w:val="20"/>
        </w:rPr>
        <w:t>oraz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 177 supermarketów typu „dom i ogród” Bricomarche, jak również 65 stacji benzynowych funkcjonujących przy wybranych sklepach. </w:t>
      </w:r>
    </w:p>
    <w:p w14:paraId="637F36CE" w14:textId="77777777" w:rsidR="004F686C" w:rsidRDefault="00530D0D" w:rsidP="004F686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Rolą centrali </w:t>
      </w:r>
      <w:r>
        <w:rPr>
          <w:rFonts w:ascii="Century Gothic" w:hAnsi="Century Gothic"/>
          <w:sz w:val="20"/>
          <w:szCs w:val="20"/>
        </w:rPr>
        <w:t xml:space="preserve">Grupy Muszkieterów </w:t>
      </w:r>
      <w:r w:rsidRPr="00600EC0">
        <w:rPr>
          <w:rFonts w:ascii="Century Gothic" w:hAnsi="Century Gothic"/>
          <w:sz w:val="20"/>
          <w:szCs w:val="20"/>
        </w:rPr>
        <w:t xml:space="preserve">jest zapewnienie wsparcia w funkcjonowaniu sklepów. </w:t>
      </w:r>
      <w:r w:rsidR="00423153" w:rsidRPr="00600EC0">
        <w:rPr>
          <w:rFonts w:ascii="Century Gothic" w:hAnsi="Century Gothic"/>
          <w:sz w:val="20"/>
          <w:szCs w:val="20"/>
        </w:rPr>
        <w:t>Centrala Grupy mieści się w Swadzimiu k. Poznania</w:t>
      </w:r>
      <w:r w:rsidR="00481765">
        <w:rPr>
          <w:rFonts w:ascii="Century Gothic" w:hAnsi="Century Gothic"/>
          <w:sz w:val="20"/>
          <w:szCs w:val="20"/>
        </w:rPr>
        <w:t>,</w:t>
      </w:r>
      <w:r w:rsidR="00423153" w:rsidRPr="00600EC0">
        <w:rPr>
          <w:rFonts w:ascii="Century Gothic" w:hAnsi="Century Gothic"/>
          <w:sz w:val="20"/>
          <w:szCs w:val="20"/>
        </w:rPr>
        <w:t xml:space="preserve"> w której znajduje się siedem spółek centralnych wchodzących w skład Grupy Muszkieterów. </w:t>
      </w:r>
    </w:p>
    <w:p w14:paraId="3869E15E" w14:textId="5671B6D0" w:rsidR="00423153" w:rsidRPr="00600EC0" w:rsidRDefault="00423153" w:rsidP="00600EC0">
      <w:pPr>
        <w:spacing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>Wiodącą spółka Grupy jest ITM Polska, która jest operatorem sieci sklepów Intermarche i Bricomarche w Polsce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ipercze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6A00BB74" w:rsidR="00C75261" w:rsidRPr="00C75261" w:rsidRDefault="00C75261" w:rsidP="00A201C8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zapytania ofertowego</w:t>
      </w:r>
    </w:p>
    <w:p w14:paraId="51300100" w14:textId="38708E64" w:rsidR="00E86905" w:rsidRPr="00227F1F" w:rsidRDefault="00C75261" w:rsidP="00E9251B">
      <w:pPr>
        <w:pStyle w:val="Akapitzlist"/>
        <w:numPr>
          <w:ilvl w:val="3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„ITM Polska”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7C5C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12EA5"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. z o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.o. 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 siedzibą w Swadzimiu (dalej: Zamawiający) jest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spółk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zarządzając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rozwojem supermarketów Intermarche i Bricomarche) reprezentując</w:t>
      </w:r>
      <w:r w:rsidR="00F62D92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w niniejszym postępowaniu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spółkę </w:t>
      </w:r>
      <w:r w:rsidR="00C51F40">
        <w:rPr>
          <w:rFonts w:ascii="Century Gothic" w:eastAsia="Calibri" w:hAnsi="Century Gothic" w:cs="Times New Roman"/>
          <w:sz w:val="20"/>
          <w:szCs w:val="20"/>
          <w:lang w:eastAsia="pl-PL"/>
        </w:rPr>
        <w:t>ITM Baza Poznańska</w:t>
      </w:r>
      <w:r w:rsidR="004C60B9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, </w:t>
      </w:r>
      <w:r w:rsidR="0003484C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będącą </w:t>
      </w:r>
      <w:r w:rsidR="005C3BD8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spółką odpowiedzialną za dystrybucję towarów </w:t>
      </w:r>
      <w:r w:rsidR="00841B9E">
        <w:rPr>
          <w:rFonts w:ascii="Century Gothic" w:eastAsia="Calibri" w:hAnsi="Century Gothic" w:cs="Times New Roman"/>
          <w:sz w:val="20"/>
          <w:szCs w:val="20"/>
          <w:lang w:eastAsia="pl-PL"/>
        </w:rPr>
        <w:t>do sklepów Intermarche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zaprasza do złożenia oferty</w:t>
      </w:r>
      <w:r w:rsidR="00112EA5" w:rsidRPr="00440E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</w:t>
      </w:r>
      <w:r w:rsidR="003B3A8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usługi w zakresie obsługi transportowej plat</w:t>
      </w:r>
      <w:r w:rsidR="00BB18A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formy magazynowania, przygotowania i dystrybucji produktów spożywczych lub niespożywczych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suchych i świeżych w celu realizacji dostaw do punk</w:t>
      </w:r>
      <w:r w:rsidR="0066463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tó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w sprzedaży Intermarche</w:t>
      </w:r>
      <w:r w:rsidR="007964D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(platforma Mysłowice )</w:t>
      </w:r>
      <w:r w:rsidR="0052588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E8690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>w zakresie i na warunkach określonych w niniejszym dokumencie.</w:t>
      </w:r>
    </w:p>
    <w:p w14:paraId="39A34154" w14:textId="77777777" w:rsidR="00E86905" w:rsidRPr="00E86905" w:rsidRDefault="00E86905" w:rsidP="00525885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1D4443A3" w14:textId="77777777" w:rsidR="00DD77C2" w:rsidRPr="00785BCF" w:rsidRDefault="00DD77C2" w:rsidP="00DD77C2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60A262C5" w14:textId="77777777" w:rsid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 xml:space="preserve">Swadzim , ul. Św. Mikołaja 5, </w:t>
      </w:r>
    </w:p>
    <w:p w14:paraId="22AF431A" w14:textId="48758CAB" w:rsidR="00E14070" w:rsidRP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>62-080 Tarnowo Podgórne</w:t>
      </w:r>
    </w:p>
    <w:p w14:paraId="38AE09C6" w14:textId="77777777" w:rsidR="00E14070" w:rsidRPr="00EE1D25" w:rsidRDefault="00E14070" w:rsidP="00555C18">
      <w:pPr>
        <w:shd w:val="clear" w:color="auto" w:fill="FFFFFF"/>
        <w:spacing w:after="120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1D25">
        <w:rPr>
          <w:rFonts w:ascii="Century Gothic" w:eastAsia="Times New Roman" w:hAnsi="Century Gothic" w:cs="Times New Roman"/>
          <w:sz w:val="20"/>
          <w:szCs w:val="20"/>
          <w:lang w:eastAsia="pl-PL"/>
        </w:rPr>
        <w:t>NIP: 778-00-00-892</w:t>
      </w:r>
    </w:p>
    <w:p w14:paraId="1945BC5F" w14:textId="58C7730A" w:rsidR="00525885" w:rsidRDefault="00E86905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przeznaczony jest dla firm zaproszonych do postępowania ofertowego i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6FF6F2CF" w14:textId="77777777" w:rsidR="001B4096" w:rsidRPr="00ED7D76" w:rsidRDefault="001B4096" w:rsidP="00C765E5">
      <w:pPr>
        <w:keepNext/>
        <w:widowControl w:val="0"/>
        <w:numPr>
          <w:ilvl w:val="0"/>
          <w:numId w:val="40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ED7D76">
        <w:rPr>
          <w:rFonts w:ascii="Century Gothic" w:eastAsia="Times New Roman" w:hAnsi="Century Gothic" w:cs="Calibri"/>
          <w:b/>
          <w:color w:val="000000"/>
          <w:sz w:val="24"/>
          <w:szCs w:val="24"/>
        </w:rPr>
        <w:t>Cel dokumentu</w:t>
      </w:r>
    </w:p>
    <w:p w14:paraId="6FCDD1CD" w14:textId="50749AC8" w:rsidR="001B4096" w:rsidRPr="001950C3" w:rsidRDefault="001B4096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D7D7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Celem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zapytania ofertowego jest wyłonienie dostawców </w:t>
      </w:r>
      <w:r w:rsidR="001573D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usługi dystrybucji </w:t>
      </w:r>
      <w:r w:rsidR="008D1F7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produktów spożywczych i niespożywczych, suchych i świeżych z platformy logistycznej w Mysłowicach </w:t>
      </w:r>
      <w:r w:rsidR="002C1557">
        <w:rPr>
          <w:rFonts w:ascii="Century Gothic" w:eastAsia="Times New Roman" w:hAnsi="Century Gothic" w:cs="Century Gothic"/>
          <w:sz w:val="20"/>
          <w:szCs w:val="20"/>
          <w:lang w:eastAsia="ar-SA"/>
        </w:rPr>
        <w:t>do punktów sprzedaży Inter</w:t>
      </w:r>
      <w:r w:rsidR="007F0F87">
        <w:rPr>
          <w:rFonts w:ascii="Century Gothic" w:eastAsia="Times New Roman" w:hAnsi="Century Gothic" w:cs="Century Gothic"/>
          <w:sz w:val="20"/>
          <w:szCs w:val="20"/>
          <w:lang w:eastAsia="ar-SA"/>
        </w:rPr>
        <w:t>m</w:t>
      </w:r>
      <w:r w:rsidR="002C155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arche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. </w:t>
      </w:r>
    </w:p>
    <w:p w14:paraId="45F6A72C" w14:textId="5B75F78F" w:rsidR="001B4096" w:rsidRDefault="001B4096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Biorąc powyższe pod uwagę poszukujemy </w:t>
      </w:r>
      <w:r w:rsidR="0012248C">
        <w:rPr>
          <w:rFonts w:ascii="Century Gothic" w:eastAsia="Times New Roman" w:hAnsi="Century Gothic" w:cs="Century Gothic"/>
          <w:sz w:val="20"/>
          <w:szCs w:val="20"/>
          <w:lang w:eastAsia="ar-SA"/>
        </w:rPr>
        <w:t>usług</w:t>
      </w: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, które pozwolą uzyskać </w:t>
      </w:r>
      <w:r w:rsidR="00CE2D24">
        <w:rPr>
          <w:rFonts w:ascii="Century Gothic" w:eastAsia="Times New Roman" w:hAnsi="Century Gothic" w:cs="Century Gothic"/>
          <w:sz w:val="20"/>
          <w:szCs w:val="20"/>
          <w:lang w:eastAsia="ar-SA"/>
        </w:rPr>
        <w:t>najle</w:t>
      </w:r>
      <w:r w:rsidR="00812652">
        <w:rPr>
          <w:rFonts w:ascii="Century Gothic" w:eastAsia="Times New Roman" w:hAnsi="Century Gothic" w:cs="Century Gothic"/>
          <w:sz w:val="20"/>
          <w:szCs w:val="20"/>
          <w:lang w:eastAsia="ar-SA"/>
        </w:rPr>
        <w:t>psze warunki współpr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acy w 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w/w 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>zakresie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</w:p>
    <w:p w14:paraId="68637E27" w14:textId="23970146" w:rsidR="00E840B2" w:rsidRDefault="00E840B2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Współpracę z </w:t>
      </w:r>
      <w:r w:rsidR="002F536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wybranymi dostawcami w/w usług planujemy od 01.07.2022. Umowa </w:t>
      </w:r>
      <w:r w:rsidR="00FE7FB3">
        <w:rPr>
          <w:rFonts w:ascii="Century Gothic" w:eastAsia="Times New Roman" w:hAnsi="Century Gothic" w:cs="Century Gothic"/>
          <w:sz w:val="20"/>
          <w:szCs w:val="20"/>
          <w:lang w:eastAsia="ar-SA"/>
        </w:rPr>
        <w:t>zostanie podpisana na okres 3 lat z 3-miesięcznym okresem wypowiedzenia.</w:t>
      </w:r>
    </w:p>
    <w:p w14:paraId="2D0C8292" w14:textId="77777777" w:rsidR="00E24EB0" w:rsidRDefault="00E24EB0" w:rsidP="001B4096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35F2C510" w14:textId="77777777" w:rsidR="00A201C8" w:rsidRPr="0090724C" w:rsidRDefault="00A201C8" w:rsidP="00116DEA">
      <w:pPr>
        <w:keepNext/>
        <w:numPr>
          <w:ilvl w:val="0"/>
          <w:numId w:val="40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90724C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Informacje dotyczące poufności</w:t>
      </w:r>
    </w:p>
    <w:p w14:paraId="3D7EB9A6" w14:textId="4877C4EF" w:rsidR="00A201C8" w:rsidRDefault="00A201C8" w:rsidP="001C324F">
      <w:pPr>
        <w:shd w:val="clear" w:color="auto" w:fill="FFFFFF"/>
        <w:spacing w:after="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0724C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15A5177" w14:textId="6B5B6FEC" w:rsidR="00924FD7" w:rsidRPr="00785BCF" w:rsidRDefault="00785BCF" w:rsidP="001C324F">
      <w:pPr>
        <w:shd w:val="clear" w:color="auto" w:fill="FFFFFF"/>
        <w:spacing w:after="6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Podpisany oryginał w dwóch egzemplarzach </w:t>
      </w:r>
      <w:r w:rsidR="00924FD7"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(ewentualnie jak występuje konieczność proszę załączyć wymagane pełnomocnictwo – dokumenty nie podpsuje osoba z reprezentacji z KRS) należy wysłać na adres:</w:t>
      </w:r>
    </w:p>
    <w:p w14:paraId="50F40AC3" w14:textId="105F5ADC" w:rsidR="00924FD7" w:rsidRPr="00785BCF" w:rsidRDefault="00DD77C2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</w:t>
      </w:r>
      <w:r w:rsidR="001C324F">
        <w:rPr>
          <w:rFonts w:cs="Times New Roman"/>
          <w:sz w:val="20"/>
          <w:szCs w:val="20"/>
          <w:lang w:eastAsia="pl-PL"/>
        </w:rPr>
        <w:t>ITM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3D4DAE16" w14:textId="3EA9A7AD" w:rsidR="00924FD7" w:rsidRPr="00785BCF" w:rsidRDefault="001C324F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Swadzim, u</w:t>
      </w:r>
      <w:r w:rsidR="00924FD7" w:rsidRPr="00785BCF">
        <w:rPr>
          <w:rFonts w:cs="Times New Roman"/>
          <w:sz w:val="20"/>
          <w:szCs w:val="20"/>
          <w:lang w:eastAsia="pl-PL"/>
        </w:rPr>
        <w:t>l. Św. Mikołaja 5</w:t>
      </w:r>
    </w:p>
    <w:p w14:paraId="681C5443" w14:textId="2EE3DD71" w:rsidR="00924FD7" w:rsidRPr="00785BCF" w:rsidRDefault="00924FD7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>62-080 Tarnowo Podgórne</w:t>
      </w:r>
    </w:p>
    <w:p w14:paraId="21D9791D" w14:textId="6E1EB0F3" w:rsidR="00924FD7" w:rsidRPr="00785BCF" w:rsidRDefault="00924FD7" w:rsidP="001C324F">
      <w:pPr>
        <w:pStyle w:val="WW-Tekstpodstawowywcity2"/>
        <w:widowControl w:val="0"/>
        <w:spacing w:after="60"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 xml:space="preserve">Koniecznie z dopiskiem </w:t>
      </w:r>
      <w:r w:rsidR="00EF1F8C">
        <w:rPr>
          <w:rFonts w:cs="Times New Roman"/>
          <w:sz w:val="20"/>
          <w:szCs w:val="20"/>
          <w:lang w:eastAsia="pl-PL"/>
        </w:rPr>
        <w:t>Paweł Gierlicz</w:t>
      </w:r>
    </w:p>
    <w:p w14:paraId="6B132F55" w14:textId="5E2D72EF" w:rsidR="00924FD7" w:rsidRPr="0090724C" w:rsidRDefault="001C324F" w:rsidP="001C324F">
      <w:pPr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Skan podpisanej umowy o 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zachowani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poufności NDA (ewentualnie jak występuje konieczność proszę załączyć wymagane pełnomocnictwo – dokumenty nie podpsuje osoba z reprezentacji z KRS) należy załączyć również na platformie w momencie składania oferty.</w:t>
      </w:r>
    </w:p>
    <w:p w14:paraId="747DAEC4" w14:textId="77777777" w:rsidR="001950C3" w:rsidRPr="001950C3" w:rsidRDefault="001950C3" w:rsidP="001B4096">
      <w:pPr>
        <w:keepNext/>
        <w:widowControl w:val="0"/>
        <w:numPr>
          <w:ilvl w:val="0"/>
          <w:numId w:val="3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950C3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14A69B67" w14:textId="1B3FE0EE" w:rsidR="001950C3" w:rsidRPr="001950C3" w:rsidRDefault="001950C3" w:rsidP="006E4B15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56A47E2E" w14:textId="4A0021E7" w:rsidR="001950C3" w:rsidRPr="001950C3" w:rsidRDefault="001950C3" w:rsidP="001950C3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 w:rsidR="00F22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7F899AA6" w14:textId="786B85DF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Zapytanie nie jest podstawą do dochodzenia jakichkolwiek roszczeń w stosunku do spółki ITM Polska sp. z o.o. z siedzibą w Swadzimiu lub innych spółek należących do Grupy Muszkieterów w Polsce</w:t>
      </w:r>
      <w:r w:rsidR="00857C5C">
        <w:rPr>
          <w:rFonts w:ascii="Century Gothic" w:eastAsia="Calibri" w:hAnsi="Century Gothic" w:cs="Times New Roman"/>
          <w:sz w:val="20"/>
          <w:szCs w:val="20"/>
        </w:rPr>
        <w:t xml:space="preserve"> w tym </w:t>
      </w:r>
      <w:r w:rsidR="00B602BC">
        <w:rPr>
          <w:rFonts w:ascii="Century Gothic" w:eastAsia="Calibri" w:hAnsi="Century Gothic" w:cs="Times New Roman"/>
          <w:sz w:val="20"/>
          <w:szCs w:val="20"/>
        </w:rPr>
        <w:t>ITM Baza Poznańska</w:t>
      </w:r>
      <w:r w:rsidR="00E9251B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Pr="001950C3">
        <w:rPr>
          <w:rFonts w:ascii="Century Gothic" w:eastAsia="Calibri" w:hAnsi="Century Gothic" w:cs="Times New Roman"/>
          <w:sz w:val="20"/>
          <w:szCs w:val="20"/>
        </w:rPr>
        <w:t>, wynikających z podjęcia decyzji lub działań w procesie składania ofert.</w:t>
      </w:r>
    </w:p>
    <w:p w14:paraId="5CFEE0BE" w14:textId="59E3A09D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 w:rsidR="00492D0F"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0BE67" w14:textId="2E8C9BB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Odpowiedź potencjalnego Dostawcy na zapytanie ofertowe nie zobowiązuje Spółki </w:t>
      </w:r>
      <w:r w:rsidR="00857C5C">
        <w:rPr>
          <w:rFonts w:ascii="Century Gothic" w:eastAsia="Calibri" w:hAnsi="Century Gothic" w:cs="Times New Roman"/>
          <w:sz w:val="20"/>
          <w:szCs w:val="20"/>
        </w:rPr>
        <w:t>ITM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Polska do akceptacji tej odpowiedzi w całości lub jej części.</w:t>
      </w:r>
    </w:p>
    <w:p w14:paraId="6C95460A" w14:textId="77777777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ITM Polska zastrzega sobie prawo do wycofania zapytania w dowolnym czasie.</w:t>
      </w:r>
    </w:p>
    <w:p w14:paraId="35ACD88E" w14:textId="0A40BC7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ITM Polska zastrzega sobie prawo do wyboru więcej niż jednego </w:t>
      </w:r>
      <w:r w:rsidR="003C70FC">
        <w:rPr>
          <w:rFonts w:ascii="Century Gothic" w:eastAsia="Calibri" w:hAnsi="Century Gothic" w:cs="Times New Roman"/>
          <w:sz w:val="20"/>
          <w:szCs w:val="20"/>
        </w:rPr>
        <w:t>Dostaw</w:t>
      </w:r>
      <w:r w:rsidR="003C70FC" w:rsidRPr="001950C3">
        <w:rPr>
          <w:rFonts w:ascii="Century Gothic" w:eastAsia="Calibri" w:hAnsi="Century Gothic" w:cs="Times New Roman"/>
          <w:sz w:val="20"/>
          <w:szCs w:val="20"/>
        </w:rPr>
        <w:t xml:space="preserve">cy </w:t>
      </w:r>
      <w:r w:rsidRPr="001950C3">
        <w:rPr>
          <w:rFonts w:ascii="Century Gothic" w:eastAsia="Calibri" w:hAnsi="Century Gothic" w:cs="Times New Roman"/>
          <w:sz w:val="20"/>
          <w:szCs w:val="20"/>
        </w:rPr>
        <w:t>usług objętych niniejszym zapytaniem.</w:t>
      </w:r>
    </w:p>
    <w:p w14:paraId="42FCA138" w14:textId="43F4DB3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Akceptacja odpowiedzi Oferenta na zapytanie ofertowe nie powoduje żadnego zobowiązania Spółki ITM Polska w stosunku do potencjalnego Oferenta dopóki nie zostanie podpisana umowa handlowa</w:t>
      </w:r>
      <w:r w:rsidR="00492D0F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ITM Polska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78050FC2" w14:textId="15668024" w:rsidR="0065681D" w:rsidRPr="001950C3" w:rsidRDefault="0065681D" w:rsidP="006E4B15">
      <w:pPr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Finalnie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Platformie Zakupowej Open Nexus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A78FCB" w14:textId="77777777" w:rsidR="00BF0A34" w:rsidRPr="00FA7A35" w:rsidRDefault="001950C3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Termin ważności oferty musi wynosić </w:t>
      </w:r>
      <w:r w:rsidRPr="00FA7A35">
        <w:rPr>
          <w:rFonts w:ascii="Century Gothic" w:eastAsia="Calibri" w:hAnsi="Century Gothic" w:cs="Times New Roman"/>
          <w:sz w:val="20"/>
          <w:szCs w:val="20"/>
        </w:rPr>
        <w:t xml:space="preserve">minimum 60 dni. </w:t>
      </w:r>
    </w:p>
    <w:p w14:paraId="56E0C68A" w14:textId="3DF0C44D" w:rsidR="00BF0A34" w:rsidRPr="00BF0A34" w:rsidRDefault="00BF0A34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BF0A34">
        <w:rPr>
          <w:rFonts w:ascii="Century Gothic" w:eastAsia="Times New Roman" w:hAnsi="Century Gothic" w:cs="Times New Roman"/>
          <w:sz w:val="20"/>
          <w:szCs w:val="20"/>
          <w:lang w:eastAsia="ar-SA"/>
        </w:rPr>
        <w:t>Warunki płatności :</w:t>
      </w:r>
    </w:p>
    <w:p w14:paraId="082D70E1" w14:textId="184C4F51" w:rsidR="00BF0A34" w:rsidRDefault="00BF0A34" w:rsidP="00BF0A34">
      <w:pPr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E4175">
        <w:rPr>
          <w:rFonts w:ascii="Century Gothic" w:hAnsi="Century Gothic"/>
          <w:sz w:val="20"/>
          <w:szCs w:val="20"/>
        </w:rPr>
        <w:t xml:space="preserve">Termin płatności – nie krótszy niż </w:t>
      </w:r>
      <w:r w:rsidR="00C11CE6">
        <w:rPr>
          <w:rFonts w:ascii="Century Gothic" w:hAnsi="Century Gothic"/>
          <w:sz w:val="20"/>
          <w:szCs w:val="20"/>
        </w:rPr>
        <w:t>45</w:t>
      </w:r>
      <w:r w:rsidRPr="00BE4175">
        <w:rPr>
          <w:rFonts w:ascii="Century Gothic" w:hAnsi="Century Gothic"/>
          <w:sz w:val="20"/>
          <w:szCs w:val="20"/>
        </w:rPr>
        <w:t xml:space="preserve"> dni od daty dostarczenia poprawnie wystawionej faktury VAT </w:t>
      </w:r>
    </w:p>
    <w:p w14:paraId="14B56C51" w14:textId="3721DEE1" w:rsidR="00BF0A34" w:rsidRPr="00BF0A34" w:rsidRDefault="00815C22" w:rsidP="00BF0A3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 w:rsidR="00BC712A">
        <w:rPr>
          <w:rFonts w:ascii="Century Gothic" w:hAnsi="Century Gothic"/>
          <w:sz w:val="20"/>
          <w:szCs w:val="20"/>
        </w:rPr>
        <w:t xml:space="preserve">rozliczeniach ze spółką ITM Baza Poznańska </w:t>
      </w:r>
      <w:r w:rsidR="007F2513">
        <w:rPr>
          <w:rFonts w:ascii="Century Gothic" w:hAnsi="Century Gothic"/>
          <w:sz w:val="20"/>
          <w:szCs w:val="20"/>
        </w:rPr>
        <w:t>preferowana jest faktura elektroniczna, w cyklach miesięcznych</w:t>
      </w:r>
      <w:r w:rsidR="00BD72E8">
        <w:rPr>
          <w:rFonts w:ascii="Century Gothic" w:hAnsi="Century Gothic"/>
          <w:sz w:val="20"/>
          <w:szCs w:val="20"/>
        </w:rPr>
        <w:t xml:space="preserve">, </w:t>
      </w:r>
      <w:r w:rsidR="00BF0A34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 zrealizowaniu </w:t>
      </w:r>
      <w:r w:rsidR="002F67CB">
        <w:rPr>
          <w:rFonts w:ascii="Century Gothic" w:eastAsia="Times New Roman" w:hAnsi="Century Gothic" w:cs="Times New Roman"/>
          <w:sz w:val="20"/>
          <w:szCs w:val="20"/>
          <w:lang w:eastAsia="ar-SA"/>
        </w:rPr>
        <w:t>zamówionych</w:t>
      </w:r>
      <w:r w:rsidR="00996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D742CC">
        <w:rPr>
          <w:rFonts w:ascii="Century Gothic" w:eastAsia="Times New Roman" w:hAnsi="Century Gothic" w:cs="Times New Roman"/>
          <w:sz w:val="20"/>
          <w:szCs w:val="20"/>
          <w:lang w:eastAsia="ar-SA"/>
        </w:rPr>
        <w:t>usług</w:t>
      </w:r>
      <w:r w:rsidR="00BD72E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 dany miesiąc</w:t>
      </w:r>
      <w:r w:rsidR="00741A18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1EC16CDF" w14:textId="3983F133" w:rsidR="00D66926" w:rsidRPr="00D66926" w:rsidRDefault="00D66926" w:rsidP="00050D29">
      <w:pPr>
        <w:keepNext/>
        <w:numPr>
          <w:ilvl w:val="0"/>
          <w:numId w:val="3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0A7AACE6" w:rsidR="00D66926" w:rsidRPr="00487BD9" w:rsidRDefault="00D66926" w:rsidP="0008573D">
      <w:pPr>
        <w:pStyle w:val="Akapitzlist"/>
        <w:numPr>
          <w:ilvl w:val="0"/>
          <w:numId w:val="39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>Wiążącą wersją językową zapytania ofertowego jest dokument zapytania sporządzony w języku polskim. W przypadku, gdyby powstały tłumaczenia dokumentu zapytania w innym języku albo negocjacje językowe odbywały się w innym języku niż język polski,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1CA20F2" w14:textId="148C922A" w:rsidR="00787E2C" w:rsidRDefault="00787E2C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Wykonawca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zobowiązany jest do złożenia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wiadczenia 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posiada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niu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możliwości finansowych i ekonomicznych,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wiedz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 doś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wiadczenia, uprawnień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oraz zasobów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(techniczne, osobowe) niezbędne do wykonania przedmiotu zamówienia.</w:t>
      </w:r>
    </w:p>
    <w:p w14:paraId="10DC8B78" w14:textId="53C8D0C0" w:rsidR="00FF111E" w:rsidRDefault="00D66926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853D81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  <w:r w:rsidR="005F0802"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5F080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aktualne dokumenty rejestrowe firmy: aktualny odpis dokumentacji KRS/CEIDG, NIP, REGON,  </w:t>
      </w:r>
      <w:r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>polisa ubezpieczenia od odpowiedzialności cywilnej</w:t>
      </w:r>
      <w:r w:rsidR="0086107F"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(OC przewoźnika </w:t>
      </w:r>
      <w:r w:rsidR="00E31AE3"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ruchu krajowym </w:t>
      </w:r>
      <w:r w:rsidR="00164752"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 minimum 100 000 dolarów </w:t>
      </w:r>
      <w:r w:rsidR="00BB3D00"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>amerykańskich</w:t>
      </w:r>
      <w:r w:rsidR="00E31AE3"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092464"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BB3D00"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skan licencji na wykonywanie </w:t>
      </w:r>
      <w:r w:rsidR="005C43F0"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>krajowego transportu drogowego rzeczy</w:t>
      </w:r>
      <w:r w:rsidR="008461C9" w:rsidRPr="00985ED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(preferowane</w:t>
      </w:r>
      <w:r w:rsidR="008461C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firmy z min. 10-letnim doświadczeniem</w:t>
      </w:r>
      <w:r w:rsidR="0069157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), lista 3 kluczowych klientów, z którymi oferent </w:t>
      </w:r>
      <w:r w:rsidR="005C2CC8">
        <w:rPr>
          <w:rFonts w:ascii="Century Gothic" w:eastAsia="Times New Roman" w:hAnsi="Century Gothic" w:cs="Times New Roman"/>
          <w:sz w:val="20"/>
          <w:szCs w:val="20"/>
          <w:lang w:eastAsia="ar-SA"/>
        </w:rPr>
        <w:t>współpracuje w bieżącym roku</w:t>
      </w:r>
      <w:r w:rsidR="0061150D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oświadczenie zgodne z punkt 6.2. zapytania</w:t>
      </w:r>
      <w:r w:rsidR="00183057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000D6F38" w14:textId="34B59A45" w:rsidR="00350E0C" w:rsidRDefault="00350E0C" w:rsidP="00523FE1">
      <w:pPr>
        <w:keepNext/>
        <w:numPr>
          <w:ilvl w:val="0"/>
          <w:numId w:val="37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160B4405" w14:textId="01EA1A4C" w:rsidR="00123D9C" w:rsidRDefault="006664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DF7F8D">
        <w:rPr>
          <w:rFonts w:ascii="Century Gothic" w:hAnsi="Century Gothic" w:cstheme="minorHAnsi"/>
          <w:sz w:val="20"/>
          <w:szCs w:val="20"/>
        </w:rPr>
        <w:t>Informacje związane z post</w:t>
      </w:r>
      <w:r w:rsidR="00CD6749">
        <w:rPr>
          <w:rFonts w:ascii="Century Gothic" w:hAnsi="Century Gothic" w:cstheme="minorHAnsi"/>
          <w:sz w:val="20"/>
          <w:szCs w:val="20"/>
        </w:rPr>
        <w:t>ę</w:t>
      </w:r>
      <w:r w:rsidRPr="00DF7F8D">
        <w:rPr>
          <w:rFonts w:ascii="Century Gothic" w:hAnsi="Century Gothic" w:cstheme="minorHAnsi"/>
          <w:sz w:val="20"/>
          <w:szCs w:val="20"/>
        </w:rPr>
        <w:t xml:space="preserve">powaniem Oferent przedstawi poprzez </w:t>
      </w:r>
      <w:r w:rsidR="00C253D1">
        <w:rPr>
          <w:rFonts w:ascii="Century Gothic" w:hAnsi="Century Gothic" w:cstheme="minorHAnsi"/>
          <w:sz w:val="20"/>
          <w:szCs w:val="20"/>
        </w:rPr>
        <w:t>P</w:t>
      </w:r>
      <w:r w:rsidRPr="00DF7F8D">
        <w:rPr>
          <w:rFonts w:ascii="Century Gothic" w:hAnsi="Century Gothic" w:cstheme="minorHAnsi"/>
          <w:sz w:val="20"/>
          <w:szCs w:val="20"/>
        </w:rPr>
        <w:t xml:space="preserve">latformę </w:t>
      </w:r>
      <w:r w:rsidR="00C253D1">
        <w:rPr>
          <w:rFonts w:ascii="Century Gothic" w:hAnsi="Century Gothic" w:cstheme="minorHAnsi"/>
          <w:sz w:val="20"/>
          <w:szCs w:val="20"/>
        </w:rPr>
        <w:t>Z</w:t>
      </w:r>
      <w:r w:rsidRPr="00DF7F8D">
        <w:rPr>
          <w:rFonts w:ascii="Century Gothic" w:hAnsi="Century Gothic" w:cstheme="minorHAnsi"/>
          <w:sz w:val="20"/>
          <w:szCs w:val="20"/>
        </w:rPr>
        <w:t>akupową Open</w:t>
      </w:r>
      <w:r w:rsidR="00C253D1">
        <w:rPr>
          <w:rFonts w:ascii="Century Gothic" w:hAnsi="Century Gothic" w:cstheme="minorHAnsi"/>
          <w:sz w:val="20"/>
          <w:szCs w:val="20"/>
        </w:rPr>
        <w:t xml:space="preserve"> Nexus</w:t>
      </w:r>
      <w:r w:rsidRPr="00DF7F8D">
        <w:rPr>
          <w:rFonts w:ascii="Century Gothic" w:hAnsi="Century Gothic" w:cstheme="minorHAnsi"/>
          <w:sz w:val="20"/>
          <w:szCs w:val="20"/>
        </w:rPr>
        <w:t>,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uzupełniając wskazane pola oraz </w:t>
      </w:r>
      <w:r w:rsidRPr="00DF7F8D">
        <w:rPr>
          <w:rFonts w:ascii="Century Gothic" w:hAnsi="Century Gothic" w:cstheme="minorHAnsi"/>
          <w:sz w:val="20"/>
          <w:szCs w:val="20"/>
        </w:rPr>
        <w:t>o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bligatoryjnie </w:t>
      </w:r>
      <w:r w:rsidRPr="00DF7F8D">
        <w:rPr>
          <w:rFonts w:ascii="Century Gothic" w:hAnsi="Century Gothic" w:cstheme="minorHAnsi"/>
          <w:sz w:val="20"/>
          <w:szCs w:val="20"/>
        </w:rPr>
        <w:t>wypełniając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Załącznik </w:t>
      </w:r>
      <w:r w:rsidR="00E350A0" w:rsidRPr="00DF7F8D">
        <w:rPr>
          <w:rFonts w:ascii="Century Gothic" w:hAnsi="Century Gothic" w:cstheme="minorHAnsi"/>
          <w:b/>
          <w:sz w:val="20"/>
          <w:szCs w:val="20"/>
        </w:rPr>
        <w:t xml:space="preserve">nr </w:t>
      </w:r>
      <w:r w:rsidR="002F2198">
        <w:rPr>
          <w:rFonts w:ascii="Century Gothic" w:hAnsi="Century Gothic" w:cstheme="minorHAnsi"/>
          <w:b/>
          <w:sz w:val="20"/>
          <w:szCs w:val="20"/>
        </w:rPr>
        <w:t>1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2F2198">
        <w:rPr>
          <w:rFonts w:ascii="Century Gothic" w:hAnsi="Century Gothic" w:cstheme="minorHAnsi"/>
          <w:b/>
          <w:sz w:val="20"/>
          <w:szCs w:val="20"/>
        </w:rPr>
        <w:t>–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2F2198">
        <w:rPr>
          <w:rFonts w:ascii="Century Gothic" w:hAnsi="Century Gothic" w:cstheme="minorHAnsi"/>
          <w:b/>
          <w:sz w:val="20"/>
          <w:szCs w:val="20"/>
        </w:rPr>
        <w:t xml:space="preserve">Zestawienie </w:t>
      </w:r>
      <w:r w:rsidR="000B7B07">
        <w:rPr>
          <w:rFonts w:ascii="Century Gothic" w:hAnsi="Century Gothic" w:cstheme="minorHAnsi"/>
          <w:b/>
          <w:sz w:val="20"/>
          <w:szCs w:val="20"/>
        </w:rPr>
        <w:t>taboru do realizacji usługi</w:t>
      </w:r>
      <w:r w:rsidR="00EF2CC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F2CC1"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w formacie MS Excel</w:t>
      </w:r>
      <w:r w:rsidR="00E350A0" w:rsidRPr="00DF7F8D">
        <w:rPr>
          <w:rFonts w:ascii="Century Gothic" w:hAnsi="Century Gothic" w:cstheme="minorHAnsi"/>
          <w:bCs/>
          <w:sz w:val="20"/>
          <w:szCs w:val="20"/>
        </w:rPr>
        <w:t>, uzupełniając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w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pliku </w:t>
      </w:r>
      <w:r w:rsidR="002F183C">
        <w:rPr>
          <w:rFonts w:ascii="Century Gothic" w:hAnsi="Century Gothic" w:cstheme="minorHAnsi"/>
          <w:sz w:val="20"/>
          <w:szCs w:val="20"/>
        </w:rPr>
        <w:t>markę, rocznik</w:t>
      </w:r>
      <w:r w:rsidR="003D7182">
        <w:rPr>
          <w:rFonts w:ascii="Century Gothic" w:hAnsi="Century Gothic" w:cstheme="minorHAnsi"/>
          <w:sz w:val="20"/>
          <w:szCs w:val="20"/>
        </w:rPr>
        <w:t xml:space="preserve">, </w:t>
      </w:r>
      <w:r w:rsidR="003E72BD">
        <w:rPr>
          <w:rFonts w:ascii="Century Gothic" w:hAnsi="Century Gothic" w:cstheme="minorHAnsi"/>
          <w:sz w:val="20"/>
          <w:szCs w:val="20"/>
        </w:rPr>
        <w:t>średnie spalanie</w:t>
      </w:r>
      <w:r w:rsidR="00123D9C">
        <w:rPr>
          <w:rFonts w:ascii="Century Gothic" w:hAnsi="Century Gothic" w:cstheme="minorHAnsi"/>
          <w:sz w:val="20"/>
          <w:szCs w:val="20"/>
        </w:rPr>
        <w:t>.</w:t>
      </w:r>
    </w:p>
    <w:p w14:paraId="0CFF8950" w14:textId="77777777" w:rsidR="003D3C58" w:rsidRDefault="003D3C58" w:rsidP="003D3C5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134AED49" w14:textId="4BDDCA8C" w:rsidR="00CB6157" w:rsidRPr="003D3C58" w:rsidRDefault="00DF7F8D" w:rsidP="00CB6157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EF2CC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7"/>
    </w:p>
    <w:p w14:paraId="16B03B92" w14:textId="77777777" w:rsidR="003D3C58" w:rsidRPr="00CB6157" w:rsidRDefault="003D3C58" w:rsidP="003D3C5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17D96C1F" w14:textId="094664EE" w:rsidR="00AA3201" w:rsidRDefault="00027F98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Oferent </w:t>
      </w:r>
      <w:r w:rsidR="00471CF0">
        <w:rPr>
          <w:rFonts w:ascii="Century Gothic" w:hAnsi="Century Gothic" w:cstheme="minorHAnsi"/>
          <w:bCs/>
          <w:sz w:val="20"/>
          <w:szCs w:val="20"/>
        </w:rPr>
        <w:t xml:space="preserve">będzie wykonywał </w:t>
      </w:r>
      <w:r w:rsidR="00B512C0">
        <w:rPr>
          <w:rFonts w:ascii="Century Gothic" w:hAnsi="Century Gothic" w:cstheme="minorHAnsi"/>
          <w:bCs/>
          <w:sz w:val="20"/>
          <w:szCs w:val="20"/>
        </w:rPr>
        <w:t xml:space="preserve">usługi z platformy logistycznej </w:t>
      </w:r>
      <w:r w:rsidR="00427237">
        <w:rPr>
          <w:rFonts w:ascii="Century Gothic" w:hAnsi="Century Gothic" w:cstheme="minorHAnsi"/>
          <w:bCs/>
          <w:sz w:val="20"/>
          <w:szCs w:val="20"/>
        </w:rPr>
        <w:t>zlokalizowanej w Mysłowicach, przy ulicy Białobrzeskiej</w:t>
      </w:r>
      <w:r w:rsidR="00803E5B">
        <w:rPr>
          <w:rFonts w:ascii="Century Gothic" w:hAnsi="Century Gothic" w:cstheme="minorHAnsi"/>
          <w:bCs/>
          <w:sz w:val="20"/>
          <w:szCs w:val="20"/>
        </w:rPr>
        <w:t xml:space="preserve"> 22 ( 41-409 ). Jest to platf</w:t>
      </w:r>
      <w:r w:rsidR="00B5000A">
        <w:rPr>
          <w:rFonts w:ascii="Century Gothic" w:hAnsi="Century Gothic" w:cstheme="minorHAnsi"/>
          <w:bCs/>
          <w:sz w:val="20"/>
          <w:szCs w:val="20"/>
        </w:rPr>
        <w:t>orma</w:t>
      </w:r>
      <w:r w:rsidR="00EE1FA6">
        <w:rPr>
          <w:rFonts w:ascii="Century Gothic" w:hAnsi="Century Gothic" w:cstheme="minorHAnsi"/>
          <w:bCs/>
          <w:sz w:val="20"/>
          <w:szCs w:val="20"/>
        </w:rPr>
        <w:t xml:space="preserve"> typy mix o powierzchni magazynow</w:t>
      </w:r>
      <w:r w:rsidR="00EA1782">
        <w:rPr>
          <w:rFonts w:ascii="Century Gothic" w:hAnsi="Century Gothic" w:cstheme="minorHAnsi"/>
          <w:bCs/>
          <w:sz w:val="20"/>
          <w:szCs w:val="20"/>
        </w:rPr>
        <w:t xml:space="preserve">ej ponad 28 000 m2 (przygotowanie </w:t>
      </w:r>
      <w:r w:rsidR="00E53B80">
        <w:rPr>
          <w:rFonts w:ascii="Century Gothic" w:hAnsi="Century Gothic" w:cstheme="minorHAnsi"/>
          <w:bCs/>
          <w:sz w:val="20"/>
          <w:szCs w:val="20"/>
        </w:rPr>
        <w:t>artykułów suchych, świeżych, mrożonych oraz przemysłowych</w:t>
      </w:r>
      <w:r w:rsidR="008C7539">
        <w:rPr>
          <w:rFonts w:ascii="Century Gothic" w:hAnsi="Century Gothic" w:cstheme="minorHAnsi"/>
          <w:bCs/>
          <w:sz w:val="20"/>
          <w:szCs w:val="20"/>
        </w:rPr>
        <w:t>), teren zajmowany przez platformę jest ogrodzony i monitorowany</w:t>
      </w:r>
      <w:r w:rsidR="005475BF">
        <w:rPr>
          <w:rFonts w:ascii="Century Gothic" w:hAnsi="Century Gothic" w:cstheme="minorHAnsi"/>
          <w:bCs/>
          <w:sz w:val="20"/>
          <w:szCs w:val="20"/>
        </w:rPr>
        <w:t>, zarządzany przez operatora zewnętrznego na potrzeby Grupy Muszkieterów</w:t>
      </w:r>
      <w:r w:rsidR="00E10A88">
        <w:rPr>
          <w:rFonts w:ascii="Century Gothic" w:hAnsi="Century Gothic" w:cstheme="minorHAnsi"/>
          <w:bCs/>
          <w:sz w:val="20"/>
          <w:szCs w:val="20"/>
        </w:rPr>
        <w:t>. Lokalizacja platformy ulegnie zmianie na początku roku 2023</w:t>
      </w:r>
      <w:r w:rsidR="00E57488">
        <w:rPr>
          <w:rFonts w:ascii="Century Gothic" w:hAnsi="Century Gothic" w:cstheme="minorHAnsi"/>
          <w:bCs/>
          <w:sz w:val="20"/>
          <w:szCs w:val="20"/>
        </w:rPr>
        <w:t>, niemniej będzie ona nadal mieściła się na terenie aglomeracji śląskiej</w:t>
      </w:r>
      <w:r w:rsidR="00F44EAF">
        <w:rPr>
          <w:rFonts w:ascii="Century Gothic" w:hAnsi="Century Gothic" w:cstheme="minorHAnsi"/>
          <w:bCs/>
          <w:sz w:val="20"/>
          <w:szCs w:val="20"/>
        </w:rPr>
        <w:t xml:space="preserve"> ( szczegółowy termin kontynuacji usługi w nowej lokalizacji będzie przekazany </w:t>
      </w:r>
      <w:r w:rsidR="00F734DB">
        <w:rPr>
          <w:rFonts w:ascii="Century Gothic" w:hAnsi="Century Gothic" w:cstheme="minorHAnsi"/>
          <w:bCs/>
          <w:sz w:val="20"/>
          <w:szCs w:val="20"/>
        </w:rPr>
        <w:t>wybranym oferentom z odpowiednim wyprzedzeniem)</w:t>
      </w:r>
    </w:p>
    <w:p w14:paraId="6C9AC351" w14:textId="77777777" w:rsidR="00CB6157" w:rsidRDefault="00CB6157" w:rsidP="00CB6157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0DD9F6B" w14:textId="42438247" w:rsidR="00CF56CF" w:rsidRDefault="00AA32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Sklepy, do których Oferent będzie pro</w:t>
      </w:r>
      <w:r w:rsidR="004D01A6">
        <w:rPr>
          <w:rFonts w:ascii="Century Gothic" w:hAnsi="Century Gothic" w:cstheme="minorHAnsi"/>
          <w:bCs/>
          <w:sz w:val="20"/>
          <w:szCs w:val="20"/>
        </w:rPr>
        <w:t>wadził dystrybucję towarów są obsługiwane w dwóch systemach dostaw-</w:t>
      </w:r>
      <w:r w:rsidR="00545A33">
        <w:rPr>
          <w:rFonts w:ascii="Century Gothic" w:hAnsi="Century Gothic" w:cstheme="minorHAnsi"/>
          <w:bCs/>
          <w:sz w:val="20"/>
          <w:szCs w:val="20"/>
        </w:rPr>
        <w:t xml:space="preserve"> A/B (dostawy dzienne- do godziny 20.00), A/C (dostawy nocne </w:t>
      </w:r>
      <w:r w:rsidR="00CB64FE">
        <w:rPr>
          <w:rFonts w:ascii="Century Gothic" w:hAnsi="Century Gothic" w:cstheme="minorHAnsi"/>
          <w:bCs/>
          <w:sz w:val="20"/>
          <w:szCs w:val="20"/>
        </w:rPr>
        <w:t>– od godziny 6:00);proporcje sklepów</w:t>
      </w:r>
      <w:r w:rsidR="005A36A5">
        <w:rPr>
          <w:rFonts w:ascii="Century Gothic" w:hAnsi="Century Gothic" w:cstheme="minorHAnsi"/>
          <w:bCs/>
          <w:sz w:val="20"/>
          <w:szCs w:val="20"/>
        </w:rPr>
        <w:t xml:space="preserve"> obsługiwanych w systemie A/B do sklepów </w:t>
      </w:r>
      <w:r w:rsidR="005858EE">
        <w:rPr>
          <w:rFonts w:ascii="Century Gothic" w:hAnsi="Century Gothic" w:cstheme="minorHAnsi"/>
          <w:bCs/>
          <w:sz w:val="20"/>
          <w:szCs w:val="20"/>
        </w:rPr>
        <w:t>obsługiwanych w systemie A/C wynosi ok. 1 do 3 (szczegóły</w:t>
      </w:r>
      <w:r w:rsidR="00523E7C">
        <w:rPr>
          <w:rFonts w:ascii="Century Gothic" w:hAnsi="Century Gothic" w:cstheme="minorHAnsi"/>
          <w:bCs/>
          <w:sz w:val="20"/>
          <w:szCs w:val="20"/>
        </w:rPr>
        <w:t xml:space="preserve"> w Załączniku 3 i 4 </w:t>
      </w:r>
      <w:r w:rsidR="005D7F50">
        <w:rPr>
          <w:rFonts w:ascii="Century Gothic" w:hAnsi="Century Gothic" w:cstheme="minorHAnsi"/>
          <w:bCs/>
          <w:sz w:val="20"/>
          <w:szCs w:val="20"/>
        </w:rPr>
        <w:t xml:space="preserve">, które zawierają wykaz sklepów Intermarche obsługiwanych </w:t>
      </w:r>
      <w:r w:rsidR="002355F7">
        <w:rPr>
          <w:rFonts w:ascii="Century Gothic" w:hAnsi="Century Gothic" w:cstheme="minorHAnsi"/>
          <w:bCs/>
          <w:sz w:val="20"/>
          <w:szCs w:val="20"/>
        </w:rPr>
        <w:t>przez platformę mysłowicką wraz z odległościami od magazynu</w:t>
      </w:r>
      <w:r w:rsidR="0073528A">
        <w:rPr>
          <w:rFonts w:ascii="Century Gothic" w:hAnsi="Century Gothic" w:cstheme="minorHAnsi"/>
          <w:bCs/>
          <w:sz w:val="20"/>
          <w:szCs w:val="20"/>
        </w:rPr>
        <w:t xml:space="preserve"> do sklepu oraz oznaczenie systemu dostaw). Możliwa jest </w:t>
      </w:r>
      <w:r w:rsidR="008B0467">
        <w:rPr>
          <w:rFonts w:ascii="Century Gothic" w:hAnsi="Century Gothic" w:cstheme="minorHAnsi"/>
          <w:bCs/>
          <w:sz w:val="20"/>
          <w:szCs w:val="20"/>
        </w:rPr>
        <w:t>realizacja do dwóch tras w ciągu doby przez jeden pojazd</w:t>
      </w:r>
      <w:r w:rsidR="0066768B">
        <w:rPr>
          <w:rFonts w:ascii="Century Gothic" w:hAnsi="Century Gothic" w:cstheme="minorHAnsi"/>
          <w:bCs/>
          <w:sz w:val="20"/>
          <w:szCs w:val="20"/>
        </w:rPr>
        <w:t xml:space="preserve"> ( dostawa dzienna A/B a następnie nocna A/C ). Istnieją również sklepy </w:t>
      </w:r>
      <w:r w:rsidR="00D0260E">
        <w:rPr>
          <w:rFonts w:ascii="Century Gothic" w:hAnsi="Century Gothic" w:cstheme="minorHAnsi"/>
          <w:bCs/>
          <w:sz w:val="20"/>
          <w:szCs w:val="20"/>
        </w:rPr>
        <w:t>zaopatrywane poprzez śluzy dostaw bez udziału pracowników sklepu (SAS)</w:t>
      </w:r>
      <w:r w:rsidR="00C33F31">
        <w:rPr>
          <w:rFonts w:ascii="Century Gothic" w:hAnsi="Century Gothic" w:cstheme="minorHAnsi"/>
          <w:bCs/>
          <w:sz w:val="20"/>
          <w:szCs w:val="20"/>
        </w:rPr>
        <w:t>- dostawa do tego typu sklepów nie odbywa się o konkretnej</w:t>
      </w:r>
      <w:r w:rsidR="004E30AF">
        <w:rPr>
          <w:rFonts w:ascii="Century Gothic" w:hAnsi="Century Gothic" w:cstheme="minorHAnsi"/>
          <w:bCs/>
          <w:sz w:val="20"/>
          <w:szCs w:val="20"/>
        </w:rPr>
        <w:t xml:space="preserve">, wyznaczonej godzinie lecz w oknie </w:t>
      </w:r>
      <w:r w:rsidR="00F0446F">
        <w:rPr>
          <w:rFonts w:ascii="Century Gothic" w:hAnsi="Century Gothic" w:cstheme="minorHAnsi"/>
          <w:bCs/>
          <w:sz w:val="20"/>
          <w:szCs w:val="20"/>
        </w:rPr>
        <w:t>czasowym (maksymalnie na godzinę przed otwarciem sklepu</w:t>
      </w:r>
      <w:r w:rsidR="008C38E8">
        <w:rPr>
          <w:rFonts w:ascii="Century Gothic" w:hAnsi="Century Gothic" w:cstheme="minorHAnsi"/>
          <w:bCs/>
          <w:sz w:val="20"/>
          <w:szCs w:val="20"/>
        </w:rPr>
        <w:t xml:space="preserve">), umożliwia to optymalizację czasu jazdy samochody i wzrost średnich </w:t>
      </w:r>
      <w:r w:rsidR="00CF56CF">
        <w:rPr>
          <w:rFonts w:ascii="Century Gothic" w:hAnsi="Century Gothic" w:cstheme="minorHAnsi"/>
          <w:bCs/>
          <w:sz w:val="20"/>
          <w:szCs w:val="20"/>
        </w:rPr>
        <w:t>przebiegów pojazdów.</w:t>
      </w:r>
    </w:p>
    <w:p w14:paraId="25810B9C" w14:textId="77777777" w:rsidR="003D3C58" w:rsidRPr="003D3C58" w:rsidRDefault="003D3C58" w:rsidP="003D3C58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32E9C1D0" w14:textId="77777777" w:rsidR="003D3C58" w:rsidRPr="003D3C58" w:rsidRDefault="003D3C58" w:rsidP="003D3C58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3E2AFC1" w14:textId="4034B6A7" w:rsidR="005E244B" w:rsidRDefault="00563614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lastRenderedPageBreak/>
        <w:t xml:space="preserve">Dostawy do sklepów – zasadniczo </w:t>
      </w:r>
      <w:r w:rsidR="00D955C4">
        <w:rPr>
          <w:rFonts w:ascii="Century Gothic" w:hAnsi="Century Gothic" w:cstheme="minorHAnsi"/>
          <w:bCs/>
          <w:sz w:val="20"/>
          <w:szCs w:val="20"/>
        </w:rPr>
        <w:t xml:space="preserve">trasy do sklepów </w:t>
      </w:r>
      <w:r w:rsidR="00E80E99">
        <w:rPr>
          <w:rFonts w:ascii="Century Gothic" w:hAnsi="Century Gothic" w:cstheme="minorHAnsi"/>
          <w:bCs/>
          <w:sz w:val="20"/>
          <w:szCs w:val="20"/>
        </w:rPr>
        <w:t>przebiegają w tzw. „two way”</w:t>
      </w:r>
      <w:r w:rsidR="009578A1">
        <w:rPr>
          <w:rFonts w:ascii="Century Gothic" w:hAnsi="Century Gothic" w:cstheme="minorHAnsi"/>
          <w:bCs/>
          <w:sz w:val="20"/>
          <w:szCs w:val="20"/>
        </w:rPr>
        <w:t xml:space="preserve">; </w:t>
      </w:r>
      <w:r w:rsidR="00E80E99">
        <w:rPr>
          <w:rFonts w:ascii="Century Gothic" w:hAnsi="Century Gothic" w:cstheme="minorHAnsi"/>
          <w:bCs/>
          <w:sz w:val="20"/>
          <w:szCs w:val="20"/>
        </w:rPr>
        <w:t xml:space="preserve">dostawa przebiega w </w:t>
      </w:r>
      <w:r w:rsidR="00A67331">
        <w:rPr>
          <w:rFonts w:ascii="Century Gothic" w:hAnsi="Century Gothic" w:cstheme="minorHAnsi"/>
          <w:bCs/>
          <w:sz w:val="20"/>
          <w:szCs w:val="20"/>
        </w:rPr>
        <w:t xml:space="preserve">temperaturze kontrolowanej </w:t>
      </w:r>
      <w:r w:rsidR="00A82E70">
        <w:rPr>
          <w:rFonts w:ascii="Century Gothic" w:hAnsi="Century Gothic" w:cstheme="minorHAnsi"/>
          <w:bCs/>
          <w:sz w:val="20"/>
          <w:szCs w:val="20"/>
        </w:rPr>
        <w:t>tj.</w:t>
      </w:r>
      <w:r w:rsidR="00A67331">
        <w:rPr>
          <w:rFonts w:ascii="Century Gothic" w:hAnsi="Century Gothic" w:cstheme="minorHAnsi"/>
          <w:bCs/>
          <w:sz w:val="20"/>
          <w:szCs w:val="20"/>
        </w:rPr>
        <w:t>+5 stopni Celsjusza</w:t>
      </w:r>
      <w:r w:rsidR="00A82E70">
        <w:rPr>
          <w:rFonts w:ascii="Century Gothic" w:hAnsi="Century Gothic" w:cstheme="minorHAnsi"/>
          <w:bCs/>
          <w:sz w:val="20"/>
          <w:szCs w:val="20"/>
        </w:rPr>
        <w:t xml:space="preserve">, która wyjątkowo </w:t>
      </w:r>
      <w:r w:rsidR="002510F2">
        <w:rPr>
          <w:rFonts w:ascii="Century Gothic" w:hAnsi="Century Gothic" w:cstheme="minorHAnsi"/>
          <w:bCs/>
          <w:sz w:val="20"/>
          <w:szCs w:val="20"/>
        </w:rPr>
        <w:t>może zostać zmieniona na wniosek zamawiającego usługę</w:t>
      </w:r>
      <w:r w:rsidR="009A349A">
        <w:rPr>
          <w:rFonts w:ascii="Century Gothic" w:hAnsi="Century Gothic" w:cstheme="minorHAnsi"/>
          <w:bCs/>
          <w:sz w:val="20"/>
          <w:szCs w:val="20"/>
        </w:rPr>
        <w:t xml:space="preserve">, powrót ze sklepu generalnie odbywa się </w:t>
      </w:r>
      <w:r w:rsidR="009578A1">
        <w:rPr>
          <w:rFonts w:ascii="Century Gothic" w:hAnsi="Century Gothic" w:cstheme="minorHAnsi"/>
          <w:bCs/>
          <w:sz w:val="20"/>
          <w:szCs w:val="20"/>
        </w:rPr>
        <w:t>z wyłączonym agregatem</w:t>
      </w:r>
      <w:r w:rsidR="00B446B4">
        <w:rPr>
          <w:rFonts w:ascii="Century Gothic" w:hAnsi="Century Gothic" w:cstheme="minorHAnsi"/>
          <w:bCs/>
          <w:sz w:val="20"/>
          <w:szCs w:val="20"/>
        </w:rPr>
        <w:t xml:space="preserve">- wyjątek od tej reguły zdarza siew przypadku transportowania </w:t>
      </w:r>
      <w:r w:rsidR="0016515C">
        <w:rPr>
          <w:rFonts w:ascii="Century Gothic" w:hAnsi="Century Gothic" w:cstheme="minorHAnsi"/>
          <w:bCs/>
          <w:sz w:val="20"/>
          <w:szCs w:val="20"/>
        </w:rPr>
        <w:t>zwrotów ze sklepu wymagających przewozu w temperaturze kontrolowanej</w:t>
      </w:r>
      <w:r w:rsidR="00710780">
        <w:rPr>
          <w:rFonts w:ascii="Century Gothic" w:hAnsi="Century Gothic" w:cstheme="minorHAnsi"/>
          <w:bCs/>
          <w:sz w:val="20"/>
          <w:szCs w:val="20"/>
        </w:rPr>
        <w:t>); K</w:t>
      </w:r>
      <w:r w:rsidR="003552D1">
        <w:rPr>
          <w:rFonts w:ascii="Century Gothic" w:hAnsi="Century Gothic" w:cstheme="minorHAnsi"/>
          <w:bCs/>
          <w:sz w:val="20"/>
          <w:szCs w:val="20"/>
        </w:rPr>
        <w:t>m Tour ( średnia długość trasy w ramach dystrybucji wynosi ok. 380 km</w:t>
      </w:r>
      <w:r w:rsidR="00B12B33">
        <w:rPr>
          <w:rFonts w:ascii="Century Gothic" w:hAnsi="Century Gothic" w:cstheme="minorHAnsi"/>
          <w:bCs/>
          <w:sz w:val="20"/>
          <w:szCs w:val="20"/>
        </w:rPr>
        <w:t xml:space="preserve">; średnia ilość </w:t>
      </w:r>
      <w:r w:rsidR="007D23EF">
        <w:rPr>
          <w:rFonts w:ascii="Century Gothic" w:hAnsi="Century Gothic" w:cstheme="minorHAnsi"/>
          <w:bCs/>
          <w:sz w:val="20"/>
          <w:szCs w:val="20"/>
        </w:rPr>
        <w:t>miejsc rozładunku na tras</w:t>
      </w:r>
      <w:r w:rsidR="00F612F7">
        <w:rPr>
          <w:rFonts w:ascii="Century Gothic" w:hAnsi="Century Gothic" w:cstheme="minorHAnsi"/>
          <w:bCs/>
          <w:sz w:val="20"/>
          <w:szCs w:val="20"/>
        </w:rPr>
        <w:t>ę wynosi 1,6 (</w:t>
      </w:r>
      <w:r w:rsidR="00145996">
        <w:rPr>
          <w:rFonts w:ascii="Century Gothic" w:hAnsi="Century Gothic" w:cstheme="minorHAnsi"/>
          <w:bCs/>
          <w:sz w:val="20"/>
          <w:szCs w:val="20"/>
        </w:rPr>
        <w:t>maksymalnie w sta</w:t>
      </w:r>
      <w:r w:rsidR="0094516B">
        <w:rPr>
          <w:rFonts w:ascii="Century Gothic" w:hAnsi="Century Gothic" w:cstheme="minorHAnsi"/>
          <w:bCs/>
          <w:sz w:val="20"/>
          <w:szCs w:val="20"/>
        </w:rPr>
        <w:t>n</w:t>
      </w:r>
      <w:r w:rsidR="00145996">
        <w:rPr>
          <w:rFonts w:ascii="Century Gothic" w:hAnsi="Century Gothic" w:cstheme="minorHAnsi"/>
          <w:bCs/>
          <w:sz w:val="20"/>
          <w:szCs w:val="20"/>
        </w:rPr>
        <w:t>dardowej dystrybucji przewidujemy 3 miejsca rozładunku</w:t>
      </w:r>
      <w:r w:rsidR="0094516B">
        <w:rPr>
          <w:rFonts w:ascii="Century Gothic" w:hAnsi="Century Gothic" w:cstheme="minorHAnsi"/>
          <w:bCs/>
          <w:sz w:val="20"/>
          <w:szCs w:val="20"/>
        </w:rPr>
        <w:t xml:space="preserve">); ilość dostaw do sklepów waha się </w:t>
      </w:r>
      <w:r w:rsidR="00043D71">
        <w:rPr>
          <w:rFonts w:ascii="Century Gothic" w:hAnsi="Century Gothic" w:cstheme="minorHAnsi"/>
          <w:bCs/>
          <w:sz w:val="20"/>
          <w:szCs w:val="20"/>
        </w:rPr>
        <w:t xml:space="preserve">od 3 do </w:t>
      </w:r>
      <w:r w:rsidR="00874AF9">
        <w:rPr>
          <w:rFonts w:ascii="Century Gothic" w:hAnsi="Century Gothic" w:cstheme="minorHAnsi"/>
          <w:bCs/>
          <w:sz w:val="20"/>
          <w:szCs w:val="20"/>
        </w:rPr>
        <w:t>5</w:t>
      </w:r>
      <w:r w:rsidR="00043D71">
        <w:rPr>
          <w:rFonts w:ascii="Century Gothic" w:hAnsi="Century Gothic" w:cstheme="minorHAnsi"/>
          <w:bCs/>
          <w:sz w:val="20"/>
          <w:szCs w:val="20"/>
        </w:rPr>
        <w:t xml:space="preserve"> w każdym tygodniu zgodnie z indywidualnym</w:t>
      </w:r>
      <w:r w:rsidR="008C5B5E">
        <w:rPr>
          <w:rFonts w:ascii="Century Gothic" w:hAnsi="Century Gothic" w:cstheme="minorHAnsi"/>
          <w:bCs/>
          <w:sz w:val="20"/>
          <w:szCs w:val="20"/>
        </w:rPr>
        <w:t xml:space="preserve"> harmonogramem dostaw; kierowca jest zobowiązany </w:t>
      </w:r>
      <w:r w:rsidR="0026140A">
        <w:rPr>
          <w:rFonts w:ascii="Century Gothic" w:hAnsi="Century Gothic" w:cstheme="minorHAnsi"/>
          <w:bCs/>
          <w:sz w:val="20"/>
          <w:szCs w:val="20"/>
        </w:rPr>
        <w:t xml:space="preserve">do zdjęcia z przestrzeni ładunkowej nośników </w:t>
      </w:r>
      <w:r w:rsidR="00E54138">
        <w:rPr>
          <w:rFonts w:ascii="Century Gothic" w:hAnsi="Century Gothic" w:cstheme="minorHAnsi"/>
          <w:bCs/>
          <w:sz w:val="20"/>
          <w:szCs w:val="20"/>
        </w:rPr>
        <w:t>transportowych przeznaczonych do danego miejsca rozładunku</w:t>
      </w:r>
      <w:r w:rsidR="00F753DB">
        <w:rPr>
          <w:rFonts w:ascii="Century Gothic" w:hAnsi="Century Gothic" w:cstheme="minorHAnsi"/>
          <w:bCs/>
          <w:sz w:val="20"/>
          <w:szCs w:val="20"/>
        </w:rPr>
        <w:t xml:space="preserve"> i ustawienia ich w miejscu przyjęcia dostawy przez sklep przy pomocy wó</w:t>
      </w:r>
      <w:r w:rsidR="005E244B">
        <w:rPr>
          <w:rFonts w:ascii="Century Gothic" w:hAnsi="Century Gothic" w:cstheme="minorHAnsi"/>
          <w:bCs/>
          <w:sz w:val="20"/>
          <w:szCs w:val="20"/>
        </w:rPr>
        <w:t>zka paletowego znajdującego się na wyposażeniu sklepu.</w:t>
      </w:r>
    </w:p>
    <w:p w14:paraId="414FF91D" w14:textId="77777777" w:rsidR="003D3C58" w:rsidRDefault="003D3C58" w:rsidP="003D3C5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3693E44" w14:textId="044A0F0D" w:rsidR="00130568" w:rsidRDefault="003B5944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Środki transportu- dostawy realizowane są w oparciu o zestawy składające się</w:t>
      </w:r>
      <w:r w:rsidR="006D02CA">
        <w:rPr>
          <w:rFonts w:ascii="Century Gothic" w:hAnsi="Century Gothic" w:cstheme="minorHAnsi"/>
          <w:bCs/>
          <w:sz w:val="20"/>
          <w:szCs w:val="20"/>
        </w:rPr>
        <w:t xml:space="preserve"> z ciągnika siodłowego </w:t>
      </w:r>
      <w:r w:rsidR="00FB26C6">
        <w:rPr>
          <w:rFonts w:ascii="Century Gothic" w:hAnsi="Century Gothic" w:cstheme="minorHAnsi"/>
          <w:bCs/>
          <w:sz w:val="20"/>
          <w:szCs w:val="20"/>
        </w:rPr>
        <w:t xml:space="preserve">wraz z naczepą typu chłodnia 33-paletowa barwy białej wyposażona </w:t>
      </w:r>
      <w:r w:rsidR="00396C15">
        <w:rPr>
          <w:rFonts w:ascii="Century Gothic" w:hAnsi="Century Gothic" w:cstheme="minorHAnsi"/>
          <w:bCs/>
          <w:sz w:val="20"/>
          <w:szCs w:val="20"/>
        </w:rPr>
        <w:t xml:space="preserve">w windę hydrauliczną , termograf ( przystosowanie </w:t>
      </w:r>
      <w:r w:rsidR="001946F6">
        <w:rPr>
          <w:rFonts w:ascii="Century Gothic" w:hAnsi="Century Gothic" w:cstheme="minorHAnsi"/>
          <w:bCs/>
          <w:sz w:val="20"/>
          <w:szCs w:val="20"/>
        </w:rPr>
        <w:t>naczep do plombowania- magnes, wymóg konieczny)</w:t>
      </w:r>
      <w:r w:rsidR="00AA2E34">
        <w:rPr>
          <w:rFonts w:ascii="Century Gothic" w:hAnsi="Century Gothic" w:cstheme="minorHAnsi"/>
          <w:bCs/>
          <w:sz w:val="20"/>
          <w:szCs w:val="20"/>
        </w:rPr>
        <w:t xml:space="preserve">; ilość zestawów niezbędna do obsługi kontraktu to 10 sztuk, może ona się wahać </w:t>
      </w:r>
      <w:r w:rsidR="00893B8D">
        <w:rPr>
          <w:rFonts w:ascii="Century Gothic" w:hAnsi="Century Gothic" w:cstheme="minorHAnsi"/>
          <w:bCs/>
          <w:sz w:val="20"/>
          <w:szCs w:val="20"/>
        </w:rPr>
        <w:t xml:space="preserve">ze względu na sezonowość – przewidujemy, że </w:t>
      </w:r>
      <w:r w:rsidR="00395440">
        <w:rPr>
          <w:rFonts w:ascii="Century Gothic" w:hAnsi="Century Gothic" w:cstheme="minorHAnsi"/>
          <w:bCs/>
          <w:sz w:val="20"/>
          <w:szCs w:val="20"/>
        </w:rPr>
        <w:t>ilość niezbędnego sprzętu będzie oscylowała w przedziale od 8 do 12 zestawów</w:t>
      </w:r>
      <w:r w:rsidR="00DA4408">
        <w:rPr>
          <w:rFonts w:ascii="Century Gothic" w:hAnsi="Century Gothic" w:cstheme="minorHAnsi"/>
          <w:bCs/>
          <w:sz w:val="20"/>
          <w:szCs w:val="20"/>
        </w:rPr>
        <w:t xml:space="preserve">. </w:t>
      </w:r>
      <w:r w:rsidR="00703A36">
        <w:rPr>
          <w:rFonts w:ascii="Century Gothic" w:hAnsi="Century Gothic" w:cstheme="minorHAnsi"/>
          <w:bCs/>
          <w:sz w:val="20"/>
          <w:szCs w:val="20"/>
        </w:rPr>
        <w:t>Zamawiający</w:t>
      </w:r>
      <w:r w:rsidR="00DA4408">
        <w:rPr>
          <w:rFonts w:ascii="Century Gothic" w:hAnsi="Century Gothic" w:cstheme="minorHAnsi"/>
          <w:bCs/>
          <w:sz w:val="20"/>
          <w:szCs w:val="20"/>
        </w:rPr>
        <w:t xml:space="preserve"> usługi bierze pod uwagę możliwość </w:t>
      </w:r>
      <w:r w:rsidR="00703A36">
        <w:rPr>
          <w:rFonts w:ascii="Century Gothic" w:hAnsi="Century Gothic" w:cstheme="minorHAnsi"/>
          <w:bCs/>
          <w:sz w:val="20"/>
          <w:szCs w:val="20"/>
        </w:rPr>
        <w:t>zlecenia umieszczenia swoich logotypów</w:t>
      </w:r>
      <w:r w:rsidR="00B1740A">
        <w:rPr>
          <w:rFonts w:ascii="Century Gothic" w:hAnsi="Century Gothic" w:cstheme="minorHAnsi"/>
          <w:bCs/>
          <w:sz w:val="20"/>
          <w:szCs w:val="20"/>
        </w:rPr>
        <w:t xml:space="preserve"> na naczepach Wykonawcy usługi (do 50% dedykowanej floty)</w:t>
      </w:r>
      <w:r w:rsidR="00BE74FC">
        <w:rPr>
          <w:rFonts w:ascii="Century Gothic" w:hAnsi="Century Gothic" w:cstheme="minorHAnsi"/>
          <w:bCs/>
          <w:sz w:val="20"/>
          <w:szCs w:val="20"/>
        </w:rPr>
        <w:t>; Zamawiający, do obsługi kontraktu</w:t>
      </w:r>
      <w:r w:rsidR="00FB677C">
        <w:rPr>
          <w:rFonts w:ascii="Century Gothic" w:hAnsi="Century Gothic" w:cstheme="minorHAnsi"/>
          <w:bCs/>
          <w:sz w:val="20"/>
          <w:szCs w:val="20"/>
        </w:rPr>
        <w:t>, preferuje zestawy nie starsze niż 8 lat.</w:t>
      </w:r>
    </w:p>
    <w:p w14:paraId="15B992D2" w14:textId="77777777" w:rsidR="003D3C58" w:rsidRDefault="003D3C58" w:rsidP="003D3C5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42A31AE" w14:textId="77777777" w:rsidR="0087723F" w:rsidRDefault="00130568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Wykonawca usługi będzie zob</w:t>
      </w:r>
      <w:r w:rsidR="0087723F">
        <w:rPr>
          <w:rFonts w:ascii="Century Gothic" w:hAnsi="Century Gothic" w:cstheme="minorHAnsi"/>
          <w:bCs/>
          <w:sz w:val="20"/>
          <w:szCs w:val="20"/>
        </w:rPr>
        <w:t>owiązany do:</w:t>
      </w:r>
    </w:p>
    <w:p w14:paraId="0288D2E9" w14:textId="77777777" w:rsidR="00C61BEE" w:rsidRDefault="0087723F" w:rsidP="003D3C58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Udostępnienia (na żądanie) danych z urządzenia GPS</w:t>
      </w:r>
      <w:r w:rsidR="0015231C">
        <w:rPr>
          <w:rFonts w:ascii="Century Gothic" w:hAnsi="Century Gothic" w:cstheme="minorHAnsi"/>
          <w:bCs/>
          <w:sz w:val="20"/>
          <w:szCs w:val="20"/>
        </w:rPr>
        <w:t xml:space="preserve"> Wykonawcy usługi, drogą elektroniczną, lokalizacji </w:t>
      </w:r>
      <w:r w:rsidR="00C61BEE">
        <w:rPr>
          <w:rFonts w:ascii="Century Gothic" w:hAnsi="Century Gothic" w:cstheme="minorHAnsi"/>
          <w:bCs/>
          <w:sz w:val="20"/>
          <w:szCs w:val="20"/>
        </w:rPr>
        <w:t>pojazdu w trakcie realizacji zlecenia</w:t>
      </w:r>
    </w:p>
    <w:p w14:paraId="67EE7197" w14:textId="77777777" w:rsidR="008B23A9" w:rsidRDefault="00C61BEE" w:rsidP="003D3C58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Dołączenia dla każdej zrea</w:t>
      </w:r>
      <w:r w:rsidR="00733F83">
        <w:rPr>
          <w:rFonts w:ascii="Century Gothic" w:hAnsi="Century Gothic" w:cstheme="minorHAnsi"/>
          <w:bCs/>
          <w:sz w:val="20"/>
          <w:szCs w:val="20"/>
        </w:rPr>
        <w:t>lizowanej trasy, wydruku rejestru temperatur z agregatu</w:t>
      </w:r>
      <w:r w:rsidR="001B015A">
        <w:rPr>
          <w:rFonts w:ascii="Century Gothic" w:hAnsi="Century Gothic" w:cstheme="minorHAnsi"/>
          <w:bCs/>
          <w:sz w:val="20"/>
          <w:szCs w:val="20"/>
        </w:rPr>
        <w:t xml:space="preserve"> wraz z dokumentami potwierdzającymi realizację</w:t>
      </w:r>
    </w:p>
    <w:p w14:paraId="232260EA" w14:textId="41F6F2A0" w:rsidR="00027F98" w:rsidRDefault="008B23A9" w:rsidP="003D3C58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Dostarczenia drogą elektroniczną (raz w miesiącu) potwierdzenia mycia naczep dedykowanych </w:t>
      </w:r>
      <w:r w:rsidR="003F20D4">
        <w:rPr>
          <w:rFonts w:ascii="Century Gothic" w:hAnsi="Century Gothic" w:cstheme="minorHAnsi"/>
          <w:bCs/>
          <w:sz w:val="20"/>
          <w:szCs w:val="20"/>
        </w:rPr>
        <w:t>do wykonania usługi (dotyczy przestrzeni ładunkowej</w:t>
      </w:r>
      <w:r w:rsidR="00934651">
        <w:rPr>
          <w:rFonts w:ascii="Century Gothic" w:hAnsi="Century Gothic" w:cstheme="minorHAnsi"/>
          <w:bCs/>
          <w:sz w:val="20"/>
          <w:szCs w:val="20"/>
        </w:rPr>
        <w:t>)</w:t>
      </w:r>
    </w:p>
    <w:p w14:paraId="5D4CD8B2" w14:textId="1B421F98" w:rsidR="004C0BCD" w:rsidRDefault="004C0BCD" w:rsidP="003D3C58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Dostarczenia drogą elektroniczną (raz w roku)</w:t>
      </w:r>
      <w:r w:rsidR="00675E1F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6A66B3">
        <w:rPr>
          <w:rFonts w:ascii="Century Gothic" w:hAnsi="Century Gothic" w:cstheme="minorHAnsi"/>
          <w:bCs/>
          <w:sz w:val="20"/>
          <w:szCs w:val="20"/>
        </w:rPr>
        <w:t>potwierdzenia certyfikatów wzorcowania czujnik</w:t>
      </w:r>
      <w:r w:rsidR="00BC5445">
        <w:rPr>
          <w:rFonts w:ascii="Century Gothic" w:hAnsi="Century Gothic" w:cstheme="minorHAnsi"/>
          <w:bCs/>
          <w:sz w:val="20"/>
          <w:szCs w:val="20"/>
        </w:rPr>
        <w:t>ów temperatury na naczepach</w:t>
      </w:r>
    </w:p>
    <w:p w14:paraId="174C8F36" w14:textId="0A26905F" w:rsidR="00EF5E1C" w:rsidRDefault="00EF5E1C" w:rsidP="003D3C58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Respektowania godzin rozładunku w poszczególnych </w:t>
      </w:r>
      <w:r w:rsidR="00923758">
        <w:rPr>
          <w:rFonts w:ascii="Century Gothic" w:hAnsi="Century Gothic" w:cstheme="minorHAnsi"/>
          <w:bCs/>
          <w:sz w:val="20"/>
          <w:szCs w:val="20"/>
        </w:rPr>
        <w:t>miejscach rozładunku oraz do przestrzegania godzin załadunku w miejscach załadunku</w:t>
      </w:r>
    </w:p>
    <w:p w14:paraId="46DF1B99" w14:textId="423391C9" w:rsidR="00A849BB" w:rsidRDefault="00A849BB" w:rsidP="003D3C58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Podpisania umów ubezpieczeniowych (OC przewoźnika </w:t>
      </w:r>
      <w:r w:rsidR="00B963E4">
        <w:rPr>
          <w:rFonts w:ascii="Century Gothic" w:hAnsi="Century Gothic" w:cstheme="minorHAnsi"/>
          <w:bCs/>
          <w:sz w:val="20"/>
          <w:szCs w:val="20"/>
        </w:rPr>
        <w:t>w ruchu krajowym, polisa o wartości 100 000 dolarów amerykańskich )</w:t>
      </w:r>
    </w:p>
    <w:p w14:paraId="549F37FC" w14:textId="2521E0ED" w:rsidR="00923758" w:rsidRDefault="001270BC" w:rsidP="003D3C58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Ponosi odpowiedzialność </w:t>
      </w:r>
      <w:r w:rsidR="0065271C">
        <w:rPr>
          <w:rFonts w:ascii="Century Gothic" w:hAnsi="Century Gothic" w:cstheme="minorHAnsi"/>
          <w:bCs/>
          <w:sz w:val="20"/>
          <w:szCs w:val="20"/>
        </w:rPr>
        <w:t>za powierzony towar</w:t>
      </w:r>
    </w:p>
    <w:p w14:paraId="6EFD51BC" w14:textId="77777777" w:rsidR="0065271C" w:rsidRDefault="0065271C" w:rsidP="0065271C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60BA9A5" w14:textId="2464A88F" w:rsidR="00A201C8" w:rsidRDefault="00E92499" w:rsidP="00A201C8">
      <w:pPr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Ładunki</w:t>
      </w:r>
      <w:r w:rsidR="003D3C5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- towary przygotowywane </w:t>
      </w:r>
      <w:r w:rsidR="00E156F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przez pracowników Zamawiającego usługi umieszczane są </w:t>
      </w:r>
      <w:r w:rsidR="00A05695">
        <w:rPr>
          <w:rFonts w:ascii="Century Gothic" w:eastAsia="Times New Roman" w:hAnsi="Century Gothic" w:cs="Times New Roman"/>
          <w:sz w:val="20"/>
          <w:szCs w:val="20"/>
          <w:lang w:eastAsia="ar-SA"/>
        </w:rPr>
        <w:t>na nośnikach transportowych typu:</w:t>
      </w:r>
    </w:p>
    <w:p w14:paraId="36A7CAB2" w14:textId="25367B1D" w:rsidR="00295EE2" w:rsidRDefault="00295EE2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EURO</w:t>
      </w:r>
    </w:p>
    <w:p w14:paraId="2F318187" w14:textId="203903E2" w:rsidR="00295EE2" w:rsidRDefault="00295EE2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przemysłowa</w:t>
      </w:r>
    </w:p>
    <w:p w14:paraId="0A39D1A4" w14:textId="797096B5" w:rsidR="00295EE2" w:rsidRDefault="00B11A51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jednorazowa</w:t>
      </w:r>
    </w:p>
    <w:p w14:paraId="50FE00AE" w14:textId="499C6E03" w:rsidR="00B11A51" w:rsidRDefault="00B11A51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Półpaleta</w:t>
      </w:r>
    </w:p>
    <w:p w14:paraId="0F3E7826" w14:textId="4AD7B454" w:rsidR="00B11A51" w:rsidRDefault="00B11A51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Skrzyniopaleta</w:t>
      </w:r>
    </w:p>
    <w:p w14:paraId="5A5CC222" w14:textId="6FFB274F" w:rsidR="00B11A51" w:rsidRDefault="00106E6D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Pojemnik typu minigel (pojemnik transportowy</w:t>
      </w:r>
      <w:r w:rsidR="00A55B1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 tworzywa sztucznego, na kółkach, przeznaczony do transportu artykułów wymagających </w:t>
      </w:r>
      <w:r w:rsidR="00E5752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temperatury innej niż +5 C, np. art. </w:t>
      </w:r>
      <w:r w:rsidR="00C127FD">
        <w:rPr>
          <w:rFonts w:ascii="Century Gothic" w:eastAsia="Times New Roman" w:hAnsi="Century Gothic" w:cs="Times New Roman"/>
          <w:sz w:val="20"/>
          <w:szCs w:val="20"/>
          <w:lang w:eastAsia="ar-SA"/>
        </w:rPr>
        <w:t>głębokiego mrożenia)</w:t>
      </w:r>
    </w:p>
    <w:p w14:paraId="13381534" w14:textId="151E65F8" w:rsidR="00C127FD" w:rsidRDefault="00C127FD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Pojemnik typu gel TKT (pojemnik </w:t>
      </w:r>
      <w:r w:rsidR="007603B2">
        <w:rPr>
          <w:rFonts w:ascii="Century Gothic" w:eastAsia="Times New Roman" w:hAnsi="Century Gothic" w:cs="Times New Roman"/>
          <w:sz w:val="20"/>
          <w:szCs w:val="20"/>
          <w:lang w:eastAsia="ar-SA"/>
        </w:rPr>
        <w:t>transportowy z tworzywa sztucznego, na kółkach,</w:t>
      </w:r>
      <w:r w:rsidR="006B11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przeznaczony do transportu art</w:t>
      </w:r>
      <w:r w:rsidR="00797E8B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 w:rsidR="006B1130">
        <w:rPr>
          <w:rFonts w:ascii="Century Gothic" w:eastAsia="Times New Roman" w:hAnsi="Century Gothic" w:cs="Times New Roman"/>
          <w:sz w:val="20"/>
          <w:szCs w:val="20"/>
          <w:lang w:eastAsia="ar-SA"/>
        </w:rPr>
        <w:t>kułów wymagających temperatury</w:t>
      </w:r>
      <w:r w:rsidR="00797E8B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innej niż +5 C, np. art. głębokiego mrożenia)</w:t>
      </w:r>
    </w:p>
    <w:p w14:paraId="002C6988" w14:textId="0C75A5BC" w:rsidR="008D012D" w:rsidRDefault="008D012D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Wózek combi (pojemnik transportowy, na kółkach, z ażurowymi </w:t>
      </w:r>
      <w:r w:rsidR="003805E8">
        <w:rPr>
          <w:rFonts w:ascii="Century Gothic" w:eastAsia="Times New Roman" w:hAnsi="Century Gothic" w:cs="Times New Roman"/>
          <w:sz w:val="20"/>
          <w:szCs w:val="20"/>
          <w:lang w:eastAsia="ar-SA"/>
        </w:rPr>
        <w:t>ściankami bocznymi, może być wyposażony w półkę)</w:t>
      </w:r>
    </w:p>
    <w:p w14:paraId="4A583610" w14:textId="0B82E365" w:rsidR="003805E8" w:rsidRDefault="003805E8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Wózek holenderski (kwiatowy)</w:t>
      </w:r>
    </w:p>
    <w:p w14:paraId="21AAB5A0" w14:textId="65F5D73E" w:rsidR="003805E8" w:rsidRPr="00A201C8" w:rsidRDefault="00042554" w:rsidP="003D3C58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</w:t>
      </w:r>
      <w:r w:rsidR="003805E8">
        <w:rPr>
          <w:rFonts w:ascii="Century Gothic" w:eastAsia="Times New Roman" w:hAnsi="Century Gothic" w:cs="Times New Roman"/>
          <w:sz w:val="20"/>
          <w:szCs w:val="20"/>
          <w:lang w:eastAsia="ar-SA"/>
        </w:rPr>
        <w:t>kazjonal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nie inne</w:t>
      </w:r>
    </w:p>
    <w:p w14:paraId="34B9E7E1" w14:textId="087A0FDC" w:rsidR="00042554" w:rsidRDefault="00042554" w:rsidP="00042554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Załadun</w:t>
      </w:r>
      <w:r w:rsidR="001866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ek prowadzą pracownicy Zamawiającego </w:t>
      </w:r>
      <w:r w:rsidR="00797B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usługę w obecności kierowcy. Kierowca zabezpiecza ładunek przed przemieszczaniem </w:t>
      </w:r>
      <w:r w:rsidR="00341DDB">
        <w:rPr>
          <w:rFonts w:ascii="Century Gothic" w:eastAsia="Times New Roman" w:hAnsi="Century Gothic" w:cs="Times New Roman"/>
          <w:sz w:val="20"/>
          <w:szCs w:val="20"/>
          <w:lang w:eastAsia="pl-PL"/>
        </w:rPr>
        <w:t>się w przestrzeni ładunkowej</w:t>
      </w:r>
      <w:r w:rsidR="001E6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podczas jazdy (trymowanie ładunku)</w:t>
      </w:r>
    </w:p>
    <w:p w14:paraId="38E3F662" w14:textId="77777777" w:rsidR="001E6F1F" w:rsidRPr="00042554" w:rsidRDefault="001E6F1F" w:rsidP="00042554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A310631" w14:textId="2C70F9A5" w:rsidR="00A976AC" w:rsidRDefault="006371B1" w:rsidP="002649CE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Sposób przedstawienia oferty</w:t>
      </w:r>
      <w:r w:rsidR="00695D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ofertę proszę przedstawić </w:t>
      </w:r>
      <w:r w:rsidR="00BD0D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następującej formie: stawka kilometrowa (bez kosztów </w:t>
      </w:r>
      <w:r w:rsidR="00753D31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BD0DC4">
        <w:rPr>
          <w:rFonts w:ascii="Century Gothic" w:eastAsia="Times New Roman" w:hAnsi="Century Gothic" w:cs="Times New Roman"/>
          <w:sz w:val="20"/>
          <w:szCs w:val="20"/>
          <w:lang w:eastAsia="pl-PL"/>
        </w:rPr>
        <w:t>toll i autostrad)</w:t>
      </w:r>
      <w:r w:rsidR="0086305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uzależniona od średniego miesięcznego przebiegu jednego zestawu w oparciu o </w:t>
      </w:r>
      <w:r w:rsidR="00A976AC">
        <w:rPr>
          <w:rFonts w:ascii="Century Gothic" w:eastAsia="Times New Roman" w:hAnsi="Century Gothic" w:cs="Times New Roman"/>
          <w:sz w:val="20"/>
          <w:szCs w:val="20"/>
          <w:lang w:eastAsia="pl-PL"/>
        </w:rPr>
        <w:t>kwotę netto za kilometr przebiegu w przedziałach</w:t>
      </w:r>
    </w:p>
    <w:p w14:paraId="03CE7BB7" w14:textId="77777777" w:rsidR="00EB2BF5" w:rsidRDefault="00EB2BF5" w:rsidP="00FA2613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Stawka pln / km- przebieg do 7 999 km</w:t>
      </w:r>
    </w:p>
    <w:p w14:paraId="67EC527A" w14:textId="77777777" w:rsidR="006B1C24" w:rsidRDefault="00EB2BF5" w:rsidP="00FA2613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Stawka pln / km</w:t>
      </w:r>
      <w:r w:rsidR="006B1C24">
        <w:rPr>
          <w:rFonts w:ascii="Century Gothic" w:eastAsia="Times New Roman" w:hAnsi="Century Gothic" w:cs="Times New Roman"/>
          <w:sz w:val="20"/>
          <w:szCs w:val="20"/>
          <w:lang w:eastAsia="pl-PL"/>
        </w:rPr>
        <w:t>- przebieg od 8 000 km do 9 999 km</w:t>
      </w:r>
    </w:p>
    <w:p w14:paraId="6668E5E6" w14:textId="00A29B9D" w:rsidR="00EE2551" w:rsidRPr="001B383D" w:rsidRDefault="006B1C24" w:rsidP="001B383D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Stawka pln / km- przebieg 10 000 km i więcej</w:t>
      </w:r>
    </w:p>
    <w:p w14:paraId="5E3B042C" w14:textId="16E0D215" w:rsidR="00B218AC" w:rsidRPr="000C1601" w:rsidRDefault="00E52989" w:rsidP="00B12361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Rozliczenia przejechanych kilometrów będą się odbywały wg. najkrótszej trasy </w:t>
      </w:r>
      <w:r w:rsidR="00827AB6">
        <w:rPr>
          <w:rFonts w:ascii="Century Gothic" w:eastAsia="Times New Roman" w:hAnsi="Century Gothic" w:cs="Times New Roman"/>
          <w:sz w:val="20"/>
          <w:szCs w:val="20"/>
          <w:lang w:eastAsia="pl-PL"/>
        </w:rPr>
        <w:t>dla pojazdu ciężarowego wskazanej przez program komputerowy EMapa Web Router</w:t>
      </w:r>
      <w:r w:rsidR="00F647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(producent: EMapa Sp. z o.o.) Do post</w:t>
      </w:r>
      <w:r w:rsidR="008B158A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F647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powania </w:t>
      </w:r>
      <w:r w:rsidR="00E4771E">
        <w:rPr>
          <w:rFonts w:ascii="Century Gothic" w:eastAsia="Times New Roman" w:hAnsi="Century Gothic" w:cs="Times New Roman"/>
          <w:sz w:val="20"/>
          <w:szCs w:val="20"/>
          <w:lang w:eastAsia="pl-PL"/>
        </w:rPr>
        <w:t>ofertowego przyjmuje się średnią cenę paliwa ON za miesiąc kwiecień 2022 ze strony PKN Orlen. Wskaź</w:t>
      </w:r>
      <w:r w:rsidR="00187C5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nik paliwa w kosztach transportu wynosi 0,4. </w:t>
      </w:r>
      <w:r w:rsidR="00FE14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Kontrakt będzie zawierał tzw. klauzulę paliwową (ustalony </w:t>
      </w:r>
      <w:r w:rsidR="00296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udział procentowy kosztów paliwa w stawce kilometrowej, cena bazowa paliwa </w:t>
      </w:r>
      <w:r w:rsidR="00530217">
        <w:rPr>
          <w:rFonts w:ascii="Century Gothic" w:eastAsia="Times New Roman" w:hAnsi="Century Gothic" w:cs="Times New Roman"/>
          <w:sz w:val="20"/>
          <w:szCs w:val="20"/>
          <w:lang w:eastAsia="pl-PL"/>
        </w:rPr>
        <w:t>ustalona na dzień podpisania umowy na podstawie danych PKN Orlen</w:t>
      </w:r>
      <w:r w:rsidR="002D076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dla paliwa Ekodiesel) Koszty opłat drogowych </w:t>
      </w:r>
      <w:r w:rsidR="00753D31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2D076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toll poniesionych </w:t>
      </w:r>
      <w:r w:rsidR="00FD0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 przejeździe zleconych tras (wg. stawek </w:t>
      </w:r>
      <w:r w:rsidR="007915D1">
        <w:rPr>
          <w:rFonts w:ascii="Century Gothic" w:eastAsia="Times New Roman" w:hAnsi="Century Gothic" w:cs="Times New Roman"/>
          <w:sz w:val="20"/>
          <w:szCs w:val="20"/>
          <w:lang w:eastAsia="pl-PL"/>
        </w:rPr>
        <w:t>dla odpowiedniej kategorii pojazdu, jednak nie wyższych niż stawka dla normy emisji spalin EURO 5</w:t>
      </w:r>
      <w:r w:rsidR="00BA3D42">
        <w:rPr>
          <w:rFonts w:ascii="Century Gothic" w:eastAsia="Times New Roman" w:hAnsi="Century Gothic" w:cs="Times New Roman"/>
          <w:sz w:val="20"/>
          <w:szCs w:val="20"/>
          <w:lang w:eastAsia="pl-PL"/>
        </w:rPr>
        <w:t>) będą zrekompensowane wykonawcy usługi przez ITM Baza Poznańska</w:t>
      </w:r>
      <w:r w:rsidR="00876E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Koszty przejazdów autostradami będą zwrócone wykonawcy usługi </w:t>
      </w:r>
      <w:r w:rsidR="00417288">
        <w:rPr>
          <w:rFonts w:ascii="Century Gothic" w:eastAsia="Times New Roman" w:hAnsi="Century Gothic" w:cs="Times New Roman"/>
          <w:sz w:val="20"/>
          <w:szCs w:val="20"/>
          <w:lang w:eastAsia="pl-PL"/>
        </w:rPr>
        <w:t>przez ITM Baza Poznańska na podstawie dostarczonych kopii dowodów opłat</w:t>
      </w:r>
      <w:r w:rsidR="00B123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14:paraId="6B56BB4D" w14:textId="77777777" w:rsidR="00523FE1" w:rsidRPr="00D66926" w:rsidRDefault="00523FE1" w:rsidP="00523FE1">
      <w:pPr>
        <w:keepNext/>
        <w:numPr>
          <w:ilvl w:val="0"/>
          <w:numId w:val="38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8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Kryteria oceny ofert</w:t>
      </w:r>
      <w:bookmarkEnd w:id="8"/>
    </w:p>
    <w:p w14:paraId="795C714E" w14:textId="325A31D6" w:rsidR="00523FE1" w:rsidRPr="00DF7521" w:rsidRDefault="00AA7CD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</w:t>
      </w:r>
      <w:r w:rsidR="00523FE1" w:rsidRPr="00DF7521">
        <w:rPr>
          <w:rFonts w:ascii="Century Gothic" w:hAnsi="Century Gothic" w:cstheme="minorHAnsi"/>
          <w:sz w:val="20"/>
          <w:szCs w:val="20"/>
        </w:rPr>
        <w:t>ena</w:t>
      </w:r>
      <w:r w:rsidR="00FB0D70">
        <w:rPr>
          <w:rFonts w:ascii="Century Gothic" w:hAnsi="Century Gothic" w:cstheme="minorHAnsi"/>
          <w:sz w:val="20"/>
          <w:szCs w:val="20"/>
        </w:rPr>
        <w:t xml:space="preserve"> ( </w:t>
      </w:r>
      <w:r>
        <w:rPr>
          <w:rFonts w:ascii="Century Gothic" w:hAnsi="Century Gothic" w:cstheme="minorHAnsi"/>
          <w:sz w:val="20"/>
          <w:szCs w:val="20"/>
        </w:rPr>
        <w:t>stawka za km )</w:t>
      </w:r>
    </w:p>
    <w:p w14:paraId="6A73B2BF" w14:textId="62468110" w:rsidR="00523FE1" w:rsidRPr="004C5EE0" w:rsidRDefault="00AA7CD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realna możliwość zwiększenia taboru</w:t>
      </w:r>
      <w:r w:rsidR="001B4EC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okresie największego natężenia dostaw (np. przed Wielkanocą, Bożym Narodzeniem etc. )</w:t>
      </w:r>
    </w:p>
    <w:p w14:paraId="66F9BB73" w14:textId="1C915F40" w:rsidR="004C5EE0" w:rsidRPr="00AF56BD" w:rsidRDefault="004C5EE0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AF56B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jakość taboru</w:t>
      </w:r>
    </w:p>
    <w:p w14:paraId="739D3B80" w14:textId="65B06BD1" w:rsidR="00523FE1" w:rsidRDefault="004C5EE0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termin płatności</w:t>
      </w:r>
    </w:p>
    <w:p w14:paraId="753F3ADB" w14:textId="18481C80" w:rsidR="0027722E" w:rsidRDefault="0027722E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możliwość umieszczenia logo </w:t>
      </w:r>
      <w:r w:rsidR="00874A55">
        <w:rPr>
          <w:rFonts w:ascii="Century Gothic" w:hAnsi="Century Gothic" w:cstheme="minorHAnsi"/>
          <w:sz w:val="20"/>
          <w:szCs w:val="20"/>
        </w:rPr>
        <w:t xml:space="preserve">sklepów Intermarche na naczepach </w:t>
      </w:r>
      <w:r w:rsidR="00457FEA">
        <w:rPr>
          <w:rFonts w:ascii="Century Gothic" w:hAnsi="Century Gothic" w:cstheme="minorHAnsi"/>
          <w:sz w:val="20"/>
          <w:szCs w:val="20"/>
        </w:rPr>
        <w:t>Oferenta</w:t>
      </w:r>
    </w:p>
    <w:p w14:paraId="637C95B9" w14:textId="0A09E6A2" w:rsidR="00457FEA" w:rsidRDefault="00457FEA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doświadczenie</w:t>
      </w:r>
      <w:r w:rsidR="00825772">
        <w:rPr>
          <w:rFonts w:ascii="Century Gothic" w:hAnsi="Century Gothic" w:cstheme="minorHAnsi"/>
          <w:sz w:val="20"/>
          <w:szCs w:val="20"/>
        </w:rPr>
        <w:t xml:space="preserve"> (preferowane firmy z min. 10-letnim doświadczeniem)</w:t>
      </w:r>
    </w:p>
    <w:p w14:paraId="4228EE4E" w14:textId="4D8268DF" w:rsidR="00825772" w:rsidRPr="00AF56BD" w:rsidRDefault="00825772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AF56BD">
        <w:rPr>
          <w:rFonts w:ascii="Century Gothic" w:hAnsi="Century Gothic" w:cstheme="minorHAnsi"/>
          <w:sz w:val="20"/>
          <w:szCs w:val="20"/>
        </w:rPr>
        <w:t xml:space="preserve">lista </w:t>
      </w:r>
      <w:r w:rsidR="00E63C9F" w:rsidRPr="00AF56BD">
        <w:rPr>
          <w:rFonts w:ascii="Century Gothic" w:hAnsi="Century Gothic" w:cstheme="minorHAnsi"/>
          <w:sz w:val="20"/>
          <w:szCs w:val="20"/>
        </w:rPr>
        <w:t xml:space="preserve">największych 3 firm, dla których Oferent wykonywał </w:t>
      </w:r>
      <w:r w:rsidR="00C02DDC" w:rsidRPr="00AF56BD">
        <w:rPr>
          <w:rFonts w:ascii="Century Gothic" w:hAnsi="Century Gothic" w:cstheme="minorHAnsi"/>
          <w:sz w:val="20"/>
          <w:szCs w:val="20"/>
        </w:rPr>
        <w:t>usługę tran</w:t>
      </w:r>
      <w:r w:rsidR="00D310FC" w:rsidRPr="00AF56BD">
        <w:rPr>
          <w:rFonts w:ascii="Century Gothic" w:hAnsi="Century Gothic" w:cstheme="minorHAnsi"/>
          <w:sz w:val="20"/>
          <w:szCs w:val="20"/>
        </w:rPr>
        <w:t>s</w:t>
      </w:r>
      <w:r w:rsidR="00C02DDC" w:rsidRPr="00AF56BD">
        <w:rPr>
          <w:rFonts w:ascii="Century Gothic" w:hAnsi="Century Gothic" w:cstheme="minorHAnsi"/>
          <w:sz w:val="20"/>
          <w:szCs w:val="20"/>
        </w:rPr>
        <w:t>portu</w:t>
      </w:r>
    </w:p>
    <w:p w14:paraId="0BBCB620" w14:textId="6710B90A" w:rsidR="00C02DDC" w:rsidRPr="00DF7521" w:rsidRDefault="00C02DDC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udostępnienie na żądanie</w:t>
      </w:r>
      <w:r w:rsidR="00D310FC">
        <w:rPr>
          <w:rFonts w:ascii="Century Gothic" w:hAnsi="Century Gothic" w:cstheme="minorHAnsi"/>
          <w:sz w:val="20"/>
          <w:szCs w:val="20"/>
        </w:rPr>
        <w:t xml:space="preserve"> danych z urządzenia GPS drogą elektroniczną lokalizacji </w:t>
      </w:r>
      <w:r w:rsidR="00691499">
        <w:rPr>
          <w:rFonts w:ascii="Century Gothic" w:hAnsi="Century Gothic" w:cstheme="minorHAnsi"/>
          <w:sz w:val="20"/>
          <w:szCs w:val="20"/>
        </w:rPr>
        <w:t xml:space="preserve">pojazdu w trakcie realizacji zlecenia (dostęp </w:t>
      </w:r>
      <w:r w:rsidR="00357830">
        <w:rPr>
          <w:rFonts w:ascii="Century Gothic" w:hAnsi="Century Gothic" w:cstheme="minorHAnsi"/>
          <w:sz w:val="20"/>
          <w:szCs w:val="20"/>
        </w:rPr>
        <w:t>korzystania z lokalizacji na podstawie GPS)</w:t>
      </w:r>
    </w:p>
    <w:p w14:paraId="19286AF6" w14:textId="77777777" w:rsidR="008B2351" w:rsidRDefault="008B2351" w:rsidP="008A5460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BD3EB1">
      <w:pPr>
        <w:pStyle w:val="Akapitzlist"/>
        <w:keepLines/>
        <w:widowControl w:val="0"/>
        <w:numPr>
          <w:ilvl w:val="0"/>
          <w:numId w:val="41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3"/>
      <w:bookmarkStart w:id="10" w:name="_Toc333927003"/>
      <w:bookmarkStart w:id="11" w:name="_Toc347126326"/>
      <w:bookmarkStart w:id="12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9"/>
      <w:bookmarkEnd w:id="10"/>
      <w:bookmarkEnd w:id="11"/>
      <w:bookmarkEnd w:id="12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B70C45">
        <w:trPr>
          <w:trHeight w:val="4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5478C977" w:rsidR="00CF22B7" w:rsidRPr="00A8724E" w:rsidRDefault="002D591B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2C4B9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godz. 1</w:t>
            </w:r>
            <w:r w:rsidR="002C4B9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:00</w:t>
            </w:r>
          </w:p>
        </w:tc>
      </w:tr>
      <w:tr w:rsidR="00CF22B7" w:rsidRPr="00CF22B7" w14:paraId="70A945E6" w14:textId="77777777" w:rsidTr="00B70C45">
        <w:trPr>
          <w:trHeight w:val="56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784A7524" w:rsidR="00CF22B7" w:rsidRPr="00A8724E" w:rsidRDefault="002D591B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2C4B9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3D37332" w14:textId="77777777" w:rsidTr="00B70C45">
        <w:trPr>
          <w:trHeight w:val="5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600E7BC0" w:rsidR="00CF22B7" w:rsidRPr="00A8724E" w:rsidRDefault="002D591B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2C4B9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76969D6" w14:textId="77777777" w:rsidTr="00B70C45">
        <w:trPr>
          <w:trHeight w:val="417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33D72712" w:rsidR="00CF22B7" w:rsidRPr="00A8724E" w:rsidRDefault="00AE762D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E113D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E113D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6B197264" w14:textId="0E7AB3E3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333439292"/>
      <w:bookmarkStart w:id="14" w:name="_Toc333927002"/>
      <w:bookmarkStart w:id="15" w:name="_Toc347126325"/>
      <w:bookmarkStart w:id="16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Miejsce składania ofert</w:t>
      </w:r>
      <w:bookmarkEnd w:id="13"/>
      <w:bookmarkEnd w:id="14"/>
      <w:bookmarkEnd w:id="15"/>
      <w:bookmarkEnd w:id="16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Oferent jest zobowiązany do przekazania oferty w wersji elektronicznej za pośrednictwem Platformy Zakupowej Open Nexus</w:t>
      </w:r>
    </w:p>
    <w:p w14:paraId="54AA96C3" w14:textId="206E71A7" w:rsidR="00706426" w:rsidRPr="00706426" w:rsidRDefault="00706426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Akapitzlist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Nexus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Nexus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7FD8CCAB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„ITM </w:t>
      </w:r>
      <w:r w:rsidR="00EB3575">
        <w:rPr>
          <w:rFonts w:ascii="Century Gothic" w:eastAsia="Times New Roman" w:hAnsi="Century Gothic" w:cs="Times New Roman"/>
          <w:sz w:val="20"/>
          <w:szCs w:val="20"/>
          <w:lang w:eastAsia="pl-PL"/>
        </w:rPr>
        <w:t>Baza Poznańska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14:paraId="56788B3A" w14:textId="77777777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7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7"/>
    </w:p>
    <w:p w14:paraId="13406D74" w14:textId="5A21162F" w:rsidR="00E37794" w:rsidRDefault="00FC4EBE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Zestawienie taboru</w:t>
      </w:r>
      <w:r w:rsidR="009E5BC6">
        <w:rPr>
          <w:rFonts w:ascii="Century Gothic" w:hAnsi="Century Gothic" w:cstheme="minorHAnsi"/>
          <w:sz w:val="20"/>
          <w:szCs w:val="20"/>
        </w:rPr>
        <w:t xml:space="preserve"> do realizacji usługi</w:t>
      </w:r>
    </w:p>
    <w:p w14:paraId="08372B70" w14:textId="3A0FB847" w:rsidR="00FD00E7" w:rsidRDefault="00996E9C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 xml:space="preserve">nr 2 </w:t>
      </w:r>
      <w:r w:rsidR="003B4690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3B4690">
        <w:rPr>
          <w:rFonts w:ascii="Century Gothic" w:hAnsi="Century Gothic" w:cstheme="minorHAnsi"/>
          <w:sz w:val="20"/>
          <w:szCs w:val="20"/>
        </w:rPr>
        <w:t>Kwestionariusz dostawcy</w:t>
      </w:r>
    </w:p>
    <w:p w14:paraId="719E7EB4" w14:textId="2A59480B" w:rsidR="00B52C10" w:rsidRDefault="00743D94" w:rsidP="008E3F99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nr 3 </w:t>
      </w:r>
      <w:r w:rsidR="009E5BC6">
        <w:rPr>
          <w:rFonts w:ascii="Century Gothic" w:hAnsi="Century Gothic" w:cstheme="minorHAnsi"/>
          <w:sz w:val="20"/>
          <w:szCs w:val="20"/>
        </w:rPr>
        <w:t>–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9E5BC6">
        <w:rPr>
          <w:rFonts w:ascii="Century Gothic" w:hAnsi="Century Gothic" w:cstheme="minorHAnsi"/>
          <w:sz w:val="20"/>
          <w:szCs w:val="20"/>
        </w:rPr>
        <w:t>Sklepy, dostawy IM Mysłowice</w:t>
      </w:r>
    </w:p>
    <w:p w14:paraId="73D544BA" w14:textId="49968A3A" w:rsidR="009E5BC6" w:rsidRPr="004407B3" w:rsidRDefault="009E5BC6" w:rsidP="008E3F99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</w:t>
      </w:r>
      <w:r w:rsidR="00C30423">
        <w:rPr>
          <w:rFonts w:ascii="Century Gothic" w:hAnsi="Century Gothic" w:cstheme="minorHAnsi"/>
          <w:sz w:val="20"/>
          <w:szCs w:val="20"/>
        </w:rPr>
        <w:t>nr 4 – Sklepy, odległości IM Mysłowice</w:t>
      </w:r>
    </w:p>
    <w:sectPr w:rsidR="009E5BC6" w:rsidRPr="004407B3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8AE3" w14:textId="77777777" w:rsidR="00440DEB" w:rsidRDefault="00440DEB" w:rsidP="002728CB">
      <w:pPr>
        <w:spacing w:after="0" w:line="240" w:lineRule="auto"/>
      </w:pPr>
      <w:r>
        <w:separator/>
      </w:r>
    </w:p>
  </w:endnote>
  <w:endnote w:type="continuationSeparator" w:id="0">
    <w:p w14:paraId="12357AC5" w14:textId="77777777" w:rsidR="00440DEB" w:rsidRDefault="00440DEB" w:rsidP="002728CB">
      <w:pPr>
        <w:spacing w:after="0" w:line="240" w:lineRule="auto"/>
      </w:pPr>
      <w:r>
        <w:continuationSeparator/>
      </w:r>
    </w:p>
  </w:endnote>
  <w:endnote w:type="continuationNotice" w:id="1">
    <w:p w14:paraId="0AC77839" w14:textId="77777777" w:rsidR="00440DEB" w:rsidRDefault="00440D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0D09" w14:textId="77777777" w:rsidR="00440DEB" w:rsidRDefault="00440DEB" w:rsidP="002728CB">
      <w:pPr>
        <w:spacing w:after="0" w:line="240" w:lineRule="auto"/>
      </w:pPr>
      <w:r>
        <w:separator/>
      </w:r>
    </w:p>
  </w:footnote>
  <w:footnote w:type="continuationSeparator" w:id="0">
    <w:p w14:paraId="51B7C4E7" w14:textId="77777777" w:rsidR="00440DEB" w:rsidRDefault="00440DEB" w:rsidP="002728CB">
      <w:pPr>
        <w:spacing w:after="0" w:line="240" w:lineRule="auto"/>
      </w:pPr>
      <w:r>
        <w:continuationSeparator/>
      </w:r>
    </w:p>
  </w:footnote>
  <w:footnote w:type="continuationNotice" w:id="1">
    <w:p w14:paraId="1A146BDF" w14:textId="77777777" w:rsidR="00440DEB" w:rsidRDefault="00440D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8"/>
    <w:multiLevelType w:val="hybridMultilevel"/>
    <w:tmpl w:val="09C88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0252"/>
    <w:multiLevelType w:val="hybridMultilevel"/>
    <w:tmpl w:val="7408B8D6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55D05"/>
    <w:multiLevelType w:val="hybridMultilevel"/>
    <w:tmpl w:val="A6F0D290"/>
    <w:lvl w:ilvl="0" w:tplc="CE0EAA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FB9"/>
    <w:multiLevelType w:val="hybridMultilevel"/>
    <w:tmpl w:val="C7CE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9DA"/>
    <w:multiLevelType w:val="hybridMultilevel"/>
    <w:tmpl w:val="58C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EC53BA"/>
    <w:multiLevelType w:val="hybridMultilevel"/>
    <w:tmpl w:val="B93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630"/>
    <w:multiLevelType w:val="hybridMultilevel"/>
    <w:tmpl w:val="8FAAD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A02FB"/>
    <w:multiLevelType w:val="hybridMultilevel"/>
    <w:tmpl w:val="FB800A80"/>
    <w:lvl w:ilvl="0" w:tplc="86F633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ED9"/>
    <w:multiLevelType w:val="hybridMultilevel"/>
    <w:tmpl w:val="F722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4BA"/>
    <w:multiLevelType w:val="hybridMultilevel"/>
    <w:tmpl w:val="58C6F77C"/>
    <w:lvl w:ilvl="0" w:tplc="81482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87B"/>
    <w:multiLevelType w:val="hybridMultilevel"/>
    <w:tmpl w:val="F59AB0E8"/>
    <w:lvl w:ilvl="0" w:tplc="FD3C6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4CE8"/>
    <w:multiLevelType w:val="hybridMultilevel"/>
    <w:tmpl w:val="4A62E278"/>
    <w:lvl w:ilvl="0" w:tplc="66F082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C6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5B7A"/>
    <w:multiLevelType w:val="hybridMultilevel"/>
    <w:tmpl w:val="577A4600"/>
    <w:lvl w:ilvl="0" w:tplc="5C7E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5DE"/>
    <w:multiLevelType w:val="hybridMultilevel"/>
    <w:tmpl w:val="328ED03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016403"/>
    <w:multiLevelType w:val="hybridMultilevel"/>
    <w:tmpl w:val="0E5EAB32"/>
    <w:lvl w:ilvl="0" w:tplc="414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0B"/>
    <w:multiLevelType w:val="multilevel"/>
    <w:tmpl w:val="7FD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4C2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03D"/>
    <w:multiLevelType w:val="hybridMultilevel"/>
    <w:tmpl w:val="B2EC7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41EE6"/>
    <w:multiLevelType w:val="hybridMultilevel"/>
    <w:tmpl w:val="DBF0228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97008EA"/>
    <w:multiLevelType w:val="hybridMultilevel"/>
    <w:tmpl w:val="658C0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66230"/>
    <w:multiLevelType w:val="hybridMultilevel"/>
    <w:tmpl w:val="7E2001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894"/>
    <w:multiLevelType w:val="hybridMultilevel"/>
    <w:tmpl w:val="D9308E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C66E8B"/>
    <w:multiLevelType w:val="hybridMultilevel"/>
    <w:tmpl w:val="260E2CB8"/>
    <w:lvl w:ilvl="0" w:tplc="0415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E3C0ABD"/>
    <w:multiLevelType w:val="hybridMultilevel"/>
    <w:tmpl w:val="5EF40F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FFA662B"/>
    <w:multiLevelType w:val="multilevel"/>
    <w:tmpl w:val="A750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797D"/>
    <w:multiLevelType w:val="hybridMultilevel"/>
    <w:tmpl w:val="21CA84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522A92"/>
    <w:multiLevelType w:val="hybridMultilevel"/>
    <w:tmpl w:val="D0D2A1D0"/>
    <w:lvl w:ilvl="0" w:tplc="2BE20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A60"/>
    <w:multiLevelType w:val="hybridMultilevel"/>
    <w:tmpl w:val="B9FEE7CA"/>
    <w:lvl w:ilvl="0" w:tplc="B35EC5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AC604BE"/>
    <w:multiLevelType w:val="multilevel"/>
    <w:tmpl w:val="94B42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492DA6"/>
    <w:multiLevelType w:val="hybridMultilevel"/>
    <w:tmpl w:val="3D566452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587C"/>
    <w:multiLevelType w:val="hybridMultilevel"/>
    <w:tmpl w:val="A628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411C9E"/>
    <w:multiLevelType w:val="hybridMultilevel"/>
    <w:tmpl w:val="32182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DE7"/>
    <w:multiLevelType w:val="hybridMultilevel"/>
    <w:tmpl w:val="C64E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18"/>
  </w:num>
  <w:num w:numId="7">
    <w:abstractNumId w:val="2"/>
  </w:num>
  <w:num w:numId="8">
    <w:abstractNumId w:val="19"/>
  </w:num>
  <w:num w:numId="9">
    <w:abstractNumId w:val="43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24"/>
  </w:num>
  <w:num w:numId="16">
    <w:abstractNumId w:val="4"/>
  </w:num>
  <w:num w:numId="17">
    <w:abstractNumId w:val="37"/>
  </w:num>
  <w:num w:numId="18">
    <w:abstractNumId w:val="31"/>
  </w:num>
  <w:num w:numId="19">
    <w:abstractNumId w:val="29"/>
  </w:num>
  <w:num w:numId="20">
    <w:abstractNumId w:val="33"/>
  </w:num>
  <w:num w:numId="21">
    <w:abstractNumId w:val="39"/>
  </w:num>
  <w:num w:numId="22">
    <w:abstractNumId w:val="40"/>
  </w:num>
  <w:num w:numId="23">
    <w:abstractNumId w:val="20"/>
  </w:num>
  <w:num w:numId="24">
    <w:abstractNumId w:val="44"/>
  </w:num>
  <w:num w:numId="25">
    <w:abstractNumId w:val="21"/>
  </w:num>
  <w:num w:numId="26">
    <w:abstractNumId w:val="23"/>
  </w:num>
  <w:num w:numId="27">
    <w:abstractNumId w:val="46"/>
  </w:num>
  <w:num w:numId="28">
    <w:abstractNumId w:val="5"/>
  </w:num>
  <w:num w:numId="29">
    <w:abstractNumId w:val="10"/>
  </w:num>
  <w:num w:numId="30">
    <w:abstractNumId w:val="0"/>
  </w:num>
  <w:num w:numId="31">
    <w:abstractNumId w:val="16"/>
  </w:num>
  <w:num w:numId="32">
    <w:abstractNumId w:val="15"/>
  </w:num>
  <w:num w:numId="33">
    <w:abstractNumId w:val="38"/>
  </w:num>
  <w:num w:numId="34">
    <w:abstractNumId w:val="3"/>
  </w:num>
  <w:num w:numId="35">
    <w:abstractNumId w:val="35"/>
  </w:num>
  <w:num w:numId="36">
    <w:abstractNumId w:val="6"/>
  </w:num>
  <w:num w:numId="37">
    <w:abstractNumId w:val="36"/>
  </w:num>
  <w:num w:numId="38">
    <w:abstractNumId w:val="42"/>
  </w:num>
  <w:num w:numId="39">
    <w:abstractNumId w:val="22"/>
  </w:num>
  <w:num w:numId="40">
    <w:abstractNumId w:val="1"/>
  </w:num>
  <w:num w:numId="41">
    <w:abstractNumId w:val="41"/>
  </w:num>
  <w:num w:numId="42">
    <w:abstractNumId w:val="26"/>
  </w:num>
  <w:num w:numId="43">
    <w:abstractNumId w:val="12"/>
  </w:num>
  <w:num w:numId="44">
    <w:abstractNumId w:val="7"/>
  </w:num>
  <w:num w:numId="45">
    <w:abstractNumId w:val="45"/>
  </w:num>
  <w:num w:numId="46">
    <w:abstractNumId w:val="8"/>
  </w:num>
  <w:num w:numId="4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11EAD"/>
    <w:rsid w:val="0001728A"/>
    <w:rsid w:val="00022BCF"/>
    <w:rsid w:val="00025ABA"/>
    <w:rsid w:val="00027F98"/>
    <w:rsid w:val="0003484C"/>
    <w:rsid w:val="00042554"/>
    <w:rsid w:val="00043D71"/>
    <w:rsid w:val="000470B7"/>
    <w:rsid w:val="00050D29"/>
    <w:rsid w:val="0005251C"/>
    <w:rsid w:val="00054D70"/>
    <w:rsid w:val="00060DDD"/>
    <w:rsid w:val="00061D34"/>
    <w:rsid w:val="00070E39"/>
    <w:rsid w:val="00072658"/>
    <w:rsid w:val="00072FC7"/>
    <w:rsid w:val="000763FF"/>
    <w:rsid w:val="000817F7"/>
    <w:rsid w:val="00081CBC"/>
    <w:rsid w:val="00083E30"/>
    <w:rsid w:val="0008573D"/>
    <w:rsid w:val="00090D80"/>
    <w:rsid w:val="00092464"/>
    <w:rsid w:val="00092608"/>
    <w:rsid w:val="000937D6"/>
    <w:rsid w:val="00097491"/>
    <w:rsid w:val="000A3671"/>
    <w:rsid w:val="000A40B6"/>
    <w:rsid w:val="000A78C3"/>
    <w:rsid w:val="000B1F8C"/>
    <w:rsid w:val="000B7B07"/>
    <w:rsid w:val="000C1601"/>
    <w:rsid w:val="000D38C8"/>
    <w:rsid w:val="000D3D6C"/>
    <w:rsid w:val="000D5BFB"/>
    <w:rsid w:val="000D6B93"/>
    <w:rsid w:val="000D7299"/>
    <w:rsid w:val="000E01C5"/>
    <w:rsid w:val="000E1991"/>
    <w:rsid w:val="000E2C20"/>
    <w:rsid w:val="000E4871"/>
    <w:rsid w:val="000E597E"/>
    <w:rsid w:val="000F70B1"/>
    <w:rsid w:val="000F7D07"/>
    <w:rsid w:val="001038BB"/>
    <w:rsid w:val="00106E6D"/>
    <w:rsid w:val="0011284E"/>
    <w:rsid w:val="00112EA5"/>
    <w:rsid w:val="0011304C"/>
    <w:rsid w:val="00116DEA"/>
    <w:rsid w:val="0012248C"/>
    <w:rsid w:val="00123D9C"/>
    <w:rsid w:val="001270BC"/>
    <w:rsid w:val="001301E9"/>
    <w:rsid w:val="00130568"/>
    <w:rsid w:val="00135A23"/>
    <w:rsid w:val="001403D6"/>
    <w:rsid w:val="0014059B"/>
    <w:rsid w:val="00140B31"/>
    <w:rsid w:val="001423C2"/>
    <w:rsid w:val="0014299B"/>
    <w:rsid w:val="00145996"/>
    <w:rsid w:val="00151A6D"/>
    <w:rsid w:val="0015231C"/>
    <w:rsid w:val="00153CD9"/>
    <w:rsid w:val="001568FB"/>
    <w:rsid w:val="001573D7"/>
    <w:rsid w:val="00164752"/>
    <w:rsid w:val="0016515C"/>
    <w:rsid w:val="0016644F"/>
    <w:rsid w:val="00173228"/>
    <w:rsid w:val="001754D8"/>
    <w:rsid w:val="001772BD"/>
    <w:rsid w:val="00177D02"/>
    <w:rsid w:val="00177EB3"/>
    <w:rsid w:val="001811A9"/>
    <w:rsid w:val="001825FF"/>
    <w:rsid w:val="00183057"/>
    <w:rsid w:val="0018660F"/>
    <w:rsid w:val="00187C5F"/>
    <w:rsid w:val="001946F6"/>
    <w:rsid w:val="001950C3"/>
    <w:rsid w:val="001B0056"/>
    <w:rsid w:val="001B015A"/>
    <w:rsid w:val="001B0212"/>
    <w:rsid w:val="001B16C5"/>
    <w:rsid w:val="001B383D"/>
    <w:rsid w:val="001B4096"/>
    <w:rsid w:val="001B4ECC"/>
    <w:rsid w:val="001B568D"/>
    <w:rsid w:val="001B7DA3"/>
    <w:rsid w:val="001C1707"/>
    <w:rsid w:val="001C324F"/>
    <w:rsid w:val="001C772B"/>
    <w:rsid w:val="001D2715"/>
    <w:rsid w:val="001D71A7"/>
    <w:rsid w:val="001E63CC"/>
    <w:rsid w:val="001E6F1F"/>
    <w:rsid w:val="001F4F96"/>
    <w:rsid w:val="00203A6E"/>
    <w:rsid w:val="0020459A"/>
    <w:rsid w:val="00213AF7"/>
    <w:rsid w:val="00213CCB"/>
    <w:rsid w:val="00214634"/>
    <w:rsid w:val="00227F1F"/>
    <w:rsid w:val="002306F5"/>
    <w:rsid w:val="00232EB4"/>
    <w:rsid w:val="00233778"/>
    <w:rsid w:val="002355F7"/>
    <w:rsid w:val="00250DEC"/>
    <w:rsid w:val="002510F2"/>
    <w:rsid w:val="00254D94"/>
    <w:rsid w:val="0026140A"/>
    <w:rsid w:val="002635AA"/>
    <w:rsid w:val="002649CE"/>
    <w:rsid w:val="00265817"/>
    <w:rsid w:val="002719CC"/>
    <w:rsid w:val="002728CB"/>
    <w:rsid w:val="00274E79"/>
    <w:rsid w:val="00276642"/>
    <w:rsid w:val="0027722E"/>
    <w:rsid w:val="00280D85"/>
    <w:rsid w:val="00284766"/>
    <w:rsid w:val="00285A4E"/>
    <w:rsid w:val="00291189"/>
    <w:rsid w:val="00292E2E"/>
    <w:rsid w:val="00295EE2"/>
    <w:rsid w:val="0029689C"/>
    <w:rsid w:val="0029762E"/>
    <w:rsid w:val="002A1727"/>
    <w:rsid w:val="002A1BB6"/>
    <w:rsid w:val="002A2326"/>
    <w:rsid w:val="002B2636"/>
    <w:rsid w:val="002B3F32"/>
    <w:rsid w:val="002B5C72"/>
    <w:rsid w:val="002B6A4D"/>
    <w:rsid w:val="002B7EFC"/>
    <w:rsid w:val="002C094D"/>
    <w:rsid w:val="002C1557"/>
    <w:rsid w:val="002C4B9C"/>
    <w:rsid w:val="002D0765"/>
    <w:rsid w:val="002D2654"/>
    <w:rsid w:val="002D591B"/>
    <w:rsid w:val="002D65A3"/>
    <w:rsid w:val="002E19ED"/>
    <w:rsid w:val="002E7D0D"/>
    <w:rsid w:val="002F183C"/>
    <w:rsid w:val="002F2198"/>
    <w:rsid w:val="002F3ACC"/>
    <w:rsid w:val="002F40D9"/>
    <w:rsid w:val="002F5363"/>
    <w:rsid w:val="002F60BD"/>
    <w:rsid w:val="002F67CB"/>
    <w:rsid w:val="002F78FD"/>
    <w:rsid w:val="003007A4"/>
    <w:rsid w:val="00301F1C"/>
    <w:rsid w:val="0031246C"/>
    <w:rsid w:val="00312584"/>
    <w:rsid w:val="00313B82"/>
    <w:rsid w:val="00314012"/>
    <w:rsid w:val="00320C79"/>
    <w:rsid w:val="003253D8"/>
    <w:rsid w:val="00326456"/>
    <w:rsid w:val="00336F16"/>
    <w:rsid w:val="0033701E"/>
    <w:rsid w:val="00341886"/>
    <w:rsid w:val="00341DDB"/>
    <w:rsid w:val="003472DD"/>
    <w:rsid w:val="0035046A"/>
    <w:rsid w:val="00350E0C"/>
    <w:rsid w:val="00354FB7"/>
    <w:rsid w:val="003552D1"/>
    <w:rsid w:val="00355475"/>
    <w:rsid w:val="00357830"/>
    <w:rsid w:val="00361F8F"/>
    <w:rsid w:val="003709FC"/>
    <w:rsid w:val="00372195"/>
    <w:rsid w:val="00374010"/>
    <w:rsid w:val="00376BF4"/>
    <w:rsid w:val="00377758"/>
    <w:rsid w:val="003805E8"/>
    <w:rsid w:val="00395368"/>
    <w:rsid w:val="00395440"/>
    <w:rsid w:val="00396C15"/>
    <w:rsid w:val="003A5FC9"/>
    <w:rsid w:val="003A6E9B"/>
    <w:rsid w:val="003B046C"/>
    <w:rsid w:val="003B3A8F"/>
    <w:rsid w:val="003B4690"/>
    <w:rsid w:val="003B5944"/>
    <w:rsid w:val="003C2799"/>
    <w:rsid w:val="003C5084"/>
    <w:rsid w:val="003C70FC"/>
    <w:rsid w:val="003D3C58"/>
    <w:rsid w:val="003D54B5"/>
    <w:rsid w:val="003D7182"/>
    <w:rsid w:val="003E72BD"/>
    <w:rsid w:val="003F0559"/>
    <w:rsid w:val="003F20D4"/>
    <w:rsid w:val="0040071E"/>
    <w:rsid w:val="00400AA4"/>
    <w:rsid w:val="004043F7"/>
    <w:rsid w:val="00405AF5"/>
    <w:rsid w:val="00406928"/>
    <w:rsid w:val="004074ED"/>
    <w:rsid w:val="00417288"/>
    <w:rsid w:val="00423153"/>
    <w:rsid w:val="004238A4"/>
    <w:rsid w:val="00427237"/>
    <w:rsid w:val="00427DFA"/>
    <w:rsid w:val="004318F5"/>
    <w:rsid w:val="004330D4"/>
    <w:rsid w:val="004407B3"/>
    <w:rsid w:val="00440DEB"/>
    <w:rsid w:val="00440E93"/>
    <w:rsid w:val="0044421F"/>
    <w:rsid w:val="00457FEA"/>
    <w:rsid w:val="00463564"/>
    <w:rsid w:val="004715C2"/>
    <w:rsid w:val="00471CF0"/>
    <w:rsid w:val="00475B16"/>
    <w:rsid w:val="00477774"/>
    <w:rsid w:val="004813B0"/>
    <w:rsid w:val="00481765"/>
    <w:rsid w:val="004849F0"/>
    <w:rsid w:val="0048730D"/>
    <w:rsid w:val="00487BD9"/>
    <w:rsid w:val="00492D0F"/>
    <w:rsid w:val="00493BAE"/>
    <w:rsid w:val="00495B2E"/>
    <w:rsid w:val="004972E4"/>
    <w:rsid w:val="004A0CD2"/>
    <w:rsid w:val="004A3815"/>
    <w:rsid w:val="004A4F75"/>
    <w:rsid w:val="004B2749"/>
    <w:rsid w:val="004B5AA5"/>
    <w:rsid w:val="004B6174"/>
    <w:rsid w:val="004B67E9"/>
    <w:rsid w:val="004C0886"/>
    <w:rsid w:val="004C0BCD"/>
    <w:rsid w:val="004C2C84"/>
    <w:rsid w:val="004C595C"/>
    <w:rsid w:val="004C5EE0"/>
    <w:rsid w:val="004C60B9"/>
    <w:rsid w:val="004D01A6"/>
    <w:rsid w:val="004E1C13"/>
    <w:rsid w:val="004E30AF"/>
    <w:rsid w:val="004E6922"/>
    <w:rsid w:val="004F686C"/>
    <w:rsid w:val="00503ECE"/>
    <w:rsid w:val="0050447D"/>
    <w:rsid w:val="005060AE"/>
    <w:rsid w:val="00510C92"/>
    <w:rsid w:val="00510F38"/>
    <w:rsid w:val="00517294"/>
    <w:rsid w:val="00522AE7"/>
    <w:rsid w:val="00523E7C"/>
    <w:rsid w:val="00523FE1"/>
    <w:rsid w:val="00525885"/>
    <w:rsid w:val="00530217"/>
    <w:rsid w:val="00530D0D"/>
    <w:rsid w:val="005411EC"/>
    <w:rsid w:val="0054368F"/>
    <w:rsid w:val="00545A33"/>
    <w:rsid w:val="005475BF"/>
    <w:rsid w:val="00547F8D"/>
    <w:rsid w:val="00555C18"/>
    <w:rsid w:val="00561CF2"/>
    <w:rsid w:val="005622CE"/>
    <w:rsid w:val="00562F9A"/>
    <w:rsid w:val="00563614"/>
    <w:rsid w:val="00566484"/>
    <w:rsid w:val="005669DD"/>
    <w:rsid w:val="00570F39"/>
    <w:rsid w:val="00576BC8"/>
    <w:rsid w:val="00582B0F"/>
    <w:rsid w:val="00584E97"/>
    <w:rsid w:val="005858EE"/>
    <w:rsid w:val="00587A11"/>
    <w:rsid w:val="005919B7"/>
    <w:rsid w:val="00591BF7"/>
    <w:rsid w:val="0059597A"/>
    <w:rsid w:val="005A36A5"/>
    <w:rsid w:val="005A40CC"/>
    <w:rsid w:val="005C1BDA"/>
    <w:rsid w:val="005C258B"/>
    <w:rsid w:val="005C2CC8"/>
    <w:rsid w:val="005C3BD8"/>
    <w:rsid w:val="005C40DD"/>
    <w:rsid w:val="005C43F0"/>
    <w:rsid w:val="005D7F50"/>
    <w:rsid w:val="005E00CA"/>
    <w:rsid w:val="005E244B"/>
    <w:rsid w:val="005F0802"/>
    <w:rsid w:val="005F19BF"/>
    <w:rsid w:val="00600EC0"/>
    <w:rsid w:val="00605A7C"/>
    <w:rsid w:val="00605D2F"/>
    <w:rsid w:val="0061150D"/>
    <w:rsid w:val="006125F9"/>
    <w:rsid w:val="00634462"/>
    <w:rsid w:val="006371B1"/>
    <w:rsid w:val="00647D9A"/>
    <w:rsid w:val="00650AE1"/>
    <w:rsid w:val="0065127F"/>
    <w:rsid w:val="00651B33"/>
    <w:rsid w:val="0065271C"/>
    <w:rsid w:val="006534F6"/>
    <w:rsid w:val="0065681D"/>
    <w:rsid w:val="0066463E"/>
    <w:rsid w:val="00666401"/>
    <w:rsid w:val="0066768B"/>
    <w:rsid w:val="00670C12"/>
    <w:rsid w:val="00675E1F"/>
    <w:rsid w:val="00685F3D"/>
    <w:rsid w:val="006876F9"/>
    <w:rsid w:val="00691499"/>
    <w:rsid w:val="00691578"/>
    <w:rsid w:val="00695DC8"/>
    <w:rsid w:val="006A63F5"/>
    <w:rsid w:val="006A66B3"/>
    <w:rsid w:val="006A78D3"/>
    <w:rsid w:val="006B1130"/>
    <w:rsid w:val="006B1C24"/>
    <w:rsid w:val="006C051A"/>
    <w:rsid w:val="006C1B12"/>
    <w:rsid w:val="006C2869"/>
    <w:rsid w:val="006C2936"/>
    <w:rsid w:val="006D02CA"/>
    <w:rsid w:val="006D1BD0"/>
    <w:rsid w:val="006D3DF7"/>
    <w:rsid w:val="006D68CB"/>
    <w:rsid w:val="006D72FA"/>
    <w:rsid w:val="006E285C"/>
    <w:rsid w:val="006E4B15"/>
    <w:rsid w:val="006F76F7"/>
    <w:rsid w:val="006F7E26"/>
    <w:rsid w:val="007000BC"/>
    <w:rsid w:val="00703A36"/>
    <w:rsid w:val="00706426"/>
    <w:rsid w:val="00710780"/>
    <w:rsid w:val="007110E5"/>
    <w:rsid w:val="00711ABC"/>
    <w:rsid w:val="00714CF8"/>
    <w:rsid w:val="00717389"/>
    <w:rsid w:val="00717E09"/>
    <w:rsid w:val="00721052"/>
    <w:rsid w:val="00724EB4"/>
    <w:rsid w:val="007314F4"/>
    <w:rsid w:val="00732A07"/>
    <w:rsid w:val="00733F83"/>
    <w:rsid w:val="00735018"/>
    <w:rsid w:val="0073528A"/>
    <w:rsid w:val="007353FA"/>
    <w:rsid w:val="00736018"/>
    <w:rsid w:val="007376CB"/>
    <w:rsid w:val="0073788A"/>
    <w:rsid w:val="0074163D"/>
    <w:rsid w:val="00741A18"/>
    <w:rsid w:val="00741E68"/>
    <w:rsid w:val="00743D94"/>
    <w:rsid w:val="00745895"/>
    <w:rsid w:val="00747E18"/>
    <w:rsid w:val="007513CA"/>
    <w:rsid w:val="00753D31"/>
    <w:rsid w:val="0075485C"/>
    <w:rsid w:val="007603B2"/>
    <w:rsid w:val="00760402"/>
    <w:rsid w:val="00761819"/>
    <w:rsid w:val="00777268"/>
    <w:rsid w:val="00782E97"/>
    <w:rsid w:val="00784CA7"/>
    <w:rsid w:val="00785BCF"/>
    <w:rsid w:val="00785D8C"/>
    <w:rsid w:val="00786570"/>
    <w:rsid w:val="00787E2C"/>
    <w:rsid w:val="00790BD7"/>
    <w:rsid w:val="007915D1"/>
    <w:rsid w:val="00791931"/>
    <w:rsid w:val="007964D3"/>
    <w:rsid w:val="00797BD4"/>
    <w:rsid w:val="00797E8B"/>
    <w:rsid w:val="007A211F"/>
    <w:rsid w:val="007A5D44"/>
    <w:rsid w:val="007A7E73"/>
    <w:rsid w:val="007B0B34"/>
    <w:rsid w:val="007B3EEA"/>
    <w:rsid w:val="007B40A9"/>
    <w:rsid w:val="007D23EF"/>
    <w:rsid w:val="007D3436"/>
    <w:rsid w:val="007D5526"/>
    <w:rsid w:val="007E35FA"/>
    <w:rsid w:val="007E7082"/>
    <w:rsid w:val="007F0F87"/>
    <w:rsid w:val="007F2513"/>
    <w:rsid w:val="00803E5B"/>
    <w:rsid w:val="00804D2F"/>
    <w:rsid w:val="0081042E"/>
    <w:rsid w:val="00812652"/>
    <w:rsid w:val="00815C22"/>
    <w:rsid w:val="00820688"/>
    <w:rsid w:val="00825772"/>
    <w:rsid w:val="00825EBF"/>
    <w:rsid w:val="0082695E"/>
    <w:rsid w:val="00826E90"/>
    <w:rsid w:val="00827214"/>
    <w:rsid w:val="00827AB6"/>
    <w:rsid w:val="008332D3"/>
    <w:rsid w:val="00835BA1"/>
    <w:rsid w:val="00841B9E"/>
    <w:rsid w:val="008461C9"/>
    <w:rsid w:val="008537CB"/>
    <w:rsid w:val="00853D81"/>
    <w:rsid w:val="00854DEF"/>
    <w:rsid w:val="00857B1A"/>
    <w:rsid w:val="00857C5C"/>
    <w:rsid w:val="0086107F"/>
    <w:rsid w:val="00863050"/>
    <w:rsid w:val="00863E10"/>
    <w:rsid w:val="00866D0C"/>
    <w:rsid w:val="00870268"/>
    <w:rsid w:val="00873AFA"/>
    <w:rsid w:val="00874A55"/>
    <w:rsid w:val="00874AF9"/>
    <w:rsid w:val="00876EA7"/>
    <w:rsid w:val="0087723F"/>
    <w:rsid w:val="00893B8D"/>
    <w:rsid w:val="008949ED"/>
    <w:rsid w:val="008A060D"/>
    <w:rsid w:val="008A0727"/>
    <w:rsid w:val="008A1207"/>
    <w:rsid w:val="008A5460"/>
    <w:rsid w:val="008A5935"/>
    <w:rsid w:val="008B0467"/>
    <w:rsid w:val="008B158A"/>
    <w:rsid w:val="008B2351"/>
    <w:rsid w:val="008B23A9"/>
    <w:rsid w:val="008B24A2"/>
    <w:rsid w:val="008B31B3"/>
    <w:rsid w:val="008B6EBC"/>
    <w:rsid w:val="008C38E8"/>
    <w:rsid w:val="008C5B5E"/>
    <w:rsid w:val="008C74E2"/>
    <w:rsid w:val="008C7539"/>
    <w:rsid w:val="008D012D"/>
    <w:rsid w:val="008D1F7C"/>
    <w:rsid w:val="008D6C9D"/>
    <w:rsid w:val="008E1DBA"/>
    <w:rsid w:val="008E3F99"/>
    <w:rsid w:val="008F3AE3"/>
    <w:rsid w:val="008F43DB"/>
    <w:rsid w:val="008F475B"/>
    <w:rsid w:val="008F647E"/>
    <w:rsid w:val="00902B97"/>
    <w:rsid w:val="00902EFA"/>
    <w:rsid w:val="00906824"/>
    <w:rsid w:val="0090724C"/>
    <w:rsid w:val="00907D0F"/>
    <w:rsid w:val="00923758"/>
    <w:rsid w:val="00924FD7"/>
    <w:rsid w:val="0092577E"/>
    <w:rsid w:val="00934651"/>
    <w:rsid w:val="00942E17"/>
    <w:rsid w:val="0094516B"/>
    <w:rsid w:val="00951321"/>
    <w:rsid w:val="0095272A"/>
    <w:rsid w:val="00957527"/>
    <w:rsid w:val="009578A1"/>
    <w:rsid w:val="00970527"/>
    <w:rsid w:val="00976795"/>
    <w:rsid w:val="00981364"/>
    <w:rsid w:val="00981403"/>
    <w:rsid w:val="00981E72"/>
    <w:rsid w:val="00983243"/>
    <w:rsid w:val="00985EDA"/>
    <w:rsid w:val="00987CED"/>
    <w:rsid w:val="00991379"/>
    <w:rsid w:val="009929DF"/>
    <w:rsid w:val="0099301A"/>
    <w:rsid w:val="009968AA"/>
    <w:rsid w:val="00996E9C"/>
    <w:rsid w:val="009A349A"/>
    <w:rsid w:val="009B2ECE"/>
    <w:rsid w:val="009B3C36"/>
    <w:rsid w:val="009D570E"/>
    <w:rsid w:val="009E015F"/>
    <w:rsid w:val="009E0BF2"/>
    <w:rsid w:val="009E5BC6"/>
    <w:rsid w:val="009F3BCE"/>
    <w:rsid w:val="009F7837"/>
    <w:rsid w:val="00A019A5"/>
    <w:rsid w:val="00A05695"/>
    <w:rsid w:val="00A07B66"/>
    <w:rsid w:val="00A07BB6"/>
    <w:rsid w:val="00A109BB"/>
    <w:rsid w:val="00A1390C"/>
    <w:rsid w:val="00A16ED0"/>
    <w:rsid w:val="00A17196"/>
    <w:rsid w:val="00A2002E"/>
    <w:rsid w:val="00A201C8"/>
    <w:rsid w:val="00A23E52"/>
    <w:rsid w:val="00A27065"/>
    <w:rsid w:val="00A362F9"/>
    <w:rsid w:val="00A41A0B"/>
    <w:rsid w:val="00A42638"/>
    <w:rsid w:val="00A55B19"/>
    <w:rsid w:val="00A64517"/>
    <w:rsid w:val="00A67331"/>
    <w:rsid w:val="00A822EF"/>
    <w:rsid w:val="00A82E70"/>
    <w:rsid w:val="00A849BB"/>
    <w:rsid w:val="00A85B07"/>
    <w:rsid w:val="00A85BD3"/>
    <w:rsid w:val="00A8724E"/>
    <w:rsid w:val="00A90E21"/>
    <w:rsid w:val="00A939E1"/>
    <w:rsid w:val="00A949D1"/>
    <w:rsid w:val="00A95462"/>
    <w:rsid w:val="00A95D22"/>
    <w:rsid w:val="00A976AC"/>
    <w:rsid w:val="00AA2160"/>
    <w:rsid w:val="00AA2E34"/>
    <w:rsid w:val="00AA3201"/>
    <w:rsid w:val="00AA40E8"/>
    <w:rsid w:val="00AA750F"/>
    <w:rsid w:val="00AA7CD3"/>
    <w:rsid w:val="00AB52BB"/>
    <w:rsid w:val="00AC0AF3"/>
    <w:rsid w:val="00AC1EA2"/>
    <w:rsid w:val="00AC49FC"/>
    <w:rsid w:val="00AC5F86"/>
    <w:rsid w:val="00AD2D47"/>
    <w:rsid w:val="00AE498D"/>
    <w:rsid w:val="00AE673F"/>
    <w:rsid w:val="00AE762D"/>
    <w:rsid w:val="00AF2A7F"/>
    <w:rsid w:val="00AF56BD"/>
    <w:rsid w:val="00B063E4"/>
    <w:rsid w:val="00B070EE"/>
    <w:rsid w:val="00B11A51"/>
    <w:rsid w:val="00B12361"/>
    <w:rsid w:val="00B12499"/>
    <w:rsid w:val="00B12B33"/>
    <w:rsid w:val="00B12C5D"/>
    <w:rsid w:val="00B1740A"/>
    <w:rsid w:val="00B17E01"/>
    <w:rsid w:val="00B218AC"/>
    <w:rsid w:val="00B2514F"/>
    <w:rsid w:val="00B30231"/>
    <w:rsid w:val="00B30C1C"/>
    <w:rsid w:val="00B41FF8"/>
    <w:rsid w:val="00B43B44"/>
    <w:rsid w:val="00B446B4"/>
    <w:rsid w:val="00B5000A"/>
    <w:rsid w:val="00B512C0"/>
    <w:rsid w:val="00B52C10"/>
    <w:rsid w:val="00B52D57"/>
    <w:rsid w:val="00B53E3C"/>
    <w:rsid w:val="00B57855"/>
    <w:rsid w:val="00B602BC"/>
    <w:rsid w:val="00B63283"/>
    <w:rsid w:val="00B70C45"/>
    <w:rsid w:val="00B75284"/>
    <w:rsid w:val="00B9066E"/>
    <w:rsid w:val="00B9156B"/>
    <w:rsid w:val="00B93955"/>
    <w:rsid w:val="00B95003"/>
    <w:rsid w:val="00B963E4"/>
    <w:rsid w:val="00BA0549"/>
    <w:rsid w:val="00BA235A"/>
    <w:rsid w:val="00BA2FF8"/>
    <w:rsid w:val="00BA359E"/>
    <w:rsid w:val="00BA3D42"/>
    <w:rsid w:val="00BB095E"/>
    <w:rsid w:val="00BB0E26"/>
    <w:rsid w:val="00BB0FA1"/>
    <w:rsid w:val="00BB156A"/>
    <w:rsid w:val="00BB18AF"/>
    <w:rsid w:val="00BB3B14"/>
    <w:rsid w:val="00BB3D00"/>
    <w:rsid w:val="00BB4D4D"/>
    <w:rsid w:val="00BC39F0"/>
    <w:rsid w:val="00BC5445"/>
    <w:rsid w:val="00BC712A"/>
    <w:rsid w:val="00BD00DF"/>
    <w:rsid w:val="00BD0DC4"/>
    <w:rsid w:val="00BD2D70"/>
    <w:rsid w:val="00BD3E45"/>
    <w:rsid w:val="00BD3EB1"/>
    <w:rsid w:val="00BD4CE8"/>
    <w:rsid w:val="00BD628F"/>
    <w:rsid w:val="00BD72E8"/>
    <w:rsid w:val="00BD75CE"/>
    <w:rsid w:val="00BE74FC"/>
    <w:rsid w:val="00BF0A34"/>
    <w:rsid w:val="00BF5C0C"/>
    <w:rsid w:val="00C02DDC"/>
    <w:rsid w:val="00C05B6E"/>
    <w:rsid w:val="00C07143"/>
    <w:rsid w:val="00C11CE6"/>
    <w:rsid w:val="00C127FD"/>
    <w:rsid w:val="00C253D1"/>
    <w:rsid w:val="00C267D8"/>
    <w:rsid w:val="00C30423"/>
    <w:rsid w:val="00C32FF6"/>
    <w:rsid w:val="00C33F31"/>
    <w:rsid w:val="00C3585C"/>
    <w:rsid w:val="00C37087"/>
    <w:rsid w:val="00C404C0"/>
    <w:rsid w:val="00C42486"/>
    <w:rsid w:val="00C45238"/>
    <w:rsid w:val="00C4596A"/>
    <w:rsid w:val="00C46B62"/>
    <w:rsid w:val="00C51EDA"/>
    <w:rsid w:val="00C51F40"/>
    <w:rsid w:val="00C52F7F"/>
    <w:rsid w:val="00C57248"/>
    <w:rsid w:val="00C573CE"/>
    <w:rsid w:val="00C61BEE"/>
    <w:rsid w:val="00C62206"/>
    <w:rsid w:val="00C62944"/>
    <w:rsid w:val="00C63971"/>
    <w:rsid w:val="00C75261"/>
    <w:rsid w:val="00C765E5"/>
    <w:rsid w:val="00C8158E"/>
    <w:rsid w:val="00C82416"/>
    <w:rsid w:val="00C82F56"/>
    <w:rsid w:val="00C83F15"/>
    <w:rsid w:val="00C90C50"/>
    <w:rsid w:val="00C92425"/>
    <w:rsid w:val="00CA428A"/>
    <w:rsid w:val="00CB6157"/>
    <w:rsid w:val="00CB64FE"/>
    <w:rsid w:val="00CB7661"/>
    <w:rsid w:val="00CB7D8D"/>
    <w:rsid w:val="00CC077B"/>
    <w:rsid w:val="00CC3114"/>
    <w:rsid w:val="00CC558F"/>
    <w:rsid w:val="00CC5C00"/>
    <w:rsid w:val="00CD1D04"/>
    <w:rsid w:val="00CD433F"/>
    <w:rsid w:val="00CD585D"/>
    <w:rsid w:val="00CD6749"/>
    <w:rsid w:val="00CE2D24"/>
    <w:rsid w:val="00CE3C5D"/>
    <w:rsid w:val="00CE6318"/>
    <w:rsid w:val="00CE71AE"/>
    <w:rsid w:val="00CE7AEA"/>
    <w:rsid w:val="00CF13E0"/>
    <w:rsid w:val="00CF22B7"/>
    <w:rsid w:val="00CF56CF"/>
    <w:rsid w:val="00D0260E"/>
    <w:rsid w:val="00D05218"/>
    <w:rsid w:val="00D15AC1"/>
    <w:rsid w:val="00D205EA"/>
    <w:rsid w:val="00D22A3A"/>
    <w:rsid w:val="00D25B27"/>
    <w:rsid w:val="00D310FC"/>
    <w:rsid w:val="00D31F3E"/>
    <w:rsid w:val="00D337EE"/>
    <w:rsid w:val="00D33903"/>
    <w:rsid w:val="00D35341"/>
    <w:rsid w:val="00D36014"/>
    <w:rsid w:val="00D3678C"/>
    <w:rsid w:val="00D3679C"/>
    <w:rsid w:val="00D3771F"/>
    <w:rsid w:val="00D5051D"/>
    <w:rsid w:val="00D5602E"/>
    <w:rsid w:val="00D56D74"/>
    <w:rsid w:val="00D62F06"/>
    <w:rsid w:val="00D66926"/>
    <w:rsid w:val="00D71F8C"/>
    <w:rsid w:val="00D74144"/>
    <w:rsid w:val="00D742CC"/>
    <w:rsid w:val="00D751A6"/>
    <w:rsid w:val="00D75414"/>
    <w:rsid w:val="00D85333"/>
    <w:rsid w:val="00D859F4"/>
    <w:rsid w:val="00D87901"/>
    <w:rsid w:val="00D87BED"/>
    <w:rsid w:val="00D914D5"/>
    <w:rsid w:val="00D91576"/>
    <w:rsid w:val="00D92661"/>
    <w:rsid w:val="00D954DB"/>
    <w:rsid w:val="00D955C4"/>
    <w:rsid w:val="00DA07D8"/>
    <w:rsid w:val="00DA1735"/>
    <w:rsid w:val="00DA4408"/>
    <w:rsid w:val="00DA60F5"/>
    <w:rsid w:val="00DA6EDD"/>
    <w:rsid w:val="00DB24AE"/>
    <w:rsid w:val="00DB657A"/>
    <w:rsid w:val="00DC03A5"/>
    <w:rsid w:val="00DC0A46"/>
    <w:rsid w:val="00DC7317"/>
    <w:rsid w:val="00DD642F"/>
    <w:rsid w:val="00DD705E"/>
    <w:rsid w:val="00DD77C2"/>
    <w:rsid w:val="00DD7E87"/>
    <w:rsid w:val="00DE373E"/>
    <w:rsid w:val="00DF0CAE"/>
    <w:rsid w:val="00DF4A00"/>
    <w:rsid w:val="00DF7521"/>
    <w:rsid w:val="00DF7815"/>
    <w:rsid w:val="00DF7F8D"/>
    <w:rsid w:val="00E010A9"/>
    <w:rsid w:val="00E02A7C"/>
    <w:rsid w:val="00E03227"/>
    <w:rsid w:val="00E10A88"/>
    <w:rsid w:val="00E113DB"/>
    <w:rsid w:val="00E14070"/>
    <w:rsid w:val="00E156F8"/>
    <w:rsid w:val="00E16CE9"/>
    <w:rsid w:val="00E24EB0"/>
    <w:rsid w:val="00E25BEE"/>
    <w:rsid w:val="00E2616B"/>
    <w:rsid w:val="00E26D20"/>
    <w:rsid w:val="00E271E4"/>
    <w:rsid w:val="00E31AE3"/>
    <w:rsid w:val="00E350A0"/>
    <w:rsid w:val="00E37794"/>
    <w:rsid w:val="00E37CD8"/>
    <w:rsid w:val="00E4624A"/>
    <w:rsid w:val="00E4771E"/>
    <w:rsid w:val="00E47996"/>
    <w:rsid w:val="00E510EF"/>
    <w:rsid w:val="00E52989"/>
    <w:rsid w:val="00E52C10"/>
    <w:rsid w:val="00E53B80"/>
    <w:rsid w:val="00E54138"/>
    <w:rsid w:val="00E54BC0"/>
    <w:rsid w:val="00E56A8C"/>
    <w:rsid w:val="00E573E2"/>
    <w:rsid w:val="00E57488"/>
    <w:rsid w:val="00E5752F"/>
    <w:rsid w:val="00E578E9"/>
    <w:rsid w:val="00E61BE6"/>
    <w:rsid w:val="00E63C9F"/>
    <w:rsid w:val="00E75519"/>
    <w:rsid w:val="00E80E99"/>
    <w:rsid w:val="00E840B2"/>
    <w:rsid w:val="00E86905"/>
    <w:rsid w:val="00E875DF"/>
    <w:rsid w:val="00E90563"/>
    <w:rsid w:val="00E92499"/>
    <w:rsid w:val="00E9251B"/>
    <w:rsid w:val="00E93A74"/>
    <w:rsid w:val="00E95ABE"/>
    <w:rsid w:val="00EA0892"/>
    <w:rsid w:val="00EA1782"/>
    <w:rsid w:val="00EA45DF"/>
    <w:rsid w:val="00EA5515"/>
    <w:rsid w:val="00EA5713"/>
    <w:rsid w:val="00EA772C"/>
    <w:rsid w:val="00EB2BF5"/>
    <w:rsid w:val="00EB3575"/>
    <w:rsid w:val="00EB3BAC"/>
    <w:rsid w:val="00EB43DD"/>
    <w:rsid w:val="00EC4443"/>
    <w:rsid w:val="00EC582E"/>
    <w:rsid w:val="00EC5BE6"/>
    <w:rsid w:val="00EC641D"/>
    <w:rsid w:val="00ED7D76"/>
    <w:rsid w:val="00EE1D25"/>
    <w:rsid w:val="00EE1FA6"/>
    <w:rsid w:val="00EE2551"/>
    <w:rsid w:val="00EE3351"/>
    <w:rsid w:val="00EF1F8C"/>
    <w:rsid w:val="00EF2CC1"/>
    <w:rsid w:val="00EF5A90"/>
    <w:rsid w:val="00EF5E1C"/>
    <w:rsid w:val="00F0363B"/>
    <w:rsid w:val="00F0446F"/>
    <w:rsid w:val="00F14E42"/>
    <w:rsid w:val="00F15B22"/>
    <w:rsid w:val="00F21C37"/>
    <w:rsid w:val="00F22F76"/>
    <w:rsid w:val="00F27789"/>
    <w:rsid w:val="00F31E9A"/>
    <w:rsid w:val="00F360CD"/>
    <w:rsid w:val="00F44EAF"/>
    <w:rsid w:val="00F4668D"/>
    <w:rsid w:val="00F500F7"/>
    <w:rsid w:val="00F60066"/>
    <w:rsid w:val="00F60A43"/>
    <w:rsid w:val="00F60F35"/>
    <w:rsid w:val="00F612F7"/>
    <w:rsid w:val="00F62D92"/>
    <w:rsid w:val="00F647D1"/>
    <w:rsid w:val="00F66856"/>
    <w:rsid w:val="00F734DB"/>
    <w:rsid w:val="00F753DB"/>
    <w:rsid w:val="00F7628F"/>
    <w:rsid w:val="00F82F34"/>
    <w:rsid w:val="00F85BCF"/>
    <w:rsid w:val="00F95AB7"/>
    <w:rsid w:val="00F977DE"/>
    <w:rsid w:val="00F97A34"/>
    <w:rsid w:val="00FA2613"/>
    <w:rsid w:val="00FA4335"/>
    <w:rsid w:val="00FA7A35"/>
    <w:rsid w:val="00FB0D70"/>
    <w:rsid w:val="00FB26C6"/>
    <w:rsid w:val="00FB38B0"/>
    <w:rsid w:val="00FB677C"/>
    <w:rsid w:val="00FC0425"/>
    <w:rsid w:val="00FC4BA0"/>
    <w:rsid w:val="00FC4EBE"/>
    <w:rsid w:val="00FC6312"/>
    <w:rsid w:val="00FC70BD"/>
    <w:rsid w:val="00FD00E7"/>
    <w:rsid w:val="00FD0A4E"/>
    <w:rsid w:val="00FD32E3"/>
    <w:rsid w:val="00FE079A"/>
    <w:rsid w:val="00FE144D"/>
    <w:rsid w:val="00FE1D09"/>
    <w:rsid w:val="00FE7FB3"/>
    <w:rsid w:val="00FF111E"/>
    <w:rsid w:val="00FF3702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3" ma:contentTypeDescription="Crée un document." ma:contentTypeScope="" ma:versionID="4fbac5b553fb53dc03103bd1376beddb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e65eb56157c836c8af95b01acd103cce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95557-9A6A-429B-88EF-9D600527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2235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7</cp:revision>
  <cp:lastPrinted>2022-04-29T11:52:00Z</cp:lastPrinted>
  <dcterms:created xsi:type="dcterms:W3CDTF">2022-04-29T12:47:00Z</dcterms:created>
  <dcterms:modified xsi:type="dcterms:W3CDTF">2022-05-03T09:26:00Z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</Properties>
</file>