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7A1" w:rsidRPr="00C545E1" w:rsidRDefault="000C77A1" w:rsidP="000C77A1">
      <w:pPr>
        <w:spacing w:after="0"/>
        <w:jc w:val="righ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b/>
          <w:i/>
          <w:color w:val="000000" w:themeColor="text1"/>
          <w:sz w:val="24"/>
          <w:szCs w:val="24"/>
        </w:rPr>
        <w:t>Zał. nr 6 do SWZ</w:t>
      </w:r>
    </w:p>
    <w:p w:rsidR="009E3CC6" w:rsidRPr="00C545E1" w:rsidRDefault="00C76106" w:rsidP="009E3CC6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b/>
          <w:color w:val="000000" w:themeColor="text1"/>
          <w:sz w:val="24"/>
          <w:szCs w:val="24"/>
        </w:rPr>
        <w:t xml:space="preserve">WARUNKI REALIZACJI </w:t>
      </w:r>
    </w:p>
    <w:p w:rsidR="00A872A4" w:rsidRPr="00C545E1" w:rsidRDefault="00A872A4" w:rsidP="00A872A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Dostawa naczyń i sztućców jednorazowego użytku, biodegradowalnych dla 24. WOG Giżycko w 2024r.</w:t>
      </w:r>
    </w:p>
    <w:p w:rsidR="00BE6511" w:rsidRPr="00C545E1" w:rsidRDefault="00BE6511" w:rsidP="009E3CC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545E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Opakowanie:</w:t>
      </w:r>
    </w:p>
    <w:p w:rsidR="00BE6511" w:rsidRPr="00C545E1" w:rsidRDefault="00BE6511" w:rsidP="00BE6511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>Opakowaniem jednostkowym bezpośrednim powinn</w:t>
      </w:r>
      <w:r w:rsidR="004E7FF4" w:rsidRPr="00C545E1">
        <w:rPr>
          <w:rFonts w:ascii="Arial" w:hAnsi="Arial" w:cs="Arial"/>
          <w:color w:val="000000" w:themeColor="text1"/>
          <w:sz w:val="24"/>
          <w:szCs w:val="24"/>
        </w:rPr>
        <w:t>o</w:t>
      </w: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 być</w:t>
      </w:r>
      <w:r w:rsidR="004E7FF4" w:rsidRPr="00C545E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545E1">
        <w:rPr>
          <w:rFonts w:ascii="Arial" w:hAnsi="Arial" w:cs="Arial"/>
          <w:color w:val="000000" w:themeColor="text1"/>
          <w:sz w:val="24"/>
          <w:szCs w:val="24"/>
        </w:rPr>
        <w:t>przeźroczyst</w:t>
      </w:r>
      <w:r w:rsidR="004E7FF4" w:rsidRPr="00C545E1">
        <w:rPr>
          <w:rFonts w:ascii="Arial" w:hAnsi="Arial" w:cs="Arial"/>
          <w:color w:val="000000" w:themeColor="text1"/>
          <w:sz w:val="24"/>
          <w:szCs w:val="24"/>
        </w:rPr>
        <w:t xml:space="preserve">e – opakowanie </w:t>
      </w: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 foli</w:t>
      </w:r>
      <w:r w:rsidR="004E7FF4" w:rsidRPr="00C545E1">
        <w:rPr>
          <w:rFonts w:ascii="Arial" w:hAnsi="Arial" w:cs="Arial"/>
          <w:color w:val="000000" w:themeColor="text1"/>
          <w:sz w:val="24"/>
          <w:szCs w:val="24"/>
        </w:rPr>
        <w:t>owe</w:t>
      </w: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 zamknięt</w:t>
      </w:r>
      <w:r w:rsidR="004E7FF4" w:rsidRPr="00C545E1">
        <w:rPr>
          <w:rFonts w:ascii="Arial" w:hAnsi="Arial" w:cs="Arial"/>
          <w:color w:val="000000" w:themeColor="text1"/>
          <w:sz w:val="24"/>
          <w:szCs w:val="24"/>
        </w:rPr>
        <w:t>e</w:t>
      </w: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. Opakowanie powinno być nieuszkodzone mechanicznie, czyste, bez obcych zapachów. Powinno zabezpieczać sztućce i naczynia przed zanieczyszczeniami i działaniem warunków atmosferycznych podczas przechowywania. Opakowanie powinno </w:t>
      </w:r>
      <w:r w:rsidR="00D01B04" w:rsidRPr="00C545E1">
        <w:rPr>
          <w:rFonts w:ascii="Arial" w:hAnsi="Arial" w:cs="Arial"/>
          <w:color w:val="000000" w:themeColor="text1"/>
          <w:sz w:val="24"/>
          <w:szCs w:val="24"/>
        </w:rPr>
        <w:t xml:space="preserve">być wykonane z materiału przeznaczonego do kontaktu z żywnością. </w:t>
      </w:r>
    </w:p>
    <w:p w:rsidR="00D01B04" w:rsidRDefault="00D01B04" w:rsidP="00D01B04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Opakowanie transportowe powinno stanowić pudło tekturowe. Nie dopuszcza się pudeł zamokniętych, zapleśniałych, z załamaniami i innymi uszkodzeniami mechanicznymi. Parametry fizyczne tektury i wytrzymałościowe pudeł oraz ich wymiary powinny zapewnić możliwość paletyzacji. </w:t>
      </w:r>
    </w:p>
    <w:p w:rsidR="00C545E1" w:rsidRPr="00C545E1" w:rsidRDefault="00C545E1" w:rsidP="00C545E1">
      <w:pPr>
        <w:pStyle w:val="Akapitzlist"/>
        <w:spacing w:after="0"/>
        <w:ind w:left="79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01B04" w:rsidRPr="00C545E1" w:rsidRDefault="00D01B04" w:rsidP="009E3CC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545E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Znakowanie</w:t>
      </w:r>
    </w:p>
    <w:p w:rsidR="00D01B04" w:rsidRPr="00C545E1" w:rsidRDefault="00D01B04" w:rsidP="00D01B04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>Na każdym naczyniu i sztućcu należy umieścić w sposób trwały i czytelny (przez wytłoczenie lub nadruk):</w:t>
      </w:r>
    </w:p>
    <w:p w:rsidR="00D01B04" w:rsidRPr="00C545E1" w:rsidRDefault="00D01B04" w:rsidP="00D01B04">
      <w:pPr>
        <w:pStyle w:val="Akapitzlist"/>
        <w:numPr>
          <w:ilvl w:val="2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Symbol dopuszczenia do kontaktu z żywnością </w:t>
      </w:r>
      <w:r w:rsidR="008B337D" w:rsidRPr="00C545E1">
        <w:rPr>
          <w:rFonts w:ascii="Arial" w:hAnsi="Arial" w:cs="Arial"/>
          <w:color w:val="000000" w:themeColor="text1"/>
          <w:sz w:val="24"/>
          <w:szCs w:val="24"/>
        </w:rPr>
        <w:t>(Dopuszcza się inne zgodne z Rozporządzeniem (WE) nr 1935/2004;</w:t>
      </w:r>
    </w:p>
    <w:p w:rsidR="008B337D" w:rsidRPr="00C545E1" w:rsidRDefault="008B337D" w:rsidP="00D01B04">
      <w:pPr>
        <w:pStyle w:val="Akapitzlist"/>
        <w:numPr>
          <w:ilvl w:val="2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Symbol informujący o </w:t>
      </w:r>
      <w:proofErr w:type="spellStart"/>
      <w:r w:rsidRPr="00C545E1">
        <w:rPr>
          <w:rFonts w:ascii="Arial" w:hAnsi="Arial" w:cs="Arial"/>
          <w:color w:val="000000" w:themeColor="text1"/>
          <w:sz w:val="24"/>
          <w:szCs w:val="24"/>
        </w:rPr>
        <w:t>biodegrowalności</w:t>
      </w:r>
      <w:proofErr w:type="spellEnd"/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 lub inne oznaczenie zgodne z przepisami (np. </w:t>
      </w:r>
      <w:proofErr w:type="spellStart"/>
      <w:r w:rsidRPr="00C545E1">
        <w:rPr>
          <w:rFonts w:ascii="Arial" w:hAnsi="Arial" w:cs="Arial"/>
          <w:color w:val="000000" w:themeColor="text1"/>
          <w:sz w:val="24"/>
          <w:szCs w:val="24"/>
        </w:rPr>
        <w:t>compostoble</w:t>
      </w:r>
      <w:proofErr w:type="spellEnd"/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, kompostowany, OK </w:t>
      </w:r>
      <w:proofErr w:type="spellStart"/>
      <w:r w:rsidRPr="00C545E1">
        <w:rPr>
          <w:rFonts w:ascii="Arial" w:hAnsi="Arial" w:cs="Arial"/>
          <w:color w:val="000000" w:themeColor="text1"/>
          <w:sz w:val="24"/>
          <w:szCs w:val="24"/>
        </w:rPr>
        <w:t>compost</w:t>
      </w:r>
      <w:proofErr w:type="spellEnd"/>
      <w:r w:rsidRPr="00C545E1">
        <w:rPr>
          <w:rFonts w:ascii="Arial" w:hAnsi="Arial" w:cs="Arial"/>
          <w:color w:val="000000" w:themeColor="text1"/>
          <w:sz w:val="24"/>
          <w:szCs w:val="24"/>
        </w:rPr>
        <w:t>).</w:t>
      </w:r>
    </w:p>
    <w:p w:rsidR="008B337D" w:rsidRPr="00C545E1" w:rsidRDefault="008B337D" w:rsidP="008B337D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Dopuszcza się umieszczenie oznakowania wymaganego w </w:t>
      </w:r>
      <w:proofErr w:type="spellStart"/>
      <w:r w:rsidRPr="00C545E1">
        <w:rPr>
          <w:rFonts w:ascii="Arial" w:hAnsi="Arial" w:cs="Arial"/>
          <w:color w:val="000000" w:themeColor="text1"/>
          <w:sz w:val="24"/>
          <w:szCs w:val="24"/>
        </w:rPr>
        <w:t>ppkt</w:t>
      </w:r>
      <w:proofErr w:type="spellEnd"/>
      <w:r w:rsidRPr="00C545E1">
        <w:rPr>
          <w:rFonts w:ascii="Arial" w:hAnsi="Arial" w:cs="Arial"/>
          <w:color w:val="000000" w:themeColor="text1"/>
          <w:sz w:val="24"/>
          <w:szCs w:val="24"/>
        </w:rPr>
        <w:t>. „</w:t>
      </w:r>
      <w:proofErr w:type="spellStart"/>
      <w:r w:rsidRPr="00C545E1">
        <w:rPr>
          <w:rFonts w:ascii="Arial" w:hAnsi="Arial" w:cs="Arial"/>
          <w:color w:val="000000" w:themeColor="text1"/>
          <w:sz w:val="24"/>
          <w:szCs w:val="24"/>
        </w:rPr>
        <w:t>ai</w:t>
      </w:r>
      <w:proofErr w:type="spellEnd"/>
      <w:r w:rsidRPr="00C545E1">
        <w:rPr>
          <w:rFonts w:ascii="Arial" w:hAnsi="Arial" w:cs="Arial"/>
          <w:color w:val="000000" w:themeColor="text1"/>
          <w:sz w:val="24"/>
          <w:szCs w:val="24"/>
        </w:rPr>
        <w:t>” na opakowaniu jednostkowym (etykiecie) lub poprzez przedstawienie dokumentu potwierdzającego spełnienie wymagań.</w:t>
      </w:r>
    </w:p>
    <w:p w:rsidR="008B337D" w:rsidRDefault="008B337D" w:rsidP="008B337D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Na opakowaniu transportowym należy umieścić czytelny i trwały nadruk lub etykietę z nazwą wyrobu, nazwą lub znakiem producenta, rokiem produkcji. Dodatkowo należy umieścić co najmniej znaki informacyjne ujęte w </w:t>
      </w:r>
      <w:proofErr w:type="spellStart"/>
      <w:r w:rsidRPr="00C545E1">
        <w:rPr>
          <w:rFonts w:ascii="Arial" w:hAnsi="Arial" w:cs="Arial"/>
          <w:color w:val="000000" w:themeColor="text1"/>
          <w:sz w:val="24"/>
          <w:szCs w:val="24"/>
        </w:rPr>
        <w:t>ppkt</w:t>
      </w:r>
      <w:proofErr w:type="spellEnd"/>
      <w:r w:rsidRPr="00C545E1">
        <w:rPr>
          <w:rFonts w:ascii="Arial" w:hAnsi="Arial" w:cs="Arial"/>
          <w:color w:val="000000" w:themeColor="text1"/>
          <w:sz w:val="24"/>
          <w:szCs w:val="24"/>
        </w:rPr>
        <w:t>. „AI”.</w:t>
      </w:r>
    </w:p>
    <w:p w:rsidR="00C545E1" w:rsidRPr="00C545E1" w:rsidRDefault="00C545E1" w:rsidP="00C545E1">
      <w:pPr>
        <w:pStyle w:val="Akapitzlist"/>
        <w:spacing w:after="0"/>
        <w:ind w:left="79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B337D" w:rsidRPr="00C545E1" w:rsidRDefault="008B337D" w:rsidP="009E3CC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545E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Warunki i okres przechowywania:</w:t>
      </w:r>
    </w:p>
    <w:p w:rsidR="008B337D" w:rsidRPr="00C545E1" w:rsidRDefault="008B337D" w:rsidP="008B337D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>Przechowywać w suchych pomieszczeniach, w temperaturze pokojowej, nie dopuszczać do zawilgocenia.</w:t>
      </w:r>
    </w:p>
    <w:p w:rsidR="00FE62BF" w:rsidRDefault="008B337D" w:rsidP="00FE62BF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>Okres minimalnej trwałości naczyń i sztućców, licząc od daty produkcji, powinien wynosić co najmniej 48 m-</w:t>
      </w:r>
      <w:proofErr w:type="spellStart"/>
      <w:r w:rsidRPr="00C545E1">
        <w:rPr>
          <w:rFonts w:ascii="Arial" w:hAnsi="Arial" w:cs="Arial"/>
          <w:color w:val="000000" w:themeColor="text1"/>
          <w:sz w:val="24"/>
          <w:szCs w:val="24"/>
        </w:rPr>
        <w:t>cy</w:t>
      </w:r>
      <w:proofErr w:type="spellEnd"/>
      <w:r w:rsidRPr="00C545E1">
        <w:rPr>
          <w:rFonts w:ascii="Arial" w:hAnsi="Arial" w:cs="Arial"/>
          <w:color w:val="000000" w:themeColor="text1"/>
          <w:sz w:val="24"/>
          <w:szCs w:val="24"/>
        </w:rPr>
        <w:t>, z zastrzeżeniem iż dostarcz</w:t>
      </w:r>
      <w:r w:rsidR="00FE62BF" w:rsidRPr="00C545E1">
        <w:rPr>
          <w:rFonts w:ascii="Arial" w:hAnsi="Arial" w:cs="Arial"/>
          <w:color w:val="000000" w:themeColor="text1"/>
          <w:sz w:val="24"/>
          <w:szCs w:val="24"/>
        </w:rPr>
        <w:t>one do magazynu naczynia i sztućce nie mogą mieć okresu gwarancji krótszego niż 36 miesięcy.</w:t>
      </w:r>
    </w:p>
    <w:p w:rsidR="00C545E1" w:rsidRPr="00C545E1" w:rsidRDefault="00C545E1" w:rsidP="00C545E1">
      <w:pPr>
        <w:pStyle w:val="Akapitzlist"/>
        <w:spacing w:after="0"/>
        <w:ind w:left="79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94DD7" w:rsidRPr="00C545E1" w:rsidRDefault="00B94DD7" w:rsidP="009E3CC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45E1">
        <w:rPr>
          <w:rFonts w:ascii="Arial" w:hAnsi="Arial" w:cs="Arial"/>
          <w:b/>
          <w:sz w:val="24"/>
          <w:szCs w:val="24"/>
          <w:u w:val="single"/>
        </w:rPr>
        <w:t>Do dokumentacji przetargowej dołączyć:</w:t>
      </w:r>
    </w:p>
    <w:p w:rsidR="00B94DD7" w:rsidRPr="00C545E1" w:rsidRDefault="00B94DD7" w:rsidP="00B94DD7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Atest PZH </w:t>
      </w:r>
      <w:r w:rsidR="004D083C" w:rsidRPr="00C545E1">
        <w:rPr>
          <w:rFonts w:ascii="Arial" w:hAnsi="Arial" w:cs="Arial"/>
          <w:color w:val="000000" w:themeColor="text1"/>
          <w:sz w:val="24"/>
          <w:szCs w:val="24"/>
        </w:rPr>
        <w:t xml:space="preserve">(świadectwo jakości zdrowotnej) </w:t>
      </w: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lub </w:t>
      </w:r>
      <w:r w:rsidR="004D083C" w:rsidRPr="00C545E1">
        <w:rPr>
          <w:rFonts w:ascii="Arial" w:hAnsi="Arial" w:cs="Arial"/>
          <w:color w:val="000000" w:themeColor="text1"/>
          <w:sz w:val="24"/>
          <w:szCs w:val="24"/>
        </w:rPr>
        <w:t xml:space="preserve">inny równoważny </w:t>
      </w: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dokument </w:t>
      </w:r>
      <w:r w:rsidR="004D083C" w:rsidRPr="00C545E1">
        <w:rPr>
          <w:rFonts w:ascii="Arial" w:hAnsi="Arial" w:cs="Arial"/>
          <w:color w:val="000000" w:themeColor="text1"/>
          <w:sz w:val="24"/>
          <w:szCs w:val="24"/>
        </w:rPr>
        <w:t xml:space="preserve">w języku polskim </w:t>
      </w: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stosowany w Unii Europejskiej </w:t>
      </w:r>
      <w:r w:rsidR="004D083C" w:rsidRPr="00C545E1">
        <w:rPr>
          <w:rFonts w:ascii="Arial" w:hAnsi="Arial" w:cs="Arial"/>
          <w:color w:val="000000" w:themeColor="text1"/>
          <w:sz w:val="24"/>
          <w:szCs w:val="24"/>
        </w:rPr>
        <w:t>lub deklarację zgodności producenta z oznaczeniem zgodnie z wymogami Rozporządzenia (WE) 10/2011 oraz 1935/2004.</w:t>
      </w:r>
    </w:p>
    <w:p w:rsidR="00B9551C" w:rsidRPr="00C545E1" w:rsidRDefault="004D083C" w:rsidP="00D209FE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lastRenderedPageBreak/>
        <w:t>W przypadku zastosowania tylko dokumentu Deklaracja zgodności, deklaracja ta powinna odpowiadać wzorowi deklaracji zgodnie z Rozporządzeniem (WE) 10/2011 i powinna informować o migracji substancji lub produktu jego rozkładu</w:t>
      </w:r>
      <w:r w:rsidR="00B9551C" w:rsidRPr="00C545E1">
        <w:rPr>
          <w:rFonts w:ascii="Arial" w:hAnsi="Arial" w:cs="Arial"/>
          <w:color w:val="000000" w:themeColor="text1"/>
          <w:sz w:val="24"/>
          <w:szCs w:val="24"/>
        </w:rPr>
        <w:t xml:space="preserve"> (materiału z jakiego wytworzono produkt) do żywności. Migracja ta powinna spełniać kryteria w tym zakresie i być potwierdzona badaniami w tym zakresie.</w:t>
      </w:r>
    </w:p>
    <w:p w:rsidR="00B94DD7" w:rsidRPr="00C545E1" w:rsidRDefault="00B94DD7" w:rsidP="00D209FE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>Dokument potwierdzający spełnienie wymagań dla wyrobów biodegradowalnych wg PN EN 13432:2022 (zamiennie ASTM D6400 lub ISO 17088:2012 EN) – jeśli dotyczy.</w:t>
      </w:r>
    </w:p>
    <w:p w:rsidR="0021223A" w:rsidRPr="0021223A" w:rsidRDefault="00B94DD7" w:rsidP="0021223A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45E1">
        <w:rPr>
          <w:rFonts w:ascii="Arial" w:hAnsi="Arial" w:cs="Arial"/>
          <w:b/>
          <w:sz w:val="24"/>
          <w:szCs w:val="24"/>
          <w:u w:val="single"/>
        </w:rPr>
        <w:t>Do oferty należy dołączyć wzór etykiety opakowań jednostkowych oraz opakowań zbiorczych.</w:t>
      </w:r>
    </w:p>
    <w:p w:rsidR="0021223A" w:rsidRPr="0021223A" w:rsidRDefault="0021223A" w:rsidP="0021223A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1223A">
        <w:rPr>
          <w:rFonts w:ascii="Arial" w:hAnsi="Arial" w:cs="Arial"/>
          <w:color w:val="000000" w:themeColor="text1"/>
          <w:sz w:val="24"/>
          <w:szCs w:val="24"/>
        </w:rPr>
        <w:t xml:space="preserve">Zamawiający </w:t>
      </w:r>
      <w:r w:rsidRPr="0021223A">
        <w:rPr>
          <w:rFonts w:ascii="Arial" w:hAnsi="Arial" w:cs="Arial"/>
          <w:sz w:val="24"/>
          <w:szCs w:val="24"/>
        </w:rPr>
        <w:t xml:space="preserve">żąda złożenia za pośrednictwem poczty/ kuriera/ posłańca: na potwierdzenie zgodności ofertowanych dostaw z wymaganiami określonymi w opisie przedmiotu zamówienia/ wymaganiach </w:t>
      </w:r>
      <w:proofErr w:type="spellStart"/>
      <w:r w:rsidRPr="0021223A">
        <w:rPr>
          <w:rFonts w:ascii="Arial" w:hAnsi="Arial" w:cs="Arial"/>
          <w:sz w:val="24"/>
          <w:szCs w:val="24"/>
        </w:rPr>
        <w:t>eksploatacyjno</w:t>
      </w:r>
      <w:proofErr w:type="spellEnd"/>
      <w:r w:rsidRPr="0021223A">
        <w:rPr>
          <w:rFonts w:ascii="Arial" w:hAnsi="Arial" w:cs="Arial"/>
          <w:sz w:val="24"/>
          <w:szCs w:val="24"/>
        </w:rPr>
        <w:t xml:space="preserve"> – technicznych:</w:t>
      </w:r>
    </w:p>
    <w:p w:rsidR="0021223A" w:rsidRPr="0021223A" w:rsidRDefault="0021223A" w:rsidP="0021223A">
      <w:pPr>
        <w:pStyle w:val="Akapitzlist"/>
        <w:spacing w:after="0"/>
        <w:ind w:left="792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21223A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po 1 opakowaniu jednostkowym wzorów oferowanego towaru, w celu dokonania jego oceny przez komisję przetargową. </w:t>
      </w:r>
    </w:p>
    <w:p w:rsidR="0021223A" w:rsidRPr="00C545E1" w:rsidRDefault="0021223A" w:rsidP="0021223A">
      <w:pPr>
        <w:pStyle w:val="Akapitzlist"/>
        <w:spacing w:after="0"/>
        <w:ind w:left="792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90AA5" w:rsidRPr="00C545E1" w:rsidRDefault="00D90AA5" w:rsidP="009E3CC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>Całość zamówienia Wykonawca zobowiązany jest dostarczyć własnym środkiem transportu i na własny koszt wraz z rozładunkiem ze środka transportu, ustawieniem we wskazanym miejscu przez pracownika. Przy dostawie ma być obecny przedstawiciel Wykonawcy.</w:t>
      </w:r>
    </w:p>
    <w:p w:rsidR="00D90AA5" w:rsidRPr="00C545E1" w:rsidRDefault="00D90AA5" w:rsidP="009E3CC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45E1">
        <w:rPr>
          <w:rFonts w:ascii="Arial" w:hAnsi="Arial" w:cs="Arial"/>
          <w:color w:val="000000" w:themeColor="text1"/>
          <w:sz w:val="24"/>
          <w:szCs w:val="24"/>
        </w:rPr>
        <w:t xml:space="preserve">Towar będzie dostarczony do magazynu po uprzednim złożeniu zamówienia przez Zamawiającego, w terminie określonym przez Wykonawcę w ofercie. </w:t>
      </w:r>
    </w:p>
    <w:p w:rsidR="00D90AA5" w:rsidRPr="00AB03EA" w:rsidRDefault="00D90AA5" w:rsidP="009E3CC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AB03E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Prawa i obowiązki Wykonawcy</w:t>
      </w:r>
    </w:p>
    <w:p w:rsidR="00D90AA5" w:rsidRPr="00C545E1" w:rsidRDefault="00D90AA5" w:rsidP="0021223A">
      <w:pPr>
        <w:numPr>
          <w:ilvl w:val="1"/>
          <w:numId w:val="1"/>
        </w:numPr>
        <w:tabs>
          <w:tab w:val="left" w:pos="0"/>
          <w:tab w:val="left" w:pos="993"/>
        </w:tabs>
        <w:spacing w:after="0"/>
        <w:ind w:left="851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45E1">
        <w:rPr>
          <w:rFonts w:ascii="Arial" w:eastAsia="Calibri" w:hAnsi="Arial" w:cs="Arial"/>
          <w:sz w:val="24"/>
          <w:szCs w:val="24"/>
          <w:lang w:eastAsia="pl-PL"/>
        </w:rPr>
        <w:t xml:space="preserve">Wykonawca zobowiązuje się przenieść na własność towar wolny od wad i wydać go Zamawiającemu w terminie określonym w </w:t>
      </w:r>
      <w:r w:rsidR="00340C19" w:rsidRPr="00C545E1">
        <w:rPr>
          <w:rFonts w:ascii="Arial" w:eastAsia="Calibri" w:hAnsi="Arial" w:cs="Arial"/>
          <w:sz w:val="24"/>
          <w:szCs w:val="24"/>
          <w:lang w:eastAsia="pl-PL"/>
        </w:rPr>
        <w:t>umowie;</w:t>
      </w:r>
    </w:p>
    <w:p w:rsidR="00D90AA5" w:rsidRPr="00C545E1" w:rsidRDefault="00D90AA5" w:rsidP="0021223A">
      <w:pPr>
        <w:numPr>
          <w:ilvl w:val="1"/>
          <w:numId w:val="1"/>
        </w:numPr>
        <w:tabs>
          <w:tab w:val="left" w:pos="993"/>
        </w:tabs>
        <w:spacing w:after="0"/>
        <w:ind w:left="851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45E1">
        <w:rPr>
          <w:rFonts w:ascii="Arial" w:eastAsia="Calibri" w:hAnsi="Arial" w:cs="Arial"/>
          <w:sz w:val="24"/>
          <w:szCs w:val="24"/>
          <w:lang w:eastAsia="pl-PL"/>
        </w:rPr>
        <w:t xml:space="preserve">Wykonawca powinien w należyty sposób opakować towar, a także </w:t>
      </w:r>
      <w:r w:rsidR="00340C19" w:rsidRPr="00C545E1">
        <w:rPr>
          <w:rFonts w:ascii="Arial" w:eastAsia="Calibri" w:hAnsi="Arial" w:cs="Arial"/>
          <w:sz w:val="24"/>
          <w:szCs w:val="24"/>
          <w:lang w:eastAsia="pl-PL"/>
        </w:rPr>
        <w:t xml:space="preserve">                  </w:t>
      </w:r>
      <w:r w:rsidRPr="00C545E1">
        <w:rPr>
          <w:rFonts w:ascii="Arial" w:eastAsia="Calibri" w:hAnsi="Arial" w:cs="Arial"/>
          <w:sz w:val="24"/>
          <w:szCs w:val="24"/>
          <w:lang w:eastAsia="pl-PL"/>
        </w:rPr>
        <w:t>w należyty sposób go transportować.</w:t>
      </w:r>
    </w:p>
    <w:p w:rsidR="00D90AA5" w:rsidRPr="00C545E1" w:rsidRDefault="00D90AA5" w:rsidP="0021223A">
      <w:pPr>
        <w:numPr>
          <w:ilvl w:val="1"/>
          <w:numId w:val="1"/>
        </w:numPr>
        <w:tabs>
          <w:tab w:val="left" w:pos="993"/>
        </w:tabs>
        <w:spacing w:after="0"/>
        <w:ind w:left="851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45E1">
        <w:rPr>
          <w:rFonts w:ascii="Arial" w:eastAsia="Calibri" w:hAnsi="Arial" w:cs="Arial"/>
          <w:spacing w:val="-2"/>
          <w:sz w:val="24"/>
          <w:szCs w:val="24"/>
        </w:rPr>
        <w:t>Wykonawca ponosi odpowiedzialność za towar do czasu jego formalnego przyjęcia</w:t>
      </w:r>
      <w:r w:rsidRPr="00C545E1">
        <w:rPr>
          <w:rFonts w:ascii="Arial" w:eastAsia="Calibri" w:hAnsi="Arial" w:cs="Arial"/>
          <w:sz w:val="24"/>
          <w:szCs w:val="24"/>
        </w:rPr>
        <w:t xml:space="preserve"> przez Zamawiającego tj. podpisania przez strony „Protokołu przyjęcia – przekazania”.</w:t>
      </w:r>
    </w:p>
    <w:p w:rsidR="00D90AA5" w:rsidRPr="00C545E1" w:rsidRDefault="00D90AA5" w:rsidP="0021223A">
      <w:pPr>
        <w:numPr>
          <w:ilvl w:val="1"/>
          <w:numId w:val="1"/>
        </w:numPr>
        <w:tabs>
          <w:tab w:val="left" w:pos="993"/>
        </w:tabs>
        <w:spacing w:after="0"/>
        <w:ind w:left="851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sz w:val="24"/>
          <w:szCs w:val="24"/>
          <w:lang w:eastAsia="pl-PL"/>
        </w:rPr>
        <w:t>Wykonawca przed dostawą musi uzgodni</w:t>
      </w:r>
      <w:r w:rsidR="00340C19" w:rsidRPr="00C545E1">
        <w:rPr>
          <w:rFonts w:ascii="Arial" w:eastAsia="Times New Roman" w:hAnsi="Arial" w:cs="Arial"/>
          <w:sz w:val="24"/>
          <w:szCs w:val="24"/>
          <w:lang w:eastAsia="pl-PL"/>
        </w:rPr>
        <w:t>ć termin dostawy (telefonicznie</w:t>
      </w:r>
      <w:r w:rsidRPr="00C545E1">
        <w:rPr>
          <w:rFonts w:ascii="Arial" w:eastAsia="Times New Roman" w:hAnsi="Arial" w:cs="Arial"/>
          <w:sz w:val="24"/>
          <w:szCs w:val="24"/>
          <w:lang w:eastAsia="pl-PL"/>
        </w:rPr>
        <w:t>) na minimum 48 godzin przed zaplanowaną czynnością. Dostawy mają odbywać się od poniedziałku do c</w:t>
      </w:r>
      <w:r w:rsidR="00340C19" w:rsidRPr="00C545E1">
        <w:rPr>
          <w:rFonts w:ascii="Arial" w:eastAsia="Times New Roman" w:hAnsi="Arial" w:cs="Arial"/>
          <w:sz w:val="24"/>
          <w:szCs w:val="24"/>
          <w:lang w:eastAsia="pl-PL"/>
        </w:rPr>
        <w:t>zwartku od godz. 8:00 do godz.13</w:t>
      </w:r>
      <w:r w:rsidRPr="00C545E1">
        <w:rPr>
          <w:rFonts w:ascii="Arial" w:eastAsia="Times New Roman" w:hAnsi="Arial" w:cs="Arial"/>
          <w:sz w:val="24"/>
          <w:szCs w:val="24"/>
          <w:lang w:eastAsia="pl-PL"/>
        </w:rPr>
        <w:t>:00.</w:t>
      </w:r>
    </w:p>
    <w:p w:rsidR="00D90AA5" w:rsidRPr="00C545E1" w:rsidRDefault="00D90AA5" w:rsidP="0021223A">
      <w:pPr>
        <w:numPr>
          <w:ilvl w:val="1"/>
          <w:numId w:val="1"/>
        </w:numPr>
        <w:tabs>
          <w:tab w:val="left" w:pos="993"/>
        </w:tabs>
        <w:spacing w:after="0"/>
        <w:ind w:left="851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45E1">
        <w:rPr>
          <w:rFonts w:ascii="Arial" w:eastAsia="Calibri" w:hAnsi="Arial" w:cs="Arial"/>
          <w:sz w:val="24"/>
          <w:szCs w:val="24"/>
          <w:lang w:eastAsia="pl-PL"/>
        </w:rPr>
        <w:t>Wykonawca jest odpowiedzialny względem Zamawiającego za wady, które posiadać będzie dostarczony towar. W przypadku zaistnienia takiej sytuacji zastosowanie będą miały odpowiednie przepisy Kodeksu cywilnego.</w:t>
      </w:r>
    </w:p>
    <w:p w:rsidR="00D90AA5" w:rsidRPr="00C545E1" w:rsidRDefault="00D90AA5" w:rsidP="0021223A">
      <w:pPr>
        <w:numPr>
          <w:ilvl w:val="1"/>
          <w:numId w:val="1"/>
        </w:numPr>
        <w:tabs>
          <w:tab w:val="left" w:pos="993"/>
        </w:tabs>
        <w:spacing w:after="0"/>
        <w:ind w:left="851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45E1">
        <w:rPr>
          <w:rFonts w:ascii="Arial" w:eastAsia="Calibri" w:hAnsi="Arial" w:cs="Arial"/>
          <w:spacing w:val="-7"/>
          <w:sz w:val="24"/>
          <w:szCs w:val="24"/>
        </w:rPr>
        <w:t xml:space="preserve">Wykonawca nie może zastawić ani przenieść na osobę trzecią wierzytelności przysługującej </w:t>
      </w:r>
      <w:r w:rsidRPr="00C545E1">
        <w:rPr>
          <w:rFonts w:ascii="Arial" w:eastAsia="Calibri" w:hAnsi="Arial" w:cs="Arial"/>
          <w:sz w:val="24"/>
          <w:szCs w:val="24"/>
        </w:rPr>
        <w:t>mu od Zamawiającego bez jego zgody wyrażonej na piśmie.</w:t>
      </w:r>
    </w:p>
    <w:p w:rsidR="00D90AA5" w:rsidRPr="00C545E1" w:rsidRDefault="00D90AA5" w:rsidP="0021223A">
      <w:pPr>
        <w:numPr>
          <w:ilvl w:val="1"/>
          <w:numId w:val="1"/>
        </w:numPr>
        <w:tabs>
          <w:tab w:val="left" w:pos="993"/>
        </w:tabs>
        <w:spacing w:after="0"/>
        <w:ind w:left="851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45E1">
        <w:rPr>
          <w:rFonts w:ascii="Arial" w:eastAsia="Calibri" w:hAnsi="Arial" w:cs="Arial"/>
          <w:spacing w:val="-6"/>
          <w:sz w:val="24"/>
          <w:szCs w:val="24"/>
        </w:rPr>
        <w:t>Wykonawca zobowiązany jest do zachowania tajemnicy wobec innych podmiotów oraz osób</w:t>
      </w:r>
      <w:r w:rsidRPr="00C545E1">
        <w:rPr>
          <w:rFonts w:ascii="Arial" w:eastAsia="Calibri" w:hAnsi="Arial" w:cs="Arial"/>
          <w:sz w:val="24"/>
          <w:szCs w:val="24"/>
        </w:rPr>
        <w:t xml:space="preserve"> trzecich, wszelkich informacji dotyczących Zamawiającego oraz jego pracowników. </w:t>
      </w:r>
      <w:r w:rsidRPr="00C545E1">
        <w:rPr>
          <w:rFonts w:ascii="Arial" w:eastAsia="Calibri" w:hAnsi="Arial" w:cs="Arial"/>
          <w:spacing w:val="-7"/>
          <w:sz w:val="24"/>
          <w:szCs w:val="24"/>
        </w:rPr>
        <w:t>Zobowiązania określone w niniejszym ustępie wiążą Wykonawcę także po rozwiązaniu</w:t>
      </w:r>
      <w:r w:rsidRPr="00C545E1">
        <w:rPr>
          <w:rFonts w:ascii="Arial" w:eastAsia="Calibri" w:hAnsi="Arial" w:cs="Arial"/>
          <w:sz w:val="24"/>
          <w:szCs w:val="24"/>
        </w:rPr>
        <w:t xml:space="preserve"> umowy.</w:t>
      </w:r>
    </w:p>
    <w:p w:rsidR="00D90AA5" w:rsidRPr="00C545E1" w:rsidRDefault="00D90AA5" w:rsidP="0021223A">
      <w:pPr>
        <w:numPr>
          <w:ilvl w:val="1"/>
          <w:numId w:val="1"/>
        </w:numPr>
        <w:tabs>
          <w:tab w:val="left" w:pos="993"/>
        </w:tabs>
        <w:spacing w:after="0"/>
        <w:ind w:left="851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45E1">
        <w:rPr>
          <w:rFonts w:ascii="Arial" w:eastAsia="Calibri" w:hAnsi="Arial" w:cs="Arial"/>
          <w:spacing w:val="-4"/>
          <w:sz w:val="24"/>
          <w:szCs w:val="24"/>
        </w:rPr>
        <w:t>Wykonawca zapewnia, że korzysta z praw własności przemysłowej                                 i intelektualnej</w:t>
      </w:r>
      <w:r w:rsidRPr="00C545E1">
        <w:rPr>
          <w:rFonts w:ascii="Arial" w:eastAsia="Calibri" w:hAnsi="Arial" w:cs="Arial"/>
          <w:sz w:val="24"/>
          <w:szCs w:val="24"/>
        </w:rPr>
        <w:t xml:space="preserve"> </w:t>
      </w:r>
      <w:r w:rsidRPr="00C545E1">
        <w:rPr>
          <w:rFonts w:ascii="Arial" w:eastAsia="Calibri" w:hAnsi="Arial" w:cs="Arial"/>
          <w:spacing w:val="-2"/>
          <w:sz w:val="24"/>
          <w:szCs w:val="24"/>
        </w:rPr>
        <w:t xml:space="preserve">do przedmiotów, związanych z przedmiotem niniejszej umowy w </w:t>
      </w:r>
      <w:r w:rsidRPr="00C545E1">
        <w:rPr>
          <w:rFonts w:ascii="Arial" w:eastAsia="Calibri" w:hAnsi="Arial" w:cs="Arial"/>
          <w:spacing w:val="-2"/>
          <w:sz w:val="24"/>
          <w:szCs w:val="24"/>
        </w:rPr>
        <w:lastRenderedPageBreak/>
        <w:t>sposób zgodny</w:t>
      </w:r>
      <w:r w:rsidRPr="00C545E1">
        <w:rPr>
          <w:rFonts w:ascii="Arial" w:eastAsia="Calibri" w:hAnsi="Arial" w:cs="Arial"/>
          <w:sz w:val="24"/>
          <w:szCs w:val="24"/>
        </w:rPr>
        <w:t xml:space="preserve"> z normami ustalonymi w ustawie z dnia 30 czerwca 2000 r. - Prawo własności przemysłowej (tj. Dz. U. z 2020 r. poz. 286 </w:t>
      </w:r>
      <w:r w:rsidRPr="00C545E1">
        <w:rPr>
          <w:rFonts w:ascii="Arial" w:eastAsia="Calibri" w:hAnsi="Arial" w:cs="Arial"/>
          <w:spacing w:val="-4"/>
          <w:sz w:val="24"/>
          <w:szCs w:val="24"/>
        </w:rPr>
        <w:t xml:space="preserve">z </w:t>
      </w:r>
      <w:proofErr w:type="spellStart"/>
      <w:r w:rsidRPr="00C545E1">
        <w:rPr>
          <w:rFonts w:ascii="Arial" w:eastAsia="Calibri" w:hAnsi="Arial" w:cs="Arial"/>
          <w:spacing w:val="-4"/>
          <w:sz w:val="24"/>
          <w:szCs w:val="24"/>
        </w:rPr>
        <w:t>późn</w:t>
      </w:r>
      <w:proofErr w:type="spellEnd"/>
      <w:r w:rsidRPr="00C545E1">
        <w:rPr>
          <w:rFonts w:ascii="Arial" w:eastAsia="Calibri" w:hAnsi="Arial" w:cs="Arial"/>
          <w:spacing w:val="-4"/>
          <w:sz w:val="24"/>
          <w:szCs w:val="24"/>
        </w:rPr>
        <w:t>. zm.</w:t>
      </w:r>
      <w:r w:rsidRPr="00C545E1">
        <w:rPr>
          <w:rFonts w:ascii="Arial" w:eastAsia="Calibri" w:hAnsi="Arial" w:cs="Arial"/>
          <w:sz w:val="24"/>
          <w:szCs w:val="24"/>
        </w:rPr>
        <w:t xml:space="preserve">) </w:t>
      </w:r>
      <w:r w:rsidRPr="00C545E1">
        <w:rPr>
          <w:rFonts w:ascii="Arial" w:eastAsia="Calibri" w:hAnsi="Arial" w:cs="Arial"/>
          <w:spacing w:val="-2"/>
          <w:sz w:val="24"/>
          <w:szCs w:val="24"/>
        </w:rPr>
        <w:t>oraz w ustawie z dnia 4 lutego 1994 r. o prawie autorskim i prawach pokrewnych</w:t>
      </w:r>
      <w:r w:rsidRPr="00C545E1">
        <w:rPr>
          <w:rFonts w:ascii="Arial" w:eastAsia="Calibri" w:hAnsi="Arial" w:cs="Arial"/>
          <w:sz w:val="24"/>
          <w:szCs w:val="24"/>
        </w:rPr>
        <w:t xml:space="preserve"> (</w:t>
      </w:r>
      <w:r w:rsidRPr="00C545E1">
        <w:rPr>
          <w:rFonts w:ascii="Arial" w:eastAsia="Calibri" w:hAnsi="Arial" w:cs="Arial"/>
          <w:spacing w:val="-4"/>
          <w:sz w:val="24"/>
          <w:szCs w:val="24"/>
        </w:rPr>
        <w:t xml:space="preserve">tj. Dz. U. z 2019r., poz. 1231 z </w:t>
      </w:r>
      <w:proofErr w:type="spellStart"/>
      <w:r w:rsidRPr="00C545E1">
        <w:rPr>
          <w:rFonts w:ascii="Arial" w:eastAsia="Calibri" w:hAnsi="Arial" w:cs="Arial"/>
          <w:spacing w:val="-4"/>
          <w:sz w:val="24"/>
          <w:szCs w:val="24"/>
        </w:rPr>
        <w:t>późn</w:t>
      </w:r>
      <w:proofErr w:type="spellEnd"/>
      <w:r w:rsidRPr="00C545E1">
        <w:rPr>
          <w:rFonts w:ascii="Arial" w:eastAsia="Calibri" w:hAnsi="Arial" w:cs="Arial"/>
          <w:spacing w:val="-4"/>
          <w:sz w:val="24"/>
          <w:szCs w:val="24"/>
        </w:rPr>
        <w:t>. zm.)</w:t>
      </w:r>
      <w:r w:rsidRPr="00C545E1">
        <w:rPr>
          <w:rFonts w:ascii="Arial" w:eastAsia="Calibri" w:hAnsi="Arial" w:cs="Arial"/>
          <w:sz w:val="24"/>
          <w:szCs w:val="24"/>
        </w:rPr>
        <w:t>.</w:t>
      </w:r>
      <w:r w:rsidRPr="00C545E1">
        <w:rPr>
          <w:rFonts w:ascii="Arial" w:eastAsia="Calibri" w:hAnsi="Arial" w:cs="Arial"/>
          <w:spacing w:val="-4"/>
          <w:sz w:val="24"/>
          <w:szCs w:val="24"/>
        </w:rPr>
        <w:t xml:space="preserve"> </w:t>
      </w:r>
    </w:p>
    <w:p w:rsidR="00D90AA5" w:rsidRPr="00C545E1" w:rsidRDefault="00D90AA5" w:rsidP="0021223A">
      <w:pPr>
        <w:pStyle w:val="Akapitzlist"/>
        <w:numPr>
          <w:ilvl w:val="1"/>
          <w:numId w:val="1"/>
        </w:numPr>
        <w:tabs>
          <w:tab w:val="left" w:pos="993"/>
        </w:tabs>
        <w:spacing w:after="0"/>
        <w:ind w:left="851" w:hanging="284"/>
        <w:jc w:val="both"/>
        <w:rPr>
          <w:rFonts w:ascii="Arial" w:hAnsi="Arial" w:cs="Arial"/>
          <w:bCs/>
          <w:sz w:val="24"/>
          <w:szCs w:val="24"/>
        </w:rPr>
      </w:pPr>
      <w:r w:rsidRPr="00C545E1">
        <w:rPr>
          <w:rFonts w:ascii="Arial" w:hAnsi="Arial" w:cs="Arial"/>
          <w:spacing w:val="-4"/>
          <w:sz w:val="24"/>
          <w:szCs w:val="24"/>
        </w:rPr>
        <w:t>Wszelkie zobowiązania</w:t>
      </w:r>
      <w:r w:rsidRPr="00C545E1">
        <w:rPr>
          <w:rFonts w:ascii="Arial" w:hAnsi="Arial" w:cs="Arial"/>
          <w:sz w:val="24"/>
          <w:szCs w:val="24"/>
        </w:rPr>
        <w:t xml:space="preserve"> wynikające z praw własności przemysłowej,                                w szczególności patentów, praw </w:t>
      </w:r>
      <w:r w:rsidRPr="00C545E1">
        <w:rPr>
          <w:rFonts w:ascii="Arial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C545E1">
        <w:rPr>
          <w:rFonts w:ascii="Arial" w:hAnsi="Arial" w:cs="Arial"/>
          <w:sz w:val="24"/>
          <w:szCs w:val="24"/>
        </w:rPr>
        <w:t xml:space="preserve">. </w:t>
      </w:r>
      <w:r w:rsidRPr="00C545E1">
        <w:rPr>
          <w:rFonts w:ascii="Arial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C545E1">
        <w:rPr>
          <w:rFonts w:ascii="Arial" w:hAnsi="Arial" w:cs="Arial"/>
          <w:sz w:val="24"/>
          <w:szCs w:val="24"/>
        </w:rPr>
        <w:t xml:space="preserve"> uregulowania prawne właściwe dla jego siedziby. </w:t>
      </w:r>
    </w:p>
    <w:p w:rsidR="00A00B03" w:rsidRPr="00C545E1" w:rsidRDefault="00CA32F0" w:rsidP="00B452E1">
      <w:pPr>
        <w:numPr>
          <w:ilvl w:val="0"/>
          <w:numId w:val="1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A385B">
        <w:rPr>
          <w:rFonts w:ascii="Arial" w:eastAsia="Times New Roman" w:hAnsi="Arial" w:cs="Arial"/>
          <w:bCs/>
          <w:sz w:val="24"/>
          <w:szCs w:val="24"/>
          <w:lang w:eastAsia="pl-PL"/>
        </w:rPr>
        <w:t>Wykonawca wyraża zgodę na poddanie swoich pracowników i współpracowników oraz środków transportu, rygorom procedur bezpieczeństwa obowiązującym w 24 WOG w czasie realizacji usługi zgodnie z wymogami ustawy z dnia 22 sierpnia 1997r. o ochronie osób i mienia (</w:t>
      </w:r>
      <w:proofErr w:type="spellStart"/>
      <w:r w:rsidRPr="00FA385B">
        <w:rPr>
          <w:rFonts w:ascii="Arial" w:eastAsia="Times New Roman" w:hAnsi="Arial" w:cs="Arial"/>
          <w:bCs/>
          <w:sz w:val="24"/>
          <w:szCs w:val="24"/>
          <w:lang w:eastAsia="pl-PL"/>
        </w:rPr>
        <w:t>t.j</w:t>
      </w:r>
      <w:proofErr w:type="spellEnd"/>
      <w:r w:rsidRPr="00FA385B">
        <w:rPr>
          <w:rFonts w:ascii="Arial" w:eastAsia="Times New Roman" w:hAnsi="Arial" w:cs="Arial"/>
          <w:bCs/>
          <w:sz w:val="24"/>
          <w:szCs w:val="24"/>
          <w:lang w:eastAsia="pl-PL"/>
        </w:rPr>
        <w:t>. Dz.U. z 2021 r. poz. 1995) w zakresie działania "Wewnętrznych Służb Dyżurnych" oraz procedur związanych z ustawą z dnia 5 sierpnia 2010r. o ochronie informacji niejawnych (</w:t>
      </w:r>
      <w:proofErr w:type="spellStart"/>
      <w:r w:rsidRPr="00FA385B">
        <w:rPr>
          <w:rFonts w:ascii="Arial" w:eastAsia="Times New Roman" w:hAnsi="Arial" w:cs="Arial"/>
          <w:bCs/>
          <w:sz w:val="24"/>
          <w:szCs w:val="24"/>
          <w:lang w:eastAsia="pl-PL"/>
        </w:rPr>
        <w:t>t.j</w:t>
      </w:r>
      <w:proofErr w:type="spellEnd"/>
      <w:r w:rsidRPr="00FA385B">
        <w:rPr>
          <w:rFonts w:ascii="Arial" w:eastAsia="Times New Roman" w:hAnsi="Arial" w:cs="Arial"/>
          <w:bCs/>
          <w:sz w:val="24"/>
          <w:szCs w:val="24"/>
          <w:lang w:eastAsia="pl-PL"/>
        </w:rPr>
        <w:t>. Dz.U. z 2024 r. poz. 632)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bookmarkStart w:id="0" w:name="_GoBack"/>
      <w:bookmarkEnd w:id="0"/>
      <w:r w:rsidR="00A00B03" w:rsidRPr="00C545E1">
        <w:rPr>
          <w:rFonts w:ascii="Arial" w:eastAsia="Calibri" w:hAnsi="Arial" w:cs="Arial"/>
          <w:sz w:val="24"/>
          <w:szCs w:val="24"/>
        </w:rPr>
        <w:t>to jest obowiązek wykonawcy wobec Pełnomocnika ds. Ochrony Informacji Niejawnych właściwej jednostki wojskowej lub instytucji wojskowej na terenie której przewidziano realizację zamówienia jest po podpisaniu umowy, dostarczenie wniosku (załącznik nr</w:t>
      </w:r>
      <w:r w:rsidR="00AB03EA">
        <w:rPr>
          <w:rFonts w:ascii="Arial" w:eastAsia="Calibri" w:hAnsi="Arial" w:cs="Arial"/>
          <w:sz w:val="24"/>
          <w:szCs w:val="24"/>
        </w:rPr>
        <w:t xml:space="preserve"> </w:t>
      </w:r>
      <w:r w:rsidR="0021223A">
        <w:rPr>
          <w:rFonts w:ascii="Arial" w:eastAsia="Calibri" w:hAnsi="Arial" w:cs="Arial"/>
          <w:sz w:val="24"/>
          <w:szCs w:val="24"/>
        </w:rPr>
        <w:t>7</w:t>
      </w:r>
      <w:r w:rsidR="00C64B3E">
        <w:rPr>
          <w:rFonts w:ascii="Arial" w:eastAsia="Calibri" w:hAnsi="Arial" w:cs="Arial"/>
          <w:sz w:val="24"/>
          <w:szCs w:val="24"/>
        </w:rPr>
        <w:t xml:space="preserve"> do SWZ</w:t>
      </w:r>
      <w:r w:rsidR="00A00B03" w:rsidRPr="00C545E1">
        <w:rPr>
          <w:rFonts w:ascii="Arial" w:eastAsia="Calibri" w:hAnsi="Arial" w:cs="Arial"/>
          <w:sz w:val="24"/>
          <w:szCs w:val="24"/>
        </w:rPr>
        <w:t>) wraz z wymaganymi przez właściwą jednostkę organizacyjną załącznikami. W sprawach związanych z realizacją zamówienia należy kierować się do osób wskazanych w SWZ lub umowie jako do kontaktów. Te same procedury dotyczą także ewentualnych podwykonawców.</w:t>
      </w:r>
    </w:p>
    <w:p w:rsidR="00340C19" w:rsidRPr="00C545E1" w:rsidRDefault="00340C19" w:rsidP="0074082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sz w:val="24"/>
          <w:szCs w:val="24"/>
          <w:lang w:eastAsia="pl-PL"/>
        </w:rPr>
        <w:t>Pod rygorem odpowiedzialności karnej Wykonawca zobowiązuje się,</w:t>
      </w:r>
      <w:r w:rsidR="002122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45E1">
        <w:rPr>
          <w:rFonts w:ascii="Arial" w:eastAsia="Times New Roman" w:hAnsi="Arial" w:cs="Arial"/>
          <w:sz w:val="24"/>
          <w:szCs w:val="24"/>
          <w:lang w:eastAsia="pl-PL"/>
        </w:rPr>
        <w:t xml:space="preserve">że w trakcie trwania niniejszej umowy, a także po jej rozwiązaniu </w:t>
      </w:r>
      <w:r w:rsidRPr="00C545E1">
        <w:rPr>
          <w:rFonts w:ascii="Arial" w:eastAsia="Times New Roman" w:hAnsi="Arial" w:cs="Arial"/>
          <w:sz w:val="24"/>
          <w:szCs w:val="24"/>
          <w:u w:val="single"/>
          <w:lang w:eastAsia="pl-PL"/>
        </w:rPr>
        <w:t>nie będzie</w:t>
      </w:r>
      <w:r w:rsidRPr="00C545E1">
        <w:rPr>
          <w:rFonts w:ascii="Arial" w:eastAsia="Times New Roman" w:hAnsi="Arial" w:cs="Arial"/>
          <w:sz w:val="24"/>
          <w:szCs w:val="24"/>
          <w:lang w:eastAsia="pl-PL"/>
        </w:rPr>
        <w:t xml:space="preserve"> przekazywać, ujawniać, wykorzystywać bez pisemnej zgody Zamawiającego informacji dotyczących Zamawiającego lub podmiotów z nim współpracujących, które Wykonawca uzyska przy wykonywaniu niniejszej umowy chyba, że stan tajemnicy wobec tych informacji ustał. </w:t>
      </w:r>
    </w:p>
    <w:p w:rsidR="00340C19" w:rsidRPr="00C545E1" w:rsidRDefault="00340C19" w:rsidP="0074082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sz w:val="24"/>
          <w:szCs w:val="24"/>
          <w:lang w:eastAsia="pl-PL"/>
        </w:rPr>
        <w:t>Wykonawca odpowiada również za zachowanie powyższych informacji                         w tajemnicy przez osoby, którymi będzie się posługiwał przy wykonywaniu dostawy, oraz osoby, którym wykonanie dostawy powierzy.</w:t>
      </w:r>
    </w:p>
    <w:p w:rsidR="00340C19" w:rsidRPr="00C545E1" w:rsidRDefault="00340C19" w:rsidP="0074082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sz w:val="24"/>
          <w:szCs w:val="24"/>
          <w:lang w:eastAsia="pl-PL"/>
        </w:rPr>
        <w:t>Wykonawca jest zobowiązany do przestrzegania zakazu używania aparatów latających, bezzałogowych statków powietrznych typu "Dron" na terenie obsługiwanych jednostek wojskowych oraz całym terenie poligonu wojskowego.</w:t>
      </w:r>
    </w:p>
    <w:p w:rsidR="00A00B03" w:rsidRPr="00C545E1" w:rsidRDefault="00A00B03" w:rsidP="00A00B03">
      <w:pPr>
        <w:pStyle w:val="Tekstpodstawowy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C545E1">
        <w:rPr>
          <w:rFonts w:ascii="Arial" w:hAnsi="Arial" w:cs="Arial"/>
          <w:sz w:val="24"/>
          <w:szCs w:val="24"/>
          <w:lang w:val="x-none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(załącznik nr</w:t>
      </w:r>
      <w:r w:rsidR="0021223A">
        <w:rPr>
          <w:rFonts w:ascii="Arial" w:hAnsi="Arial" w:cs="Arial"/>
          <w:sz w:val="24"/>
          <w:szCs w:val="24"/>
        </w:rPr>
        <w:t xml:space="preserve"> 8</w:t>
      </w:r>
      <w:r w:rsidR="00C64B3E">
        <w:rPr>
          <w:rFonts w:ascii="Arial" w:hAnsi="Arial" w:cs="Arial"/>
          <w:sz w:val="24"/>
          <w:szCs w:val="24"/>
        </w:rPr>
        <w:t xml:space="preserve"> do SWZ</w:t>
      </w:r>
      <w:r w:rsidRPr="00C545E1">
        <w:rPr>
          <w:rFonts w:ascii="Arial" w:hAnsi="Arial" w:cs="Arial"/>
          <w:sz w:val="24"/>
          <w:szCs w:val="24"/>
          <w:lang w:val="x-none"/>
        </w:rPr>
        <w:t>) celem uzyskania niezbędnej opinii</w:t>
      </w:r>
      <w:r w:rsidRPr="00C545E1">
        <w:rPr>
          <w:rFonts w:ascii="Arial" w:hAnsi="Arial" w:cs="Arial"/>
          <w:sz w:val="24"/>
          <w:szCs w:val="24"/>
        </w:rPr>
        <w:t xml:space="preserve"> </w:t>
      </w:r>
      <w:r w:rsidRPr="00C545E1">
        <w:rPr>
          <w:rFonts w:ascii="Arial" w:hAnsi="Arial" w:cs="Arial"/>
          <w:sz w:val="24"/>
          <w:szCs w:val="24"/>
          <w:lang w:val="x-none"/>
        </w:rPr>
        <w:t>w sprawie wstępu cudzoziemców na teren chronionej jednostki lub instytucji wojskowej</w:t>
      </w:r>
      <w:r w:rsidRPr="00C545E1">
        <w:rPr>
          <w:rFonts w:ascii="Arial" w:hAnsi="Arial" w:cs="Arial"/>
          <w:sz w:val="24"/>
          <w:szCs w:val="24"/>
        </w:rPr>
        <w:t xml:space="preserve"> (czas oczekiwania 10 dni)</w:t>
      </w:r>
      <w:r w:rsidRPr="00C545E1">
        <w:rPr>
          <w:rFonts w:ascii="Arial" w:hAnsi="Arial" w:cs="Arial"/>
          <w:sz w:val="24"/>
          <w:szCs w:val="24"/>
          <w:lang w:val="x-none"/>
        </w:rPr>
        <w:t xml:space="preserve">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</w:t>
      </w:r>
      <w:r w:rsidRPr="00C545E1">
        <w:rPr>
          <w:rFonts w:ascii="Arial" w:hAnsi="Arial" w:cs="Arial"/>
          <w:sz w:val="24"/>
          <w:szCs w:val="24"/>
          <w:lang w:val="x-none"/>
        </w:rPr>
        <w:lastRenderedPageBreak/>
        <w:t>zgoda właściwego Dowódcy/Komendanta/Szefa jednostki wojskowej/instytucji na terenie której realizowane będzie zamówienie.</w:t>
      </w:r>
    </w:p>
    <w:p w:rsidR="00C709F8" w:rsidRPr="00C545E1" w:rsidRDefault="00C709F8" w:rsidP="00C709F8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sz w:val="24"/>
          <w:szCs w:val="24"/>
          <w:lang w:eastAsia="pl-PL"/>
        </w:rPr>
        <w:t>Wykonawca zatrudniający cudzoziemców oświadcza, iż będzie przestrzegał obowiązujących w tym zakresie przepisów prawa, a w szczególności:</w:t>
      </w:r>
    </w:p>
    <w:p w:rsidR="00C709F8" w:rsidRPr="00C545E1" w:rsidRDefault="00C709F8" w:rsidP="0021223A">
      <w:pPr>
        <w:pStyle w:val="Akapitzlist"/>
        <w:numPr>
          <w:ilvl w:val="0"/>
          <w:numId w:val="7"/>
        </w:numPr>
        <w:ind w:left="851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12 grudnia 2013r. o cudzoziemcach (Dz. U. z 2013r. poz. 1650 z </w:t>
      </w:r>
      <w:proofErr w:type="spellStart"/>
      <w:r w:rsidRPr="00C545E1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C545E1">
        <w:rPr>
          <w:rFonts w:ascii="Arial" w:eastAsia="Times New Roman" w:hAnsi="Arial" w:cs="Arial"/>
          <w:sz w:val="24"/>
          <w:szCs w:val="24"/>
          <w:lang w:eastAsia="pl-PL"/>
        </w:rPr>
        <w:t>. zm.);</w:t>
      </w:r>
    </w:p>
    <w:p w:rsidR="00C709F8" w:rsidRPr="00C545E1" w:rsidRDefault="00C709F8" w:rsidP="0021223A">
      <w:pPr>
        <w:pStyle w:val="Akapitzlist"/>
        <w:numPr>
          <w:ilvl w:val="0"/>
          <w:numId w:val="7"/>
        </w:numPr>
        <w:ind w:left="851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sz w:val="24"/>
          <w:szCs w:val="24"/>
          <w:lang w:eastAsia="pl-PL"/>
        </w:rPr>
        <w:t xml:space="preserve">ustawy o promocji zatrudnienia i instytucjach rynku pracy z dnia 20 kwietnia 2004r. (Dz.U. z 2013r. poz. 674 z </w:t>
      </w:r>
      <w:proofErr w:type="spellStart"/>
      <w:r w:rsidRPr="00C545E1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C545E1">
        <w:rPr>
          <w:rFonts w:ascii="Arial" w:eastAsia="Times New Roman" w:hAnsi="Arial" w:cs="Arial"/>
          <w:sz w:val="24"/>
          <w:szCs w:val="24"/>
          <w:lang w:eastAsia="pl-PL"/>
        </w:rPr>
        <w:t>. zm.);</w:t>
      </w:r>
    </w:p>
    <w:p w:rsidR="00C709F8" w:rsidRPr="00C545E1" w:rsidRDefault="00C709F8" w:rsidP="0021223A">
      <w:pPr>
        <w:pStyle w:val="Akapitzlist"/>
        <w:numPr>
          <w:ilvl w:val="0"/>
          <w:numId w:val="7"/>
        </w:numPr>
        <w:ind w:left="851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grudnia 2010r. o zmianie ustawy o promocji zatrudnienia i instytucjach rynku pracy oraz niektórych innych ustaw (Dz.U. Nr 257, poz.1725 z </w:t>
      </w:r>
      <w:proofErr w:type="spellStart"/>
      <w:r w:rsidRPr="00C545E1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C545E1">
        <w:rPr>
          <w:rFonts w:ascii="Arial" w:eastAsia="Times New Roman" w:hAnsi="Arial" w:cs="Arial"/>
          <w:sz w:val="24"/>
          <w:szCs w:val="24"/>
          <w:lang w:eastAsia="pl-PL"/>
        </w:rPr>
        <w:t>. zm.);</w:t>
      </w:r>
    </w:p>
    <w:p w:rsidR="00C709F8" w:rsidRPr="00C545E1" w:rsidRDefault="00C709F8" w:rsidP="0021223A">
      <w:pPr>
        <w:pStyle w:val="Akapitzlist"/>
        <w:numPr>
          <w:ilvl w:val="0"/>
          <w:numId w:val="7"/>
        </w:numPr>
        <w:ind w:left="851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C545E1">
        <w:rPr>
          <w:rFonts w:ascii="Arial" w:eastAsia="Times New Roman" w:hAnsi="Arial" w:cs="Arial"/>
          <w:sz w:val="24"/>
          <w:szCs w:val="24"/>
          <w:lang w:eastAsia="pl-PL"/>
        </w:rPr>
        <w:t>ustawy z dnia 14 lipca 2006r. o wjeździe na terytorium Rzeczypospolitej Polskiej, pobycie oraz wyjeździe z tego terytorium obywateli państw członkowskich Unii Europejskiej i członków ich rodzin (Dz.U. Nr 144,poz. 1043).</w:t>
      </w:r>
    </w:p>
    <w:p w:rsidR="00BF0536" w:rsidRPr="00C545E1" w:rsidRDefault="00BF0536">
      <w:pPr>
        <w:rPr>
          <w:rFonts w:ascii="Arial" w:hAnsi="Arial" w:cs="Arial"/>
        </w:rPr>
      </w:pPr>
    </w:p>
    <w:sectPr w:rsidR="00BF0536" w:rsidRPr="00C545E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31F" w:rsidRDefault="0006231F" w:rsidP="009E3CC6">
      <w:pPr>
        <w:spacing w:after="0" w:line="240" w:lineRule="auto"/>
      </w:pPr>
      <w:r>
        <w:separator/>
      </w:r>
    </w:p>
  </w:endnote>
  <w:endnote w:type="continuationSeparator" w:id="0">
    <w:p w:rsidR="0006231F" w:rsidRDefault="0006231F" w:rsidP="009E3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09953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467EA" w:rsidRDefault="000467E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560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56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467EA" w:rsidRDefault="000467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31F" w:rsidRDefault="0006231F" w:rsidP="009E3CC6">
      <w:pPr>
        <w:spacing w:after="0" w:line="240" w:lineRule="auto"/>
      </w:pPr>
      <w:r>
        <w:separator/>
      </w:r>
    </w:p>
  </w:footnote>
  <w:footnote w:type="continuationSeparator" w:id="0">
    <w:p w:rsidR="0006231F" w:rsidRDefault="0006231F" w:rsidP="009E3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942FF"/>
    <w:multiLevelType w:val="hybridMultilevel"/>
    <w:tmpl w:val="0406A0DC"/>
    <w:lvl w:ilvl="0" w:tplc="04150019">
      <w:start w:val="1"/>
      <w:numFmt w:val="lowerLetter"/>
      <w:lvlText w:val="%1."/>
      <w:lvlJc w:val="left"/>
      <w:pPr>
        <w:ind w:left="669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" w15:restartNumberingAfterBreak="0">
    <w:nsid w:val="1A480136"/>
    <w:multiLevelType w:val="hybridMultilevel"/>
    <w:tmpl w:val="7BBA203A"/>
    <w:lvl w:ilvl="0" w:tplc="3C80716A">
      <w:start w:val="1"/>
      <w:numFmt w:val="decimal"/>
      <w:lvlText w:val="13.%1"/>
      <w:lvlJc w:val="center"/>
      <w:pPr>
        <w:ind w:left="157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2A2F0851"/>
    <w:multiLevelType w:val="hybridMultilevel"/>
    <w:tmpl w:val="6E1A4284"/>
    <w:lvl w:ilvl="0" w:tplc="491041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Times New Roman" w:hAnsi="Arial" w:cs="Arial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6B77CD"/>
    <w:multiLevelType w:val="hybridMultilevel"/>
    <w:tmpl w:val="19D8E4A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B9076BB"/>
    <w:multiLevelType w:val="hybridMultilevel"/>
    <w:tmpl w:val="3C588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4E88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F578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157B0E"/>
    <w:multiLevelType w:val="hybridMultilevel"/>
    <w:tmpl w:val="E4CE6CDA"/>
    <w:lvl w:ilvl="0" w:tplc="F4842B0C">
      <w:start w:val="11"/>
      <w:numFmt w:val="decimal"/>
      <w:lvlText w:val="%1."/>
      <w:lvlJc w:val="left"/>
      <w:pPr>
        <w:ind w:left="1212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64265C9C"/>
    <w:multiLevelType w:val="hybridMultilevel"/>
    <w:tmpl w:val="4E0EE592"/>
    <w:lvl w:ilvl="0" w:tplc="C4DA81D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D37"/>
    <w:rsid w:val="000467EA"/>
    <w:rsid w:val="0006231F"/>
    <w:rsid w:val="000646B7"/>
    <w:rsid w:val="000C77A1"/>
    <w:rsid w:val="00106793"/>
    <w:rsid w:val="001C63E1"/>
    <w:rsid w:val="001D67F8"/>
    <w:rsid w:val="001F0703"/>
    <w:rsid w:val="002030C7"/>
    <w:rsid w:val="0021223A"/>
    <w:rsid w:val="00285602"/>
    <w:rsid w:val="00340C19"/>
    <w:rsid w:val="003E1BE6"/>
    <w:rsid w:val="0041737F"/>
    <w:rsid w:val="00444858"/>
    <w:rsid w:val="004D083C"/>
    <w:rsid w:val="004E7FF4"/>
    <w:rsid w:val="005526BE"/>
    <w:rsid w:val="00574381"/>
    <w:rsid w:val="005A5662"/>
    <w:rsid w:val="005D57D3"/>
    <w:rsid w:val="005E4C23"/>
    <w:rsid w:val="00740826"/>
    <w:rsid w:val="0076226E"/>
    <w:rsid w:val="0077738A"/>
    <w:rsid w:val="007F55C2"/>
    <w:rsid w:val="00820E3E"/>
    <w:rsid w:val="0082316C"/>
    <w:rsid w:val="00831226"/>
    <w:rsid w:val="008B337D"/>
    <w:rsid w:val="008D3716"/>
    <w:rsid w:val="008E57AE"/>
    <w:rsid w:val="009A0772"/>
    <w:rsid w:val="009E3CC6"/>
    <w:rsid w:val="009F0B53"/>
    <w:rsid w:val="00A00B03"/>
    <w:rsid w:val="00A2388E"/>
    <w:rsid w:val="00A75EB9"/>
    <w:rsid w:val="00A872A4"/>
    <w:rsid w:val="00AB03EA"/>
    <w:rsid w:val="00B94DD7"/>
    <w:rsid w:val="00B9551C"/>
    <w:rsid w:val="00BD4174"/>
    <w:rsid w:val="00BE6511"/>
    <w:rsid w:val="00BF0536"/>
    <w:rsid w:val="00C545E1"/>
    <w:rsid w:val="00C64B3E"/>
    <w:rsid w:val="00C709F8"/>
    <w:rsid w:val="00C73A62"/>
    <w:rsid w:val="00C76106"/>
    <w:rsid w:val="00C96251"/>
    <w:rsid w:val="00CA32F0"/>
    <w:rsid w:val="00CB2249"/>
    <w:rsid w:val="00CD3701"/>
    <w:rsid w:val="00D01B04"/>
    <w:rsid w:val="00D075AD"/>
    <w:rsid w:val="00D90AA5"/>
    <w:rsid w:val="00F06D37"/>
    <w:rsid w:val="00F67CEB"/>
    <w:rsid w:val="00F87551"/>
    <w:rsid w:val="00FE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F2837"/>
  <w15:docId w15:val="{69C82E60-B03E-4790-8397-56DFB1E2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CC6"/>
  </w:style>
  <w:style w:type="paragraph" w:styleId="Stopka">
    <w:name w:val="footer"/>
    <w:basedOn w:val="Normalny"/>
    <w:link w:val="StopkaZnak"/>
    <w:uiPriority w:val="99"/>
    <w:unhideWhenUsed/>
    <w:rsid w:val="009E3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CC6"/>
  </w:style>
  <w:style w:type="paragraph" w:styleId="Akapitzlist">
    <w:name w:val="List Paragraph"/>
    <w:aliases w:val="1_literowka Znak,Literowanie Znak,Preambuła Znak,1_literowka,Literowanie,Preambuła,Numerowanie,L1,Podsis rysunku,Bullet Number,Body MS Bullet,lp1,Akapit z listą;1_literowka"/>
    <w:basedOn w:val="Normalny"/>
    <w:link w:val="AkapitzlistZnak"/>
    <w:uiPriority w:val="34"/>
    <w:qFormat/>
    <w:rsid w:val="009E3CC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locked/>
    <w:rsid w:val="009E3C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60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0B03"/>
    <w:pPr>
      <w:spacing w:after="12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0B03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4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07662C4-87CC-4706-8D4F-6D588EB7A2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1279</Words>
  <Characters>7679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Bacewicz Sylwia</dc:creator>
  <cp:keywords/>
  <dc:description/>
  <cp:lastModifiedBy>Futera Karolina</cp:lastModifiedBy>
  <cp:revision>8</cp:revision>
  <cp:lastPrinted>2024-02-07T06:22:00Z</cp:lastPrinted>
  <dcterms:created xsi:type="dcterms:W3CDTF">2024-09-03T07:58:00Z</dcterms:created>
  <dcterms:modified xsi:type="dcterms:W3CDTF">2024-09-06T10:14:00Z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5cb61e39-0e80-463d-bd93-dd8a77535cff</vt:lpwstr>
  </property>
  <property fmtid="{D5CDD505-2E9C-101B-9397-08002B2CF9AE}" pid="3" name="bjSaver">
    <vt:lpwstr>+gMK1UXsboycIr/4echZWhfLoSUYHnDu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