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3F7" w:rsidRPr="00926092" w:rsidRDefault="003B0560">
      <w:pPr>
        <w:rPr>
          <w:sz w:val="28"/>
          <w:szCs w:val="28"/>
        </w:rPr>
      </w:pPr>
      <w:r w:rsidRPr="003B0560">
        <w:rPr>
          <w:sz w:val="28"/>
          <w:szCs w:val="28"/>
        </w:rPr>
        <w:t>Podniesienie poziomu cyberbezpieczeństwa poprzez zakup</w:t>
      </w:r>
      <w:r>
        <w:rPr>
          <w:sz w:val="28"/>
          <w:szCs w:val="28"/>
        </w:rPr>
        <w:t xml:space="preserve"> </w:t>
      </w:r>
      <w:r w:rsidR="00F90452">
        <w:rPr>
          <w:sz w:val="28"/>
          <w:szCs w:val="28"/>
        </w:rPr>
        <w:t xml:space="preserve">urządzeń do zabezpieczenia brzegu sieci oraz wewnętrznej segmentacji sieci wraz z </w:t>
      </w:r>
      <w:bookmarkStart w:id="0" w:name="_GoBack"/>
      <w:bookmarkEnd w:id="0"/>
      <w:r w:rsidR="00F90452">
        <w:rPr>
          <w:sz w:val="28"/>
          <w:szCs w:val="28"/>
        </w:rPr>
        <w:t>niezbędnym oprogramowaniem do analizy ruchu sieciowego.</w:t>
      </w:r>
    </w:p>
    <w:p w:rsidR="00B400C6" w:rsidRDefault="00B400C6"/>
    <w:tbl>
      <w:tblPr>
        <w:tblStyle w:val="Tabela-Siatka"/>
        <w:tblW w:w="7065" w:type="dxa"/>
        <w:tblInd w:w="0" w:type="dxa"/>
        <w:tblLook w:val="04A0" w:firstRow="1" w:lastRow="0" w:firstColumn="1" w:lastColumn="0" w:noHBand="0" w:noVBand="1"/>
      </w:tblPr>
      <w:tblGrid>
        <w:gridCol w:w="681"/>
        <w:gridCol w:w="5268"/>
        <w:gridCol w:w="1116"/>
      </w:tblGrid>
      <w:tr w:rsidR="00D363BF" w:rsidRPr="00EC4D51" w:rsidTr="00D363BF">
        <w:tc>
          <w:tcPr>
            <w:tcW w:w="681" w:type="dxa"/>
          </w:tcPr>
          <w:p w:rsidR="00D363BF" w:rsidRPr="00EC4D51" w:rsidRDefault="00D363BF" w:rsidP="00DB1EFC">
            <w:pPr>
              <w:rPr>
                <w:sz w:val="24"/>
                <w:szCs w:val="28"/>
              </w:rPr>
            </w:pPr>
          </w:p>
        </w:tc>
        <w:tc>
          <w:tcPr>
            <w:tcW w:w="5268" w:type="dxa"/>
          </w:tcPr>
          <w:p w:rsidR="00D363BF" w:rsidRPr="00EC4D51" w:rsidRDefault="00D363BF" w:rsidP="00DB1EFC">
            <w:pPr>
              <w:rPr>
                <w:sz w:val="24"/>
                <w:szCs w:val="28"/>
              </w:rPr>
            </w:pPr>
            <w:r w:rsidRPr="00EC4D51">
              <w:rPr>
                <w:sz w:val="24"/>
                <w:szCs w:val="28"/>
              </w:rPr>
              <w:t>Nazwa</w:t>
            </w:r>
          </w:p>
        </w:tc>
        <w:tc>
          <w:tcPr>
            <w:tcW w:w="1116" w:type="dxa"/>
          </w:tcPr>
          <w:p w:rsidR="00D363BF" w:rsidRPr="00EC4D51" w:rsidRDefault="00D363BF" w:rsidP="00DB1EFC">
            <w:pPr>
              <w:jc w:val="center"/>
              <w:rPr>
                <w:sz w:val="24"/>
                <w:szCs w:val="28"/>
              </w:rPr>
            </w:pPr>
            <w:r w:rsidRPr="00EC4D51">
              <w:rPr>
                <w:sz w:val="24"/>
                <w:szCs w:val="28"/>
              </w:rPr>
              <w:t>Ilość [szt.]</w:t>
            </w:r>
          </w:p>
        </w:tc>
      </w:tr>
      <w:tr w:rsidR="00D363BF" w:rsidRPr="00EC4D51" w:rsidTr="00D363BF">
        <w:tc>
          <w:tcPr>
            <w:tcW w:w="681" w:type="dxa"/>
          </w:tcPr>
          <w:p w:rsidR="00D363BF" w:rsidRPr="00EC4D51" w:rsidRDefault="00D363BF" w:rsidP="00B400C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5268" w:type="dxa"/>
          </w:tcPr>
          <w:p w:rsidR="00D363BF" w:rsidRPr="00EC4D51" w:rsidRDefault="00D363BF" w:rsidP="00DB1EFC">
            <w:pPr>
              <w:rPr>
                <w:sz w:val="24"/>
                <w:szCs w:val="28"/>
              </w:rPr>
            </w:pPr>
            <w:r w:rsidRPr="00EC4D51">
              <w:rPr>
                <w:sz w:val="24"/>
                <w:szCs w:val="28"/>
              </w:rPr>
              <w:t>Urządzenie do zabezpieczenia brzegu sieci oraz wewnętrznej segmentacji sieci</w:t>
            </w:r>
          </w:p>
        </w:tc>
        <w:tc>
          <w:tcPr>
            <w:tcW w:w="1116" w:type="dxa"/>
          </w:tcPr>
          <w:p w:rsidR="00D363BF" w:rsidRPr="00EC4D51" w:rsidRDefault="00D363BF" w:rsidP="00DB1EFC">
            <w:pPr>
              <w:jc w:val="center"/>
              <w:rPr>
                <w:sz w:val="24"/>
                <w:szCs w:val="28"/>
              </w:rPr>
            </w:pPr>
            <w:r w:rsidRPr="00EC4D51">
              <w:rPr>
                <w:sz w:val="24"/>
                <w:szCs w:val="28"/>
              </w:rPr>
              <w:t>4</w:t>
            </w:r>
          </w:p>
        </w:tc>
      </w:tr>
      <w:tr w:rsidR="00D363BF" w:rsidRPr="00EC4D51" w:rsidTr="00D363BF">
        <w:tc>
          <w:tcPr>
            <w:tcW w:w="681" w:type="dxa"/>
          </w:tcPr>
          <w:p w:rsidR="00D363BF" w:rsidRPr="00EC4D51" w:rsidRDefault="00D363BF" w:rsidP="00B400C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5268" w:type="dxa"/>
          </w:tcPr>
          <w:p w:rsidR="00D363BF" w:rsidRPr="00EC4D51" w:rsidRDefault="00D363BF" w:rsidP="00EC4D51">
            <w:pPr>
              <w:rPr>
                <w:sz w:val="24"/>
                <w:szCs w:val="28"/>
              </w:rPr>
            </w:pPr>
            <w:r w:rsidRPr="00EC4D51">
              <w:rPr>
                <w:sz w:val="24"/>
                <w:szCs w:val="28"/>
              </w:rPr>
              <w:t xml:space="preserve">Wkładki SFP+ kompatybilne z </w:t>
            </w:r>
            <w:r>
              <w:rPr>
                <w:sz w:val="24"/>
                <w:szCs w:val="28"/>
              </w:rPr>
              <w:t>dostarczanymi urządzeniami</w:t>
            </w:r>
          </w:p>
        </w:tc>
        <w:tc>
          <w:tcPr>
            <w:tcW w:w="1116" w:type="dxa"/>
          </w:tcPr>
          <w:p w:rsidR="00D363BF" w:rsidRPr="00EC4D51" w:rsidRDefault="00D363BF" w:rsidP="00DB1EFC">
            <w:pPr>
              <w:jc w:val="center"/>
              <w:rPr>
                <w:sz w:val="24"/>
                <w:szCs w:val="28"/>
              </w:rPr>
            </w:pPr>
            <w:r w:rsidRPr="00EC4D51">
              <w:rPr>
                <w:sz w:val="24"/>
                <w:szCs w:val="28"/>
              </w:rPr>
              <w:t>10</w:t>
            </w:r>
          </w:p>
        </w:tc>
      </w:tr>
      <w:tr w:rsidR="00D363BF" w:rsidRPr="00EC4D51" w:rsidTr="00D363BF">
        <w:tc>
          <w:tcPr>
            <w:tcW w:w="681" w:type="dxa"/>
          </w:tcPr>
          <w:p w:rsidR="00D363BF" w:rsidRPr="00EC4D51" w:rsidRDefault="00D363BF" w:rsidP="0059476F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5268" w:type="dxa"/>
          </w:tcPr>
          <w:p w:rsidR="00D363BF" w:rsidRPr="00EC4D51" w:rsidRDefault="00D363BF" w:rsidP="0059476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System</w:t>
            </w:r>
            <w:r w:rsidRPr="00EC4D51">
              <w:rPr>
                <w:sz w:val="24"/>
                <w:szCs w:val="28"/>
              </w:rPr>
              <w:t xml:space="preserve"> do uwierzytelniania logowania</w:t>
            </w:r>
            <w:r>
              <w:rPr>
                <w:sz w:val="24"/>
                <w:szCs w:val="28"/>
              </w:rPr>
              <w:t xml:space="preserve"> do</w:t>
            </w:r>
            <w:r w:rsidRPr="00EC4D51">
              <w:rPr>
                <w:sz w:val="24"/>
                <w:szCs w:val="28"/>
              </w:rPr>
              <w:t xml:space="preserve"> urządzania sieciowego opisanego w poz. 1 na 100 użytkowników wraz ze wsparciem</w:t>
            </w:r>
          </w:p>
        </w:tc>
        <w:tc>
          <w:tcPr>
            <w:tcW w:w="1116" w:type="dxa"/>
          </w:tcPr>
          <w:p w:rsidR="00D363BF" w:rsidRPr="00EC4D51" w:rsidRDefault="00D363BF" w:rsidP="0059476F">
            <w:pPr>
              <w:jc w:val="center"/>
              <w:rPr>
                <w:sz w:val="24"/>
                <w:szCs w:val="28"/>
              </w:rPr>
            </w:pPr>
            <w:r w:rsidRPr="00EC4D51">
              <w:rPr>
                <w:sz w:val="24"/>
                <w:szCs w:val="28"/>
              </w:rPr>
              <w:t>1</w:t>
            </w:r>
          </w:p>
        </w:tc>
      </w:tr>
      <w:tr w:rsidR="00D363BF" w:rsidRPr="00EC4D51" w:rsidTr="00D363BF">
        <w:tc>
          <w:tcPr>
            <w:tcW w:w="681" w:type="dxa"/>
          </w:tcPr>
          <w:p w:rsidR="00D363BF" w:rsidRPr="00EC4D51" w:rsidRDefault="00D363BF" w:rsidP="00B400C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5268" w:type="dxa"/>
          </w:tcPr>
          <w:p w:rsidR="00D363BF" w:rsidRDefault="00D363BF" w:rsidP="00EC4D5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Rozbudowa posiadanego przez Zamawiającego systemu do zbierania i analizy logów </w:t>
            </w:r>
            <w:proofErr w:type="spellStart"/>
            <w:r w:rsidRPr="00EC4D51">
              <w:rPr>
                <w:sz w:val="24"/>
                <w:szCs w:val="28"/>
              </w:rPr>
              <w:t>FortiAnalyzer</w:t>
            </w:r>
            <w:proofErr w:type="spellEnd"/>
            <w:r>
              <w:rPr>
                <w:sz w:val="24"/>
                <w:szCs w:val="28"/>
              </w:rPr>
              <w:t xml:space="preserve"> o numerze seryjnym: FAZ-VM0000069622</w:t>
            </w:r>
            <w:r w:rsidRPr="00EC4D51">
              <w:rPr>
                <w:sz w:val="24"/>
                <w:szCs w:val="28"/>
              </w:rPr>
              <w:t xml:space="preserve"> </w:t>
            </w:r>
          </w:p>
          <w:p w:rsidR="00D363BF" w:rsidRDefault="00D363BF" w:rsidP="00EC4D5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(licencja na </w:t>
            </w:r>
            <w:r w:rsidRPr="00EC4D51">
              <w:rPr>
                <w:sz w:val="24"/>
                <w:szCs w:val="28"/>
              </w:rPr>
              <w:t>dodatkowe 30GB logów/dzień</w:t>
            </w:r>
            <w:r>
              <w:rPr>
                <w:sz w:val="24"/>
                <w:szCs w:val="28"/>
              </w:rPr>
              <w:t>).</w:t>
            </w:r>
          </w:p>
          <w:p w:rsidR="00D363BF" w:rsidRPr="00EC4D51" w:rsidRDefault="00D363BF" w:rsidP="00EC4D5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dostarczane urządzenia muszą być włączone do użytkowanego systemu analizy logów.</w:t>
            </w:r>
          </w:p>
        </w:tc>
        <w:tc>
          <w:tcPr>
            <w:tcW w:w="1116" w:type="dxa"/>
          </w:tcPr>
          <w:p w:rsidR="00D363BF" w:rsidRPr="00EC4D51" w:rsidRDefault="00D363BF" w:rsidP="00DB1EFC">
            <w:pPr>
              <w:jc w:val="center"/>
              <w:rPr>
                <w:sz w:val="24"/>
                <w:szCs w:val="28"/>
              </w:rPr>
            </w:pPr>
            <w:r w:rsidRPr="00EC4D51">
              <w:rPr>
                <w:sz w:val="24"/>
                <w:szCs w:val="28"/>
              </w:rPr>
              <w:t>1</w:t>
            </w:r>
          </w:p>
        </w:tc>
      </w:tr>
    </w:tbl>
    <w:p w:rsidR="00B400C6" w:rsidRDefault="00B400C6"/>
    <w:p w:rsidR="00B400C6" w:rsidRDefault="00B400C6"/>
    <w:p w:rsidR="00B400C6" w:rsidRPr="00096D21" w:rsidRDefault="00096D21">
      <w:pPr>
        <w:rPr>
          <w:b/>
          <w:u w:val="single"/>
        </w:rPr>
      </w:pPr>
      <w:r w:rsidRPr="00096D21">
        <w:rPr>
          <w:b/>
          <w:u w:val="single"/>
        </w:rPr>
        <w:t>Opis</w:t>
      </w:r>
      <w:r w:rsidR="00B400C6" w:rsidRPr="00096D21">
        <w:rPr>
          <w:b/>
          <w:u w:val="single"/>
        </w:rPr>
        <w:t xml:space="preserve"> pozycji 1: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506"/>
        <w:gridCol w:w="3556"/>
      </w:tblGrid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r w:rsidRPr="002778DF">
              <w:t>Zakup urządzenia do zabezpieczenia brzegu sieci oraz wewnętrznej segmentacji sieci – wymagane parametry:</w:t>
            </w:r>
          </w:p>
        </w:tc>
        <w:tc>
          <w:tcPr>
            <w:tcW w:w="3556" w:type="dxa"/>
          </w:tcPr>
          <w:p w:rsidR="002778DF" w:rsidRPr="002778DF" w:rsidRDefault="002778DF" w:rsidP="007E5201">
            <w:r>
              <w:t>Posiadanie wymaganego parametru TAK/NIE (zaznaczenie odpowiedzi NIE powoduje odrzucenie oferty)</w:t>
            </w: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Bezodstpw"/>
              <w:numPr>
                <w:ilvl w:val="0"/>
                <w:numId w:val="10"/>
              </w:numPr>
            </w:pPr>
            <w:r w:rsidRPr="002778DF">
              <w:t>Liczba portów: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Bezodstpw"/>
              <w:ind w:left="360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Bezodstpw"/>
              <w:numPr>
                <w:ilvl w:val="0"/>
                <w:numId w:val="12"/>
              </w:numPr>
              <w:rPr>
                <w:lang w:val="en-US"/>
              </w:rPr>
            </w:pPr>
            <w:proofErr w:type="spellStart"/>
            <w:r w:rsidRPr="002778DF">
              <w:rPr>
                <w:lang w:val="en-US"/>
              </w:rPr>
              <w:t>Interfejs</w:t>
            </w:r>
            <w:proofErr w:type="spellEnd"/>
            <w:r w:rsidRPr="002778DF">
              <w:rPr>
                <w:lang w:val="en-US"/>
              </w:rPr>
              <w:t xml:space="preserve"> GE RJ45 minimum 10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Bezodstpw"/>
              <w:rPr>
                <w:lang w:val="en-US"/>
              </w:rPr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Bezodstpw"/>
              <w:numPr>
                <w:ilvl w:val="0"/>
                <w:numId w:val="12"/>
              </w:numPr>
              <w:rPr>
                <w:lang w:val="en-US"/>
              </w:rPr>
            </w:pPr>
            <w:proofErr w:type="spellStart"/>
            <w:r w:rsidRPr="002778DF">
              <w:rPr>
                <w:lang w:val="en-US"/>
              </w:rPr>
              <w:t>Interfejs</w:t>
            </w:r>
            <w:proofErr w:type="spellEnd"/>
            <w:r w:rsidRPr="002778DF">
              <w:rPr>
                <w:lang w:val="en-US"/>
              </w:rPr>
              <w:t xml:space="preserve"> SFP 1 Gbps minimum 8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Bezodstpw"/>
              <w:ind w:left="708"/>
              <w:rPr>
                <w:lang w:val="en-US"/>
              </w:rPr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Bezodstpw"/>
              <w:numPr>
                <w:ilvl w:val="0"/>
                <w:numId w:val="12"/>
              </w:numPr>
            </w:pPr>
            <w:r w:rsidRPr="002778DF">
              <w:t>Interfejs 10GE SFP+ o niskim opóźnieniu pakietów (</w:t>
            </w:r>
            <w:proofErr w:type="spellStart"/>
            <w:r w:rsidRPr="002778DF">
              <w:t>Low</w:t>
            </w:r>
            <w:proofErr w:type="spellEnd"/>
            <w:r w:rsidRPr="002778DF">
              <w:t xml:space="preserve"> </w:t>
            </w:r>
            <w:proofErr w:type="spellStart"/>
            <w:r w:rsidRPr="002778DF">
              <w:t>Latency</w:t>
            </w:r>
            <w:proofErr w:type="spellEnd"/>
            <w:r w:rsidRPr="002778DF">
              <w:t xml:space="preserve">) minimum 4 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Bezodstpw"/>
              <w:ind w:left="708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Bezodstpw"/>
              <w:numPr>
                <w:ilvl w:val="0"/>
                <w:numId w:val="12"/>
              </w:numPr>
            </w:pPr>
            <w:r w:rsidRPr="002778DF">
              <w:t>Interfejs 10GE SFP+ minimum 4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Bezodstpw"/>
              <w:ind w:left="708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Bezodstpw"/>
              <w:numPr>
                <w:ilvl w:val="0"/>
                <w:numId w:val="12"/>
              </w:numPr>
            </w:pPr>
            <w:r w:rsidRPr="002778DF">
              <w:t>Interfejs zarządzający GE RJ45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Bezodstpw"/>
              <w:ind w:left="708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Bezodstpw"/>
              <w:numPr>
                <w:ilvl w:val="0"/>
                <w:numId w:val="12"/>
              </w:numPr>
            </w:pPr>
            <w:r w:rsidRPr="002778DF">
              <w:t>Port USB minimum 1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Bezodstpw"/>
              <w:ind w:left="708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Bezodstpw"/>
              <w:numPr>
                <w:ilvl w:val="0"/>
                <w:numId w:val="12"/>
              </w:numPr>
            </w:pPr>
            <w:r w:rsidRPr="002778DF">
              <w:t>Port konsolowy RJ45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Bezodstpw"/>
              <w:ind w:left="708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 w:rsidRPr="002778DF">
              <w:t xml:space="preserve">Redundantne zasilacze minimum 2 sztuki  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ind w:left="360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 w:rsidRPr="002778DF">
              <w:t>Możliwość pracy w klastrze Active-Active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 w:rsidRPr="002778DF">
              <w:t xml:space="preserve">Opóźnienie pakietów przez </w:t>
            </w:r>
            <w:proofErr w:type="spellStart"/>
            <w:r w:rsidRPr="002778DF">
              <w:t>firewalla</w:t>
            </w:r>
            <w:proofErr w:type="spellEnd"/>
            <w:r w:rsidRPr="002778DF">
              <w:t xml:space="preserve"> niższe niż 4,5μs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 w:rsidRPr="002778DF">
              <w:t>Przepustowość silnika IPS minimum 12Gbps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 w:rsidRPr="002778DF">
              <w:t xml:space="preserve">Przepustowość NGFW minimum 10 </w:t>
            </w:r>
            <w:proofErr w:type="spellStart"/>
            <w:r w:rsidRPr="002778DF">
              <w:t>Gbps</w:t>
            </w:r>
            <w:proofErr w:type="spellEnd"/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 w:rsidRPr="002778DF">
              <w:t xml:space="preserve">Przepustowość ochrony przed zagrożeniami minimum  9 </w:t>
            </w:r>
            <w:proofErr w:type="spellStart"/>
            <w:r w:rsidRPr="002778DF">
              <w:t>Gbps</w:t>
            </w:r>
            <w:proofErr w:type="spellEnd"/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 w:rsidRPr="002778DF">
              <w:t xml:space="preserve">Przepustowość zapory sieciowej dla IPv4 minimum (1518 / 512 / 64 </w:t>
            </w:r>
            <w:proofErr w:type="spellStart"/>
            <w:r w:rsidRPr="002778DF">
              <w:t>byte</w:t>
            </w:r>
            <w:proofErr w:type="spellEnd"/>
            <w:r w:rsidRPr="002778DF">
              <w:t xml:space="preserve">, UDP) 79,5 / 78,5 / 70 </w:t>
            </w:r>
            <w:proofErr w:type="spellStart"/>
            <w:r w:rsidRPr="002778DF">
              <w:t>Gbps</w:t>
            </w:r>
            <w:proofErr w:type="spellEnd"/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 w:rsidRPr="002778DF">
              <w:lastRenderedPageBreak/>
              <w:t xml:space="preserve">Przepustowość zapory sieciowej (pakietów na sekundę) więcej niż 105 </w:t>
            </w:r>
            <w:proofErr w:type="spellStart"/>
            <w:r w:rsidRPr="002778DF">
              <w:t>Mpps</w:t>
            </w:r>
            <w:proofErr w:type="spellEnd"/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 w:rsidRPr="002778DF">
              <w:t>Ilość aktywnych sesji TCP więcej niż 7,8mln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 w:rsidRPr="002778DF">
              <w:t>Ilość polityk bezpieczeństwa możliwych do skonfigurowania więcej niż 5tys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 w:rsidRPr="002778DF">
              <w:t>Silniki bezpieczeństwa obsługiwane przez urządzenie: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066" w:hanging="357"/>
              <w:rPr>
                <w:lang w:val="en-US"/>
              </w:rPr>
            </w:pPr>
            <w:r w:rsidRPr="002778DF">
              <w:rPr>
                <w:lang w:val="en-US"/>
              </w:rPr>
              <w:t xml:space="preserve">IPS 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ind w:left="1066"/>
              <w:rPr>
                <w:lang w:val="en-US"/>
              </w:rPr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066" w:hanging="357"/>
              <w:rPr>
                <w:lang w:val="en-US"/>
              </w:rPr>
            </w:pPr>
            <w:r w:rsidRPr="002778DF">
              <w:rPr>
                <w:lang w:val="en-US"/>
              </w:rPr>
              <w:t>Antivirus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ind w:left="1066"/>
              <w:rPr>
                <w:lang w:val="en-US"/>
              </w:rPr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066" w:hanging="357"/>
              <w:rPr>
                <w:lang w:val="en-US"/>
              </w:rPr>
            </w:pPr>
            <w:r w:rsidRPr="002778DF">
              <w:rPr>
                <w:lang w:val="en-US"/>
              </w:rPr>
              <w:t>DNS Filtering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ind w:left="1066"/>
              <w:rPr>
                <w:lang w:val="en-US"/>
              </w:rPr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066" w:hanging="357"/>
              <w:rPr>
                <w:lang w:val="en-US"/>
              </w:rPr>
            </w:pPr>
            <w:r w:rsidRPr="002778DF">
              <w:rPr>
                <w:lang w:val="en-US"/>
              </w:rPr>
              <w:t>WEB Filtering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ind w:left="1066"/>
              <w:rPr>
                <w:lang w:val="en-US"/>
              </w:rPr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066" w:hanging="357"/>
              <w:rPr>
                <w:lang w:val="en-US"/>
              </w:rPr>
            </w:pPr>
            <w:r w:rsidRPr="002778DF">
              <w:rPr>
                <w:lang w:val="en-US"/>
              </w:rPr>
              <w:t>Application Control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ind w:left="1066"/>
              <w:rPr>
                <w:lang w:val="en-US"/>
              </w:rPr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066" w:hanging="357"/>
              <w:rPr>
                <w:lang w:val="en-US"/>
              </w:rPr>
            </w:pPr>
            <w:r w:rsidRPr="002778DF">
              <w:rPr>
                <w:lang w:val="en-US"/>
              </w:rPr>
              <w:t>File Filter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ind w:left="1066"/>
              <w:rPr>
                <w:lang w:val="en-US"/>
              </w:rPr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066" w:hanging="357"/>
              <w:rPr>
                <w:lang w:val="en-US"/>
              </w:rPr>
            </w:pPr>
            <w:r w:rsidRPr="002778DF">
              <w:rPr>
                <w:lang w:val="en-US"/>
              </w:rPr>
              <w:t>WAF (Web Application Firewall)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ind w:left="1066"/>
              <w:rPr>
                <w:lang w:val="en-US"/>
              </w:rPr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066" w:hanging="357"/>
            </w:pPr>
            <w:r w:rsidRPr="002778DF">
              <w:t xml:space="preserve">SSL </w:t>
            </w:r>
            <w:proofErr w:type="spellStart"/>
            <w:r w:rsidRPr="002778DF">
              <w:t>Inspection</w:t>
            </w:r>
            <w:proofErr w:type="spellEnd"/>
            <w:r w:rsidRPr="002778DF">
              <w:t xml:space="preserve"> w czasie rzeczywistym również dla TLS 1.3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ind w:left="1066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 w:rsidRPr="002778DF">
              <w:t>System musi zapewniać wykrywanie anomalii protokołów i ruchu sieciowego oraz zapewnienie podstawowej ochrony przed atakami typu DDOS, DOS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 w:rsidRPr="002778DF">
              <w:t xml:space="preserve">Przepustowość silnika SSL </w:t>
            </w:r>
            <w:proofErr w:type="spellStart"/>
            <w:r w:rsidRPr="002778DF">
              <w:t>Inspection</w:t>
            </w:r>
            <w:proofErr w:type="spellEnd"/>
            <w:r w:rsidRPr="002778DF">
              <w:t xml:space="preserve"> minimum  8Gbps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 w:rsidRPr="002778DF">
              <w:t xml:space="preserve">Przepustowość silnika kontroli aplikacji (HTTP 64K) minimum 28 </w:t>
            </w:r>
            <w:proofErr w:type="spellStart"/>
            <w:r w:rsidRPr="002778DF">
              <w:t>Gbps</w:t>
            </w:r>
            <w:proofErr w:type="spellEnd"/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 w:rsidRPr="002778DF">
              <w:t>Obsługa SSL-VPN oraz IPSEC VPN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 w:rsidRPr="002778DF">
              <w:t>Przepustowość SSL-VPN więcej niż 3,6Gbps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 w:rsidRPr="002778DF">
              <w:t xml:space="preserve">Przepustowość szyfrowania </w:t>
            </w:r>
            <w:proofErr w:type="spellStart"/>
            <w:r w:rsidRPr="002778DF">
              <w:t>IPsec</w:t>
            </w:r>
            <w:proofErr w:type="spellEnd"/>
            <w:r w:rsidRPr="002778DF">
              <w:t xml:space="preserve"> VPN minimum 55Gbps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 w:rsidRPr="002778DF">
              <w:t>Ilość aktywnych użytkowników SSL-VPN minimum 5tys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 w:rsidRPr="002778DF">
              <w:t xml:space="preserve">Tunele VPN </w:t>
            </w:r>
            <w:proofErr w:type="spellStart"/>
            <w:r w:rsidRPr="002778DF">
              <w:t>IPsec</w:t>
            </w:r>
            <w:proofErr w:type="spellEnd"/>
            <w:r w:rsidRPr="002778DF">
              <w:t>: Wsparcie dla IKE v2, obsługa AES 128 i 256, protokół DH minimum grupa 14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ind w:left="360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 w:rsidRPr="002778DF">
              <w:t>Obsługa SD-WAN: dynamiczny routing przy konfiguracji równoważenia obciążenia łączy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ind w:left="360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 w:rsidRPr="002778DF">
              <w:t>Obsługa protokołów routingu dynamicznego takich jak BGP, OSPF, RIP.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lang w:val="en-US"/>
              </w:rPr>
            </w:pPr>
            <w:r w:rsidRPr="002778DF">
              <w:rPr>
                <w:lang w:val="en-US"/>
              </w:rPr>
              <w:t xml:space="preserve">Traffic-Shaping – </w:t>
            </w:r>
            <w:proofErr w:type="spellStart"/>
            <w:r w:rsidRPr="002778DF">
              <w:rPr>
                <w:lang w:val="en-US"/>
              </w:rPr>
              <w:t>możliwość</w:t>
            </w:r>
            <w:proofErr w:type="spellEnd"/>
            <w:r w:rsidRPr="002778DF">
              <w:rPr>
                <w:lang w:val="en-US"/>
              </w:rPr>
              <w:t xml:space="preserve"> </w:t>
            </w:r>
            <w:proofErr w:type="spellStart"/>
            <w:r w:rsidRPr="002778DF">
              <w:rPr>
                <w:lang w:val="en-US"/>
              </w:rPr>
              <w:t>konfiguracji</w:t>
            </w:r>
            <w:proofErr w:type="spellEnd"/>
            <w:r w:rsidRPr="002778DF">
              <w:rPr>
                <w:lang w:val="en-US"/>
              </w:rPr>
              <w:t xml:space="preserve"> QOS (Quality of Service)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rPr>
                <w:lang w:val="en-US"/>
              </w:rPr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lang w:val="en-US"/>
              </w:rPr>
            </w:pPr>
            <w:proofErr w:type="spellStart"/>
            <w:r w:rsidRPr="002778DF">
              <w:rPr>
                <w:lang w:val="en-US"/>
              </w:rPr>
              <w:t>Wbudowany</w:t>
            </w:r>
            <w:proofErr w:type="spellEnd"/>
            <w:r w:rsidRPr="002778DF">
              <w:rPr>
                <w:lang w:val="en-US"/>
              </w:rPr>
              <w:t xml:space="preserve"> Load Balancer 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rPr>
                <w:lang w:val="en-US"/>
              </w:rPr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 w:rsidRPr="002778DF">
              <w:t>Możliwość translacji adresów NAT, PAT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 w:rsidRPr="002778DF">
              <w:t>Parametry techniczne urządzenia: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14"/>
              </w:numPr>
              <w:spacing w:after="0" w:line="240" w:lineRule="auto"/>
            </w:pPr>
            <w:r w:rsidRPr="002778DF">
              <w:t>Zasilanie: 100–240V AC, 50/60Hz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ind w:left="1080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14"/>
              </w:numPr>
              <w:spacing w:after="0" w:line="240" w:lineRule="auto"/>
            </w:pPr>
            <w:r w:rsidRPr="002778DF">
              <w:t>Temperaturowy zakres pracy: od 0°C do 40°C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ind w:left="1080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14"/>
              </w:numPr>
              <w:spacing w:after="0" w:line="240" w:lineRule="auto"/>
            </w:pPr>
            <w:r w:rsidRPr="002778DF">
              <w:t>Pracy przy wilgotność powietrza: od 5% do 90%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ind w:left="1080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14"/>
              </w:numPr>
              <w:spacing w:after="0" w:line="240" w:lineRule="auto"/>
            </w:pPr>
            <w:r w:rsidRPr="002778DF">
              <w:t>Przepływ powietrza: przód-tył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ind w:left="1080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14"/>
              </w:numPr>
              <w:spacing w:after="0" w:line="240" w:lineRule="auto"/>
            </w:pPr>
            <w:r w:rsidRPr="002778DF">
              <w:t>Urządzenie montowane do szafy RACK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ind w:left="1080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 w:rsidRPr="002778DF">
              <w:t>Licencje zapewniające działanie wyżej opisanych funkcjonalności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 w:rsidRPr="002778DF">
              <w:lastRenderedPageBreak/>
              <w:t>Wsparcie 3-letnie świadczone co najmniej w trybie 8/5 bezpośrednio przez producenta i/lub przy współpracy z autoryzowanym partnerem producenta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 w:rsidRPr="002778DF">
              <w:t>Firma serwisująca musi posiadać ISO 9001:2008 na świadczenie usług serwisowych oraz posiadać autoryzacje producenta urządzeń – dokumenty potwierdzające należy załączyć do oferty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 w:rsidRPr="002778DF">
              <w:t>Wymagane dołączenie do oferty oświadczenia Producenta potwierdzające, że Serwis urządzeń będzie realizowany bezpośrednio przez Producenta i/lub we współpracy z Autoryzowanym Partnerem Serwisowym Producenta.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 w:rsidRPr="002778DF">
              <w:rPr>
                <w:bCs/>
              </w:rPr>
              <w:t>Produkt musi być fabrycznie nowy i dostarczony przez autoryzowany kanał sprzedaży producenta na terenie kraju.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rPr>
                <w:bCs/>
              </w:rPr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 w:rsidRPr="002778DF">
              <w:t>Wykonawca wraz z dostawą przełączników przedstawi oświadczenie producenta przełączników, które będzie potwierdzało, że przełączniki objęta są gwarancją na terenie Polski zgodną z wymaganiami Zamawiającego. Oświadczenie to musi zawierać informację o nr seryjnych przełączników, nr katalogowych przełączników, dane wykonawcy oraz dane klienta końcowego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 w:rsidRPr="002778DF">
              <w:t xml:space="preserve">Wykonawca wraz z dostawą przełączników przeprowadzi wdrożenie obejmujące: 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1"/>
                <w:numId w:val="9"/>
              </w:numPr>
              <w:spacing w:after="0" w:line="240" w:lineRule="auto"/>
            </w:pPr>
            <w:r w:rsidRPr="002778DF">
              <w:t xml:space="preserve">Konfiguracja klastra Active-Active na brzegu sieci, konfiguracja na każdym z urządzeń po jednym z operatorów ISP (routing BGP) wraz z odpowiednimi politykami WAN oraz politykami bezpieczeństwa. Migracja oraz odpowiednia konfiguracja wskazanych przez Zamawiającego </w:t>
            </w:r>
            <w:proofErr w:type="spellStart"/>
            <w:r w:rsidRPr="002778DF">
              <w:t>Vlanów</w:t>
            </w:r>
            <w:proofErr w:type="spellEnd"/>
            <w:r w:rsidRPr="002778DF">
              <w:t xml:space="preserve"> do wcześniej skonfigurowanego klastra. 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ind w:left="1440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1"/>
                <w:numId w:val="9"/>
              </w:numPr>
              <w:spacing w:after="0" w:line="240" w:lineRule="auto"/>
            </w:pPr>
            <w:r w:rsidRPr="002778DF">
              <w:t xml:space="preserve">W drugim etapie migracja konfiguracji oraz wszystkich polityk bezpieczeństwa z aktualnie posiadanego przez Zamawiającego klastra urządzeń </w:t>
            </w:r>
            <w:proofErr w:type="spellStart"/>
            <w:r w:rsidRPr="002778DF">
              <w:t>Fortigate</w:t>
            </w:r>
            <w:proofErr w:type="spellEnd"/>
            <w:r w:rsidRPr="002778DF">
              <w:t xml:space="preserve"> 501e na nowo zakupione urządzenia. Podłączenie sieciowe z przełącznikami rdzeniowymi za pomocą protokołu LACP. 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ind w:left="1440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1"/>
                <w:numId w:val="9"/>
              </w:numPr>
              <w:spacing w:after="0" w:line="240" w:lineRule="auto"/>
            </w:pPr>
            <w:r w:rsidRPr="002778DF">
              <w:t>Inżynier realizujący wdrożenie musi posiadać certyfikat techniczny wydany przez producenta urządzeń.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ind w:left="1440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/>
        </w:tc>
        <w:tc>
          <w:tcPr>
            <w:tcW w:w="3556" w:type="dxa"/>
          </w:tcPr>
          <w:p w:rsidR="002778DF" w:rsidRPr="002778DF" w:rsidRDefault="002778DF" w:rsidP="007E5201"/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rPr>
                <w:b/>
                <w:u w:val="single"/>
              </w:rPr>
            </w:pPr>
            <w:r w:rsidRPr="002778DF">
              <w:rPr>
                <w:b/>
                <w:u w:val="single"/>
              </w:rPr>
              <w:t>Opis pozycji 3:</w:t>
            </w:r>
          </w:p>
        </w:tc>
        <w:tc>
          <w:tcPr>
            <w:tcW w:w="3556" w:type="dxa"/>
          </w:tcPr>
          <w:p w:rsidR="002778DF" w:rsidRPr="002778DF" w:rsidRDefault="002778DF" w:rsidP="007E5201">
            <w:pPr>
              <w:rPr>
                <w:b/>
                <w:u w:val="single"/>
              </w:rPr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r w:rsidRPr="002778DF">
              <w:t>System musi obsługiwać co najmniej:</w:t>
            </w:r>
          </w:p>
        </w:tc>
        <w:tc>
          <w:tcPr>
            <w:tcW w:w="3556" w:type="dxa"/>
          </w:tcPr>
          <w:p w:rsidR="002778DF" w:rsidRPr="002778DF" w:rsidRDefault="002778DF" w:rsidP="007E5201"/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r w:rsidRPr="002778DF">
              <w:t>•</w:t>
            </w:r>
            <w:r w:rsidRPr="002778DF">
              <w:tab/>
              <w:t>Uwierzytelnianie dla 100 użytkowników.</w:t>
            </w:r>
          </w:p>
        </w:tc>
        <w:tc>
          <w:tcPr>
            <w:tcW w:w="3556" w:type="dxa"/>
          </w:tcPr>
          <w:p w:rsidR="002778DF" w:rsidRPr="002778DF" w:rsidRDefault="002778DF" w:rsidP="007E5201"/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r w:rsidRPr="002778DF">
              <w:t>•</w:t>
            </w:r>
            <w:r w:rsidRPr="002778DF">
              <w:tab/>
              <w:t xml:space="preserve">200 </w:t>
            </w:r>
            <w:proofErr w:type="spellStart"/>
            <w:r w:rsidRPr="002778DF">
              <w:t>tokenów</w:t>
            </w:r>
            <w:proofErr w:type="spellEnd"/>
            <w:r w:rsidRPr="002778DF">
              <w:t xml:space="preserve"> dla uwierzytelniania dwuskładnikowego.</w:t>
            </w:r>
          </w:p>
        </w:tc>
        <w:tc>
          <w:tcPr>
            <w:tcW w:w="3556" w:type="dxa"/>
          </w:tcPr>
          <w:p w:rsidR="002778DF" w:rsidRPr="002778DF" w:rsidRDefault="002778DF" w:rsidP="007E5201"/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r w:rsidRPr="002778DF">
              <w:lastRenderedPageBreak/>
              <w:t>•</w:t>
            </w:r>
            <w:r w:rsidRPr="002778DF">
              <w:tab/>
              <w:t>30 klientów protokołu RADIUS (urządzeń NAS, które można podpiąć do systemu).</w:t>
            </w:r>
          </w:p>
        </w:tc>
        <w:tc>
          <w:tcPr>
            <w:tcW w:w="3556" w:type="dxa"/>
          </w:tcPr>
          <w:p w:rsidR="002778DF" w:rsidRPr="002778DF" w:rsidRDefault="002778DF" w:rsidP="007E5201"/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r w:rsidRPr="002778DF">
              <w:t>•</w:t>
            </w:r>
            <w:r w:rsidRPr="002778DF">
              <w:tab/>
              <w:t>Możliwość zdefiniowania co najmniej 10 grup użytkowników,</w:t>
            </w:r>
          </w:p>
        </w:tc>
        <w:tc>
          <w:tcPr>
            <w:tcW w:w="3556" w:type="dxa"/>
          </w:tcPr>
          <w:p w:rsidR="002778DF" w:rsidRPr="002778DF" w:rsidRDefault="002778DF" w:rsidP="007E5201"/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r w:rsidRPr="002778DF">
              <w:t>•</w:t>
            </w:r>
            <w:r w:rsidRPr="002778DF">
              <w:tab/>
              <w:t>10 lokalnych centrów certyfikacji (CA).</w:t>
            </w:r>
          </w:p>
        </w:tc>
        <w:tc>
          <w:tcPr>
            <w:tcW w:w="3556" w:type="dxa"/>
          </w:tcPr>
          <w:p w:rsidR="002778DF" w:rsidRPr="002778DF" w:rsidRDefault="002778DF" w:rsidP="007E5201"/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r w:rsidRPr="002778DF">
              <w:t>•</w:t>
            </w:r>
            <w:r w:rsidRPr="002778DF">
              <w:tab/>
              <w:t>Możliwość wygenerowania 500 certyfikatów dla użytkowników.</w:t>
            </w:r>
          </w:p>
        </w:tc>
        <w:tc>
          <w:tcPr>
            <w:tcW w:w="3556" w:type="dxa"/>
          </w:tcPr>
          <w:p w:rsidR="002778DF" w:rsidRPr="002778DF" w:rsidRDefault="002778DF" w:rsidP="007E5201"/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r w:rsidRPr="002778DF">
              <w:t>•</w:t>
            </w:r>
            <w:r w:rsidRPr="002778DF">
              <w:tab/>
              <w:t xml:space="preserve">Uwierzytelnianie dla 2000 użytkowników w oparciu o dedykowaną aplikację (agenta), </w:t>
            </w:r>
          </w:p>
        </w:tc>
        <w:tc>
          <w:tcPr>
            <w:tcW w:w="3556" w:type="dxa"/>
          </w:tcPr>
          <w:p w:rsidR="002778DF" w:rsidRPr="002778DF" w:rsidRDefault="002778DF" w:rsidP="007E5201"/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/>
        </w:tc>
        <w:tc>
          <w:tcPr>
            <w:tcW w:w="3556" w:type="dxa"/>
          </w:tcPr>
          <w:p w:rsidR="002778DF" w:rsidRPr="002778DF" w:rsidRDefault="002778DF" w:rsidP="007E5201"/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r w:rsidRPr="002778DF">
              <w:t>Celem realizacji funkcji uwierzytelniających, system musi zapewniać nie mniej niż:</w:t>
            </w:r>
          </w:p>
        </w:tc>
        <w:tc>
          <w:tcPr>
            <w:tcW w:w="3556" w:type="dxa"/>
          </w:tcPr>
          <w:p w:rsidR="002778DF" w:rsidRPr="002778DF" w:rsidRDefault="002778DF" w:rsidP="007E5201"/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23"/>
              </w:numPr>
              <w:spacing w:after="0" w:line="240" w:lineRule="auto"/>
            </w:pPr>
            <w:r w:rsidRPr="002778DF">
              <w:t>Lokalną, wbudowaną bazę użytkowników.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23"/>
              </w:numPr>
              <w:spacing w:after="0" w:line="240" w:lineRule="auto"/>
            </w:pPr>
            <w:r w:rsidRPr="002778DF">
              <w:t>Przechowywanie następujących informacji o użytkowniku: nazwa, imię i nazwisko, adres email, numer telefonu, adres, kraj, województwo.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23"/>
              </w:numPr>
              <w:spacing w:after="0" w:line="240" w:lineRule="auto"/>
            </w:pPr>
            <w:r w:rsidRPr="002778DF">
              <w:t>Możliwość zdefiniowania co najmniej 3 indywidualnie konfigurowalnych pól dla każdego z użytkowników.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23"/>
              </w:numPr>
              <w:spacing w:after="0" w:line="240" w:lineRule="auto"/>
            </w:pPr>
            <w:r w:rsidRPr="002778DF">
              <w:t>Możliwość importu informacji o użytkownikach z zewnętrznego serwera LDAP lub pliku CSV.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23"/>
              </w:numPr>
              <w:spacing w:after="0" w:line="240" w:lineRule="auto"/>
            </w:pPr>
            <w:r w:rsidRPr="002778DF">
              <w:t>Konfigurowalną politykę haseł użytkowników w ramach której możliwym jest określenie: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1"/>
                <w:numId w:val="23"/>
              </w:numPr>
              <w:spacing w:after="0" w:line="240" w:lineRule="auto"/>
            </w:pPr>
            <w:r w:rsidRPr="002778DF">
              <w:t>poziomu złożoności hasła (jego długości minimalnej, występowania małych i dużych liter, cyfr i znaków specjalnych),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ind w:left="1440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1"/>
                <w:numId w:val="23"/>
              </w:numPr>
              <w:spacing w:after="0" w:line="240" w:lineRule="auto"/>
            </w:pPr>
            <w:r w:rsidRPr="002778DF">
              <w:t>czasu ważności hasła,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ind w:left="1440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23"/>
              </w:numPr>
              <w:spacing w:after="0" w:line="240" w:lineRule="auto"/>
            </w:pPr>
            <w:r w:rsidRPr="002778DF">
              <w:t>Konfigurowalną politykę blokowania kont, która będzie uwzględniać: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1"/>
                <w:numId w:val="23"/>
              </w:numPr>
              <w:spacing w:after="0" w:line="240" w:lineRule="auto"/>
            </w:pPr>
            <w:r w:rsidRPr="002778DF">
              <w:t>ilość nieudanych logowań,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ind w:left="1440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1"/>
                <w:numId w:val="23"/>
              </w:numPr>
              <w:spacing w:after="0" w:line="240" w:lineRule="auto"/>
            </w:pPr>
            <w:r w:rsidRPr="002778DF">
              <w:t>czas blokowania konta,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ind w:left="1440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1"/>
                <w:numId w:val="23"/>
              </w:numPr>
              <w:spacing w:after="0" w:line="240" w:lineRule="auto"/>
            </w:pPr>
            <w:r w:rsidRPr="002778DF">
              <w:t>okres nieaktywności, po którym konto jest blokowane.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ind w:left="1440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23"/>
              </w:numPr>
              <w:spacing w:after="0" w:line="240" w:lineRule="auto"/>
            </w:pPr>
            <w:r w:rsidRPr="002778DF">
              <w:t>Możliwość odzyskiwania haseł: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1"/>
                <w:numId w:val="23"/>
              </w:numPr>
              <w:spacing w:after="0" w:line="240" w:lineRule="auto"/>
            </w:pPr>
            <w:r w:rsidRPr="002778DF">
              <w:t>z wykorzystaniem adresu email,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ind w:left="1440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1"/>
                <w:numId w:val="23"/>
              </w:numPr>
              <w:spacing w:after="0" w:line="240" w:lineRule="auto"/>
            </w:pPr>
            <w:r w:rsidRPr="002778DF">
              <w:t>z wykorzystaniem pytania pomocniczego.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ind w:left="1440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23"/>
              </w:numPr>
              <w:spacing w:after="0" w:line="240" w:lineRule="auto"/>
            </w:pPr>
            <w:r w:rsidRPr="002778DF">
              <w:t>Obsługę protokołu RADIUS zgodną z RFC, w tym zakresie system musi oferować: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1"/>
                <w:numId w:val="23"/>
              </w:numPr>
              <w:spacing w:after="0" w:line="240" w:lineRule="auto"/>
            </w:pPr>
            <w:r w:rsidRPr="002778DF">
              <w:t>wbudowany serwer RADIUS,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ind w:left="1440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1"/>
                <w:numId w:val="23"/>
              </w:numPr>
              <w:spacing w:after="0" w:line="240" w:lineRule="auto"/>
            </w:pPr>
            <w:r w:rsidRPr="002778DF">
              <w:t>integrację z zewnętrznymi serwerami RADIUS – praca jako klient.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ind w:left="1440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23"/>
              </w:numPr>
              <w:spacing w:after="0" w:line="240" w:lineRule="auto"/>
            </w:pPr>
            <w:r w:rsidRPr="002778DF">
              <w:t>Obsługę protokołu LDAP, w tym zakresie system musi oferować: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1"/>
                <w:numId w:val="23"/>
              </w:numPr>
              <w:spacing w:after="0" w:line="240" w:lineRule="auto"/>
            </w:pPr>
            <w:r w:rsidRPr="002778DF">
              <w:t>wbudowany serwer LDAP,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ind w:left="1440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1"/>
                <w:numId w:val="23"/>
              </w:numPr>
              <w:spacing w:after="0" w:line="240" w:lineRule="auto"/>
            </w:pPr>
            <w:r w:rsidRPr="002778DF">
              <w:t>możliwość zautomatyzowanej synchronizacji z zewnętrznym serwerem LDAP (zarówno kont użytkowników jak i atrybutów LDAP).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ind w:left="1440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lang w:val="en-US"/>
              </w:rPr>
            </w:pPr>
            <w:proofErr w:type="spellStart"/>
            <w:r w:rsidRPr="002778DF">
              <w:rPr>
                <w:lang w:val="en-US"/>
              </w:rPr>
              <w:t>Obsługę</w:t>
            </w:r>
            <w:proofErr w:type="spellEnd"/>
            <w:r w:rsidRPr="002778DF">
              <w:rPr>
                <w:lang w:val="en-US"/>
              </w:rPr>
              <w:t xml:space="preserve"> </w:t>
            </w:r>
            <w:proofErr w:type="spellStart"/>
            <w:r w:rsidRPr="002778DF">
              <w:rPr>
                <w:lang w:val="en-US"/>
              </w:rPr>
              <w:t>protokołu</w:t>
            </w:r>
            <w:proofErr w:type="spellEnd"/>
            <w:r w:rsidRPr="002778DF">
              <w:rPr>
                <w:lang w:val="en-US"/>
              </w:rPr>
              <w:t xml:space="preserve"> SAML - Identity Provider (</w:t>
            </w:r>
            <w:proofErr w:type="spellStart"/>
            <w:r w:rsidRPr="002778DF">
              <w:rPr>
                <w:lang w:val="en-US"/>
              </w:rPr>
              <w:t>IdP</w:t>
            </w:r>
            <w:proofErr w:type="spellEnd"/>
            <w:r w:rsidRPr="002778DF">
              <w:rPr>
                <w:lang w:val="en-US"/>
              </w:rPr>
              <w:t>) proxy.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rPr>
                <w:lang w:val="en-US"/>
              </w:rPr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23"/>
              </w:numPr>
              <w:spacing w:after="0" w:line="240" w:lineRule="auto"/>
            </w:pPr>
            <w:r w:rsidRPr="002778DF">
              <w:t xml:space="preserve">Realizację funkcji SSO (Single </w:t>
            </w:r>
            <w:proofErr w:type="spellStart"/>
            <w:r w:rsidRPr="002778DF">
              <w:t>Sign</w:t>
            </w:r>
            <w:proofErr w:type="spellEnd"/>
            <w:r w:rsidRPr="002778DF">
              <w:t xml:space="preserve"> On) w oparciu o: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1"/>
                <w:numId w:val="23"/>
              </w:numPr>
              <w:spacing w:after="0" w:line="240" w:lineRule="auto"/>
            </w:pPr>
            <w:r w:rsidRPr="002778DF">
              <w:lastRenderedPageBreak/>
              <w:t>integrację z Active Directory, również bez konieczności instalacji dodatkowego oprogramowania na kontrolerach domeny,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ind w:left="1440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1"/>
                <w:numId w:val="23"/>
              </w:numPr>
              <w:spacing w:after="0" w:line="240" w:lineRule="auto"/>
            </w:pPr>
            <w:r w:rsidRPr="002778DF">
              <w:t>dedykowaną aplikację instalowaną na stacjach roboczych z systemem Windows,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ind w:left="1440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1"/>
                <w:numId w:val="23"/>
              </w:numPr>
              <w:spacing w:after="0" w:line="240" w:lineRule="auto"/>
            </w:pPr>
            <w:r w:rsidRPr="002778DF">
              <w:t>kontekst użytkownika przesyłany z serwera RADIUS,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ind w:left="1440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1"/>
                <w:numId w:val="23"/>
              </w:numPr>
              <w:spacing w:after="0" w:line="240" w:lineRule="auto"/>
              <w:rPr>
                <w:u w:val="single"/>
              </w:rPr>
            </w:pPr>
            <w:r w:rsidRPr="002778DF">
              <w:t xml:space="preserve">informacje uzyskiwane poprzez protokół </w:t>
            </w:r>
            <w:proofErr w:type="spellStart"/>
            <w:r w:rsidRPr="002778DF">
              <w:t>Syslog</w:t>
            </w:r>
            <w:proofErr w:type="spellEnd"/>
            <w:r w:rsidRPr="002778DF">
              <w:rPr>
                <w:u w:val="single"/>
              </w:rPr>
              <w:t>,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ind w:left="1440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rPr>
                <w:u w:val="single"/>
              </w:rPr>
            </w:pPr>
          </w:p>
        </w:tc>
        <w:tc>
          <w:tcPr>
            <w:tcW w:w="3556" w:type="dxa"/>
          </w:tcPr>
          <w:p w:rsidR="002778DF" w:rsidRPr="002778DF" w:rsidRDefault="002778DF" w:rsidP="007E5201">
            <w:pPr>
              <w:rPr>
                <w:u w:val="single"/>
              </w:rPr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jc w:val="both"/>
            </w:pPr>
            <w:r w:rsidRPr="002778DF">
              <w:t>Realizując uwierzytelnianie dwuskładnikowe, system musi zapewniać nie mniej niż:</w:t>
            </w:r>
          </w:p>
        </w:tc>
        <w:tc>
          <w:tcPr>
            <w:tcW w:w="3556" w:type="dxa"/>
          </w:tcPr>
          <w:p w:rsidR="002778DF" w:rsidRPr="002778DF" w:rsidRDefault="002778DF" w:rsidP="007E5201">
            <w:pPr>
              <w:jc w:val="both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hanging="294"/>
            </w:pPr>
            <w:r w:rsidRPr="002778DF">
              <w:t xml:space="preserve">Obsługę dla </w:t>
            </w:r>
            <w:proofErr w:type="spellStart"/>
            <w:r w:rsidRPr="002778DF">
              <w:t>tokenów</w:t>
            </w:r>
            <w:proofErr w:type="spellEnd"/>
            <w:r w:rsidRPr="002778DF">
              <w:t xml:space="preserve"> sprzętowych (hardware):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1"/>
                <w:numId w:val="21"/>
              </w:numPr>
              <w:spacing w:after="0" w:line="240" w:lineRule="auto"/>
              <w:ind w:hanging="294"/>
            </w:pPr>
            <w:r w:rsidRPr="002778DF">
              <w:t xml:space="preserve">wspomniane </w:t>
            </w:r>
            <w:proofErr w:type="spellStart"/>
            <w:r w:rsidRPr="002778DF">
              <w:t>tokeny</w:t>
            </w:r>
            <w:proofErr w:type="spellEnd"/>
            <w:r w:rsidRPr="002778DF">
              <w:t xml:space="preserve"> muszą pochodzić od tego samego producenta co system uwierzytelniania.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ind w:left="1440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hanging="294"/>
            </w:pPr>
            <w:r w:rsidRPr="002778DF">
              <w:t xml:space="preserve">Wsparcie dla </w:t>
            </w:r>
            <w:proofErr w:type="spellStart"/>
            <w:r w:rsidRPr="002778DF">
              <w:t>tokenów</w:t>
            </w:r>
            <w:proofErr w:type="spellEnd"/>
            <w:r w:rsidRPr="002778DF">
              <w:t xml:space="preserve"> programowych (software </w:t>
            </w:r>
            <w:proofErr w:type="spellStart"/>
            <w:r w:rsidRPr="002778DF">
              <w:t>token</w:t>
            </w:r>
            <w:proofErr w:type="spellEnd"/>
            <w:r w:rsidRPr="002778DF">
              <w:t>) dla takich systemów operacyjnych jak iOS, Android, Windows Phone (8 i 8.1) oraz Windows 10 Mobile.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ind w:left="426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hanging="294"/>
            </w:pPr>
            <w:r w:rsidRPr="002778DF">
              <w:t xml:space="preserve">Dla </w:t>
            </w:r>
            <w:proofErr w:type="spellStart"/>
            <w:r w:rsidRPr="002778DF">
              <w:t>tokenów</w:t>
            </w:r>
            <w:proofErr w:type="spellEnd"/>
            <w:r w:rsidRPr="002778DF">
              <w:t xml:space="preserve"> na system iOS i Android wymaga się: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1"/>
                <w:numId w:val="21"/>
              </w:numPr>
              <w:spacing w:after="0" w:line="240" w:lineRule="auto"/>
              <w:ind w:hanging="294"/>
            </w:pPr>
            <w:r w:rsidRPr="002778DF">
              <w:t>aktywacji z centralnego systemu uwierzytelniania (</w:t>
            </w:r>
            <w:proofErr w:type="spellStart"/>
            <w:r w:rsidRPr="002778DF">
              <w:t>seed</w:t>
            </w:r>
            <w:proofErr w:type="spellEnd"/>
            <w:r w:rsidRPr="002778DF">
              <w:t xml:space="preserve"> </w:t>
            </w:r>
            <w:proofErr w:type="spellStart"/>
            <w:r w:rsidRPr="002778DF">
              <w:t>provisioning</w:t>
            </w:r>
            <w:proofErr w:type="spellEnd"/>
            <w:r w:rsidRPr="002778DF">
              <w:t>),</w:t>
            </w:r>
          </w:p>
        </w:tc>
        <w:tc>
          <w:tcPr>
            <w:tcW w:w="3556" w:type="dxa"/>
          </w:tcPr>
          <w:p w:rsidR="002778DF" w:rsidRPr="002778DF" w:rsidRDefault="002778DF" w:rsidP="002778DF"/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1"/>
                <w:numId w:val="21"/>
              </w:numPr>
              <w:spacing w:after="0" w:line="240" w:lineRule="auto"/>
              <w:ind w:hanging="294"/>
            </w:pPr>
            <w:r w:rsidRPr="002778DF">
              <w:t>możliwości konfiguracji ilości generowanych cyfr (6 lub 8),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ind w:left="1146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1"/>
                <w:numId w:val="21"/>
              </w:numPr>
              <w:spacing w:after="0" w:line="240" w:lineRule="auto"/>
              <w:ind w:hanging="294"/>
            </w:pPr>
            <w:r w:rsidRPr="002778DF">
              <w:t>generowania kodu (cyfr) co 30 lub 60 sekund,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ind w:left="1146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1"/>
                <w:numId w:val="21"/>
              </w:numPr>
              <w:spacing w:after="0" w:line="240" w:lineRule="auto"/>
              <w:ind w:hanging="294"/>
            </w:pPr>
            <w:r w:rsidRPr="002778DF">
              <w:t xml:space="preserve">możliwości dezaktywacji </w:t>
            </w:r>
            <w:proofErr w:type="spellStart"/>
            <w:r w:rsidRPr="002778DF">
              <w:t>tokenu</w:t>
            </w:r>
            <w:proofErr w:type="spellEnd"/>
            <w:r w:rsidRPr="002778DF">
              <w:t xml:space="preserve"> oraz jego </w:t>
            </w:r>
            <w:proofErr w:type="spellStart"/>
            <w:r w:rsidRPr="002778DF">
              <w:t>reinstalacji</w:t>
            </w:r>
            <w:proofErr w:type="spellEnd"/>
            <w:r w:rsidRPr="002778DF">
              <w:t xml:space="preserve"> (przeniesienia na inne urządzenie mobilne),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ind w:left="1146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1"/>
                <w:numId w:val="21"/>
              </w:numPr>
              <w:spacing w:after="0" w:line="240" w:lineRule="auto"/>
              <w:ind w:hanging="294"/>
            </w:pPr>
            <w:r w:rsidRPr="002778DF">
              <w:t>ochrony dostępu poprzez konfigurowalny kod PIN,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ind w:left="1440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/>
        </w:tc>
        <w:tc>
          <w:tcPr>
            <w:tcW w:w="3556" w:type="dxa"/>
          </w:tcPr>
          <w:p w:rsidR="002778DF" w:rsidRPr="002778DF" w:rsidRDefault="002778DF" w:rsidP="007E5201"/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/>
        </w:tc>
        <w:tc>
          <w:tcPr>
            <w:tcW w:w="3556" w:type="dxa"/>
          </w:tcPr>
          <w:p w:rsidR="002778DF" w:rsidRPr="002778DF" w:rsidRDefault="002778DF" w:rsidP="007E5201"/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r w:rsidRPr="002778DF">
              <w:t>System powinien spełniać następujące wymagania w zakresie zarządzania certyfikatami, nie mniej niż:</w:t>
            </w:r>
          </w:p>
        </w:tc>
        <w:tc>
          <w:tcPr>
            <w:tcW w:w="3556" w:type="dxa"/>
          </w:tcPr>
          <w:p w:rsidR="002778DF" w:rsidRPr="002778DF" w:rsidRDefault="002778DF" w:rsidP="007E5201"/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709" w:hanging="283"/>
              <w:rPr>
                <w:lang w:val="en-US"/>
              </w:rPr>
            </w:pPr>
            <w:proofErr w:type="spellStart"/>
            <w:r w:rsidRPr="002778DF">
              <w:rPr>
                <w:lang w:val="en-US"/>
              </w:rPr>
              <w:t>Obsługa</w:t>
            </w:r>
            <w:proofErr w:type="spellEnd"/>
            <w:r w:rsidRPr="002778DF">
              <w:rPr>
                <w:lang w:val="en-US"/>
              </w:rPr>
              <w:t xml:space="preserve"> </w:t>
            </w:r>
            <w:proofErr w:type="spellStart"/>
            <w:r w:rsidRPr="002778DF">
              <w:rPr>
                <w:lang w:val="en-US"/>
              </w:rPr>
              <w:t>wbudowanego</w:t>
            </w:r>
            <w:proofErr w:type="spellEnd"/>
            <w:r w:rsidRPr="002778DF">
              <w:rPr>
                <w:lang w:val="en-US"/>
              </w:rPr>
              <w:t xml:space="preserve"> CA (Certificate Authority).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ind w:left="426"/>
              <w:rPr>
                <w:lang w:val="en-US"/>
              </w:rPr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709" w:hanging="283"/>
            </w:pPr>
            <w:r w:rsidRPr="002778DF">
              <w:t>Obsługa CA pośredniczących (</w:t>
            </w:r>
            <w:proofErr w:type="spellStart"/>
            <w:r w:rsidRPr="002778DF">
              <w:t>Intermediate</w:t>
            </w:r>
            <w:proofErr w:type="spellEnd"/>
            <w:r w:rsidRPr="002778DF">
              <w:t xml:space="preserve"> CA).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ind w:left="709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709" w:hanging="283"/>
            </w:pPr>
            <w:r w:rsidRPr="002778DF">
              <w:t>Ręczne generowanie certyfikatów z wykorzystaniem interfejsu graficznego.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ind w:left="709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709" w:hanging="283"/>
            </w:pPr>
            <w:r w:rsidRPr="002778DF">
              <w:t>Możliwość pobrania wygenerowanych certyfikatów.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ind w:left="709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709" w:hanging="283"/>
            </w:pPr>
            <w:r w:rsidRPr="002778DF">
              <w:t>Możliwość podpisywania certyfikatów z wykorzystaniem protokołu SCEP.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ind w:left="709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709" w:hanging="283"/>
            </w:pPr>
            <w:r w:rsidRPr="002778DF">
              <w:t>Możliwość automatycznego i ręcznego generowania certyfikatów z wykorzystaniem protokołu SCEP.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ind w:left="709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709" w:hanging="283"/>
            </w:pPr>
            <w:r w:rsidRPr="002778DF">
              <w:t xml:space="preserve">Możliwość generowania certyfikatów typu </w:t>
            </w:r>
            <w:proofErr w:type="spellStart"/>
            <w:r w:rsidRPr="002778DF">
              <w:t>wildcard</w:t>
            </w:r>
            <w:proofErr w:type="spellEnd"/>
            <w:r w:rsidRPr="002778DF">
              <w:t>.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ind w:left="709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709" w:hanging="283"/>
              <w:rPr>
                <w:lang w:val="en-US"/>
              </w:rPr>
            </w:pPr>
            <w:proofErr w:type="spellStart"/>
            <w:r w:rsidRPr="002778DF">
              <w:rPr>
                <w:lang w:val="en-US"/>
              </w:rPr>
              <w:t>Realizacja</w:t>
            </w:r>
            <w:proofErr w:type="spellEnd"/>
            <w:r w:rsidRPr="002778DF">
              <w:rPr>
                <w:lang w:val="en-US"/>
              </w:rPr>
              <w:t xml:space="preserve"> CRL (Certificate Revocation List).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ind w:left="709"/>
              <w:rPr>
                <w:lang w:val="en-US"/>
              </w:rPr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709" w:hanging="283"/>
            </w:pPr>
            <w:r w:rsidRPr="002778DF">
              <w:lastRenderedPageBreak/>
              <w:t>Wsparcie dynamicznego odwoływania certyfikatów z wykorzystaniem protokołu OCSP (RFC2560).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ind w:left="709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709" w:hanging="283"/>
            </w:pPr>
            <w:r w:rsidRPr="002778DF">
              <w:t>Powinna istnieć możliwość zdefiniowania co najmniej 4 lokalnych kont administracyjnych.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ind w:left="709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/>
        </w:tc>
        <w:tc>
          <w:tcPr>
            <w:tcW w:w="3556" w:type="dxa"/>
          </w:tcPr>
          <w:p w:rsidR="002778DF" w:rsidRPr="002778DF" w:rsidRDefault="002778DF" w:rsidP="007E5201"/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/>
        </w:tc>
        <w:tc>
          <w:tcPr>
            <w:tcW w:w="3556" w:type="dxa"/>
          </w:tcPr>
          <w:p w:rsidR="002778DF" w:rsidRPr="002778DF" w:rsidRDefault="002778DF" w:rsidP="007E5201"/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jc w:val="both"/>
              <w:rPr>
                <w:u w:val="single"/>
              </w:rPr>
            </w:pPr>
            <w:r w:rsidRPr="002778DF">
              <w:rPr>
                <w:u w:val="single"/>
              </w:rPr>
              <w:t>Zarządzanie</w:t>
            </w:r>
          </w:p>
        </w:tc>
        <w:tc>
          <w:tcPr>
            <w:tcW w:w="3556" w:type="dxa"/>
          </w:tcPr>
          <w:p w:rsidR="002778DF" w:rsidRPr="002778DF" w:rsidRDefault="002778DF" w:rsidP="007E5201">
            <w:pPr>
              <w:jc w:val="both"/>
              <w:rPr>
                <w:u w:val="single"/>
              </w:rPr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709" w:hanging="283"/>
              <w:jc w:val="both"/>
            </w:pPr>
            <w:r w:rsidRPr="002778DF">
              <w:t>Zarządzanie w oparciu o protokół HTTPS (interfejs graficzny) z wykorzystaniem przeglądarki.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ind w:left="709"/>
              <w:jc w:val="both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709" w:hanging="283"/>
              <w:jc w:val="both"/>
            </w:pPr>
            <w:r w:rsidRPr="002778DF">
              <w:t>System udostępnia graficzny interfejs zarządzania poprzez szyfrowane połączenie HTTPS.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ind w:left="709"/>
              <w:jc w:val="both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709" w:hanging="283"/>
              <w:jc w:val="both"/>
            </w:pPr>
            <w:r w:rsidRPr="002778DF">
              <w:t>Tworzenie kopii bezpieczeństwa konfiguracji z poziomu graficznego interfejsu zarządzającego (GUI) oraz na zewnętrzny serwer FTP/SFTP w oparciu o harmonogram, który będzie umożliwiał wskazanie konkretnego czasu kiedy proces ma się rozpocząć.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ind w:left="709"/>
              <w:jc w:val="both"/>
            </w:pPr>
          </w:p>
        </w:tc>
      </w:tr>
      <w:tr w:rsidR="002778DF" w:rsidRPr="002778DF" w:rsidTr="002778DF">
        <w:tc>
          <w:tcPr>
            <w:tcW w:w="5506" w:type="dxa"/>
          </w:tcPr>
          <w:p w:rsidR="002778DF" w:rsidRPr="002778DF" w:rsidRDefault="002778DF" w:rsidP="007E520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709" w:hanging="283"/>
              <w:jc w:val="both"/>
            </w:pPr>
            <w:r w:rsidRPr="002778DF">
              <w:t>Powinna istnieć możliwość zdefiniowania co najmniej 4 lokalnych kont administracyjnych.</w:t>
            </w:r>
          </w:p>
        </w:tc>
        <w:tc>
          <w:tcPr>
            <w:tcW w:w="3556" w:type="dxa"/>
          </w:tcPr>
          <w:p w:rsidR="002778DF" w:rsidRPr="002778DF" w:rsidRDefault="002778DF" w:rsidP="002778DF">
            <w:pPr>
              <w:pStyle w:val="Akapitzlist"/>
              <w:spacing w:after="0" w:line="240" w:lineRule="auto"/>
              <w:ind w:left="709"/>
              <w:jc w:val="both"/>
            </w:pPr>
          </w:p>
        </w:tc>
      </w:tr>
    </w:tbl>
    <w:p w:rsidR="005E79C9" w:rsidRDefault="005E79C9" w:rsidP="005E79C9">
      <w:pPr>
        <w:jc w:val="both"/>
      </w:pPr>
    </w:p>
    <w:p w:rsidR="005E79C9" w:rsidRPr="00902DF3" w:rsidRDefault="005E79C9" w:rsidP="005E79C9">
      <w:pPr>
        <w:jc w:val="both"/>
        <w:rPr>
          <w:u w:val="single"/>
        </w:rPr>
      </w:pPr>
      <w:r w:rsidRPr="00902DF3">
        <w:rPr>
          <w:u w:val="single"/>
        </w:rPr>
        <w:t>Serwis, szkolenia i usługi</w:t>
      </w:r>
    </w:p>
    <w:p w:rsidR="005E79C9" w:rsidRDefault="005E79C9" w:rsidP="005E79C9">
      <w:pPr>
        <w:jc w:val="both"/>
      </w:pPr>
      <w:r>
        <w:t>Wymaga się aby dostawa obejmowała również serwis producenta przez okres 12 miesięcy, upoważniającym do aktualizacji oprogramowania oraz wsparcia technicznego w trybie 24x7.</w:t>
      </w:r>
    </w:p>
    <w:p w:rsidR="005E79C9" w:rsidRDefault="005E79C9" w:rsidP="005E79C9">
      <w:pPr>
        <w:jc w:val="both"/>
      </w:pPr>
    </w:p>
    <w:p w:rsidR="005E79C9" w:rsidRDefault="005E79C9" w:rsidP="005E79C9">
      <w:pPr>
        <w:jc w:val="both"/>
      </w:pPr>
      <w:r>
        <w:t>Oferent winien przedłożyć oświadczenie producenta lub autoryzowanego dystrybutora producenta na terenie Polski, iż oferent posiada autoryzację producenta w zakresie sprzedaży oferowanych rozwiązań.</w:t>
      </w:r>
    </w:p>
    <w:p w:rsidR="005E79C9" w:rsidRDefault="005E79C9" w:rsidP="005E79C9">
      <w:pPr>
        <w:spacing w:after="0" w:line="240" w:lineRule="auto"/>
      </w:pPr>
    </w:p>
    <w:sectPr w:rsidR="005E79C9" w:rsidSect="0083749A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78DF" w:rsidRDefault="002778DF" w:rsidP="002778DF">
      <w:pPr>
        <w:spacing w:after="0" w:line="240" w:lineRule="auto"/>
      </w:pPr>
      <w:r>
        <w:separator/>
      </w:r>
    </w:p>
  </w:endnote>
  <w:endnote w:type="continuationSeparator" w:id="0">
    <w:p w:rsidR="002778DF" w:rsidRDefault="002778DF" w:rsidP="0027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78DF" w:rsidRDefault="002778DF" w:rsidP="002778DF">
      <w:pPr>
        <w:spacing w:after="0" w:line="240" w:lineRule="auto"/>
      </w:pPr>
      <w:r>
        <w:separator/>
      </w:r>
    </w:p>
  </w:footnote>
  <w:footnote w:type="continuationSeparator" w:id="0">
    <w:p w:rsidR="002778DF" w:rsidRDefault="002778DF" w:rsidP="00277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78DF" w:rsidRDefault="002778DF" w:rsidP="002778DF">
    <w:pPr>
      <w:pStyle w:val="Nagwek"/>
      <w:jc w:val="right"/>
    </w:pPr>
    <w:r>
      <w:t xml:space="preserve">Załącznik nr 2a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7622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6D21D99"/>
    <w:multiLevelType w:val="hybridMultilevel"/>
    <w:tmpl w:val="567432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D006BB"/>
    <w:multiLevelType w:val="hybridMultilevel"/>
    <w:tmpl w:val="ACB65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675BEA"/>
    <w:multiLevelType w:val="hybridMultilevel"/>
    <w:tmpl w:val="DAC08D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89077E"/>
    <w:multiLevelType w:val="hybridMultilevel"/>
    <w:tmpl w:val="3EA84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36B61"/>
    <w:multiLevelType w:val="hybridMultilevel"/>
    <w:tmpl w:val="67189F7A"/>
    <w:lvl w:ilvl="0" w:tplc="D760272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66232E7"/>
    <w:multiLevelType w:val="hybridMultilevel"/>
    <w:tmpl w:val="F7CA9A6E"/>
    <w:lvl w:ilvl="0" w:tplc="D760272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70B7B2F"/>
    <w:multiLevelType w:val="hybridMultilevel"/>
    <w:tmpl w:val="BE38FEA0"/>
    <w:lvl w:ilvl="0" w:tplc="5C4C3CA4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BC61288"/>
    <w:multiLevelType w:val="hybridMultilevel"/>
    <w:tmpl w:val="3E00D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65C4A"/>
    <w:multiLevelType w:val="hybridMultilevel"/>
    <w:tmpl w:val="47F86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2E6973"/>
    <w:multiLevelType w:val="hybridMultilevel"/>
    <w:tmpl w:val="3EE89E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823ED"/>
    <w:multiLevelType w:val="hybridMultilevel"/>
    <w:tmpl w:val="DDAC8952"/>
    <w:lvl w:ilvl="0" w:tplc="D760272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F60419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" w15:restartNumberingAfterBreak="0">
    <w:nsid w:val="3AFF79B8"/>
    <w:multiLevelType w:val="hybridMultilevel"/>
    <w:tmpl w:val="3EE89E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9C13BA"/>
    <w:multiLevelType w:val="hybridMultilevel"/>
    <w:tmpl w:val="E4EA865C"/>
    <w:lvl w:ilvl="0" w:tplc="CBDE879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05885A6">
      <w:start w:val="1"/>
      <w:numFmt w:val="lowerLetter"/>
      <w:lvlText w:val="%2."/>
      <w:lvlJc w:val="left"/>
      <w:pPr>
        <w:ind w:left="1590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342224"/>
    <w:multiLevelType w:val="hybridMultilevel"/>
    <w:tmpl w:val="42CCE708"/>
    <w:lvl w:ilvl="0" w:tplc="E7287F1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8B7533"/>
    <w:multiLevelType w:val="hybridMultilevel"/>
    <w:tmpl w:val="954C05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A92C46"/>
    <w:multiLevelType w:val="hybridMultilevel"/>
    <w:tmpl w:val="A432AA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6873ED"/>
    <w:multiLevelType w:val="hybridMultilevel"/>
    <w:tmpl w:val="BCA0DC5A"/>
    <w:lvl w:ilvl="0" w:tplc="754C4B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ED685D90">
      <w:start w:val="1"/>
      <w:numFmt w:val="lowerLetter"/>
      <w:lvlText w:val="%2."/>
      <w:lvlJc w:val="left"/>
      <w:pPr>
        <w:ind w:left="1590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3276A5"/>
    <w:multiLevelType w:val="hybridMultilevel"/>
    <w:tmpl w:val="D2C8045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65FF266E"/>
    <w:multiLevelType w:val="hybridMultilevel"/>
    <w:tmpl w:val="DE282D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C276B6"/>
    <w:multiLevelType w:val="hybridMultilevel"/>
    <w:tmpl w:val="21C047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2E279F"/>
    <w:multiLevelType w:val="hybridMultilevel"/>
    <w:tmpl w:val="62E692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96457B"/>
    <w:multiLevelType w:val="hybridMultilevel"/>
    <w:tmpl w:val="8AB4B2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2"/>
  </w:num>
  <w:num w:numId="3">
    <w:abstractNumId w:val="17"/>
  </w:num>
  <w:num w:numId="4">
    <w:abstractNumId w:val="16"/>
  </w:num>
  <w:num w:numId="5">
    <w:abstractNumId w:val="2"/>
  </w:num>
  <w:num w:numId="6">
    <w:abstractNumId w:val="20"/>
  </w:num>
  <w:num w:numId="7">
    <w:abstractNumId w:val="10"/>
  </w:num>
  <w:num w:numId="8">
    <w:abstractNumId w:val="13"/>
  </w:num>
  <w:num w:numId="9">
    <w:abstractNumId w:val="8"/>
  </w:num>
  <w:num w:numId="10">
    <w:abstractNumId w:val="1"/>
  </w:num>
  <w:num w:numId="11">
    <w:abstractNumId w:val="21"/>
  </w:num>
  <w:num w:numId="12">
    <w:abstractNumId w:val="11"/>
  </w:num>
  <w:num w:numId="13">
    <w:abstractNumId w:val="6"/>
  </w:num>
  <w:num w:numId="14">
    <w:abstractNumId w:val="5"/>
  </w:num>
  <w:num w:numId="15">
    <w:abstractNumId w:val="12"/>
  </w:num>
  <w:num w:numId="16">
    <w:abstractNumId w:val="0"/>
  </w:num>
  <w:num w:numId="17">
    <w:abstractNumId w:val="19"/>
  </w:num>
  <w:num w:numId="18">
    <w:abstractNumId w:val="7"/>
  </w:num>
  <w:num w:numId="19">
    <w:abstractNumId w:val="3"/>
  </w:num>
  <w:num w:numId="20">
    <w:abstractNumId w:val="15"/>
  </w:num>
  <w:num w:numId="21">
    <w:abstractNumId w:val="4"/>
  </w:num>
  <w:num w:numId="22">
    <w:abstractNumId w:val="14"/>
  </w:num>
  <w:num w:numId="23">
    <w:abstractNumId w:val="23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6EB"/>
    <w:rsid w:val="00046D42"/>
    <w:rsid w:val="00063117"/>
    <w:rsid w:val="00096D21"/>
    <w:rsid w:val="00134D42"/>
    <w:rsid w:val="002619B1"/>
    <w:rsid w:val="002778DF"/>
    <w:rsid w:val="002A076F"/>
    <w:rsid w:val="002D2472"/>
    <w:rsid w:val="002F3C73"/>
    <w:rsid w:val="003238B6"/>
    <w:rsid w:val="003606EB"/>
    <w:rsid w:val="003B0560"/>
    <w:rsid w:val="00430286"/>
    <w:rsid w:val="00504958"/>
    <w:rsid w:val="005269F1"/>
    <w:rsid w:val="00590AA5"/>
    <w:rsid w:val="005E79C9"/>
    <w:rsid w:val="00652CEF"/>
    <w:rsid w:val="006E37A5"/>
    <w:rsid w:val="007133F7"/>
    <w:rsid w:val="007B3B48"/>
    <w:rsid w:val="0083749A"/>
    <w:rsid w:val="00902DF3"/>
    <w:rsid w:val="00926092"/>
    <w:rsid w:val="00930A61"/>
    <w:rsid w:val="00931AE2"/>
    <w:rsid w:val="00940D52"/>
    <w:rsid w:val="00A45994"/>
    <w:rsid w:val="00B400C6"/>
    <w:rsid w:val="00B53EB3"/>
    <w:rsid w:val="00C759A0"/>
    <w:rsid w:val="00C922F8"/>
    <w:rsid w:val="00CD5D00"/>
    <w:rsid w:val="00D3589E"/>
    <w:rsid w:val="00D363BF"/>
    <w:rsid w:val="00D949DA"/>
    <w:rsid w:val="00DD7D40"/>
    <w:rsid w:val="00E07D7A"/>
    <w:rsid w:val="00E87AA9"/>
    <w:rsid w:val="00EB205A"/>
    <w:rsid w:val="00EC4D51"/>
    <w:rsid w:val="00F90452"/>
    <w:rsid w:val="00FA6C1E"/>
    <w:rsid w:val="00FE5D96"/>
    <w:rsid w:val="00FF10A6"/>
    <w:rsid w:val="00FF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54C4E"/>
  <w15:chartTrackingRefBased/>
  <w15:docId w15:val="{16989B40-CA41-4C06-BCFF-39F0628C3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00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00C6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B400C6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B400C6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7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78DF"/>
  </w:style>
  <w:style w:type="paragraph" w:styleId="Stopka">
    <w:name w:val="footer"/>
    <w:basedOn w:val="Normalny"/>
    <w:link w:val="StopkaZnak"/>
    <w:uiPriority w:val="99"/>
    <w:unhideWhenUsed/>
    <w:rsid w:val="0027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78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1377</Words>
  <Characters>8265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 Wojskowy Szpital Kliniczny z Poliklinką SPZOZ</Company>
  <LinksUpToDate>false</LinksUpToDate>
  <CharactersWithSpaces>9623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Kucharska</dc:creator>
  <cp:keywords/>
  <dc:description/>
  <cp:lastModifiedBy>Hubert Stempczyński</cp:lastModifiedBy>
  <cp:revision>4</cp:revision>
  <dcterms:created xsi:type="dcterms:W3CDTF">2024-02-28T12:42:00Z</dcterms:created>
  <dcterms:modified xsi:type="dcterms:W3CDTF">2024-06-06T10:18:00Z</dcterms:modified>
</cp:coreProperties>
</file>