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E95ABE">
      <w:pPr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05A17AD8" w14:textId="589F2E4E" w:rsidR="007314F4" w:rsidRDefault="000A02F4" w:rsidP="00DA305F">
      <w:pPr>
        <w:ind w:left="284" w:right="281"/>
        <w:jc w:val="both"/>
        <w:rPr>
          <w:rFonts w:ascii="Century Gothic" w:hAnsi="Century Gothic" w:cstheme="minorHAnsi"/>
          <w:b/>
          <w:sz w:val="28"/>
          <w:szCs w:val="28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Usługi </w:t>
      </w:r>
      <w:r w:rsidR="001A358B">
        <w:rPr>
          <w:rFonts w:ascii="Century Gothic" w:hAnsi="Century Gothic" w:cstheme="minorHAnsi"/>
          <w:b/>
          <w:sz w:val="32"/>
          <w:szCs w:val="32"/>
        </w:rPr>
        <w:t>odbioru / zakupu odpadów (folia transparentna, folia kolorowa, karton) ze sklepów sieci Intermarche i Bricomarche w Polsce</w:t>
      </w:r>
      <w:r w:rsidR="00DA305F">
        <w:rPr>
          <w:rFonts w:ascii="Century Gothic" w:hAnsi="Century Gothic" w:cstheme="minorHAnsi"/>
          <w:b/>
          <w:sz w:val="32"/>
          <w:szCs w:val="32"/>
        </w:rPr>
        <w:t>.</w:t>
      </w: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44B34D36" w14:textId="42D1E25B" w:rsidR="003C2799" w:rsidRPr="003C2799" w:rsidRDefault="003C2799" w:rsidP="003C2799">
      <w:pPr>
        <w:pStyle w:val="Akapitzlist"/>
        <w:keepNext/>
        <w:numPr>
          <w:ilvl w:val="0"/>
          <w:numId w:val="7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0"/>
    </w:p>
    <w:p w14:paraId="09EBDC2A" w14:textId="19026E0B" w:rsidR="00423153" w:rsidRPr="00A90E21" w:rsidRDefault="00423153" w:rsidP="00A90E21">
      <w:pPr>
        <w:spacing w:after="60" w:line="312" w:lineRule="auto"/>
        <w:jc w:val="both"/>
      </w:pPr>
      <w:r w:rsidRPr="00600EC0">
        <w:rPr>
          <w:rFonts w:ascii="Century Gothic" w:hAnsi="Century Gothic"/>
          <w:sz w:val="20"/>
          <w:szCs w:val="20"/>
        </w:rPr>
        <w:t>Grupa Muszkieterów jest s</w:t>
      </w:r>
      <w:r w:rsidRPr="00600EC0">
        <w:rPr>
          <w:rFonts w:ascii="Century Gothic" w:hAnsi="Century Gothic" w:cs="Helv"/>
          <w:color w:val="000000"/>
          <w:sz w:val="20"/>
          <w:szCs w:val="20"/>
        </w:rPr>
        <w:t xml:space="preserve">iecią handlową </w:t>
      </w:r>
      <w:r w:rsidR="00E010A9">
        <w:rPr>
          <w:rFonts w:ascii="Century Gothic" w:hAnsi="Century Gothic" w:cs="Helv"/>
          <w:color w:val="000000"/>
          <w:sz w:val="20"/>
          <w:szCs w:val="20"/>
        </w:rPr>
        <w:t>działająca w modelu franczyzowym</w:t>
      </w:r>
      <w:r w:rsidR="004813B0">
        <w:rPr>
          <w:rFonts w:ascii="Century Gothic" w:hAnsi="Century Gothic" w:cs="Helv"/>
          <w:color w:val="000000"/>
          <w:sz w:val="20"/>
          <w:szCs w:val="20"/>
        </w:rPr>
        <w:t xml:space="preserve"> </w:t>
      </w:r>
      <w:r w:rsidRPr="00600EC0">
        <w:rPr>
          <w:rFonts w:ascii="Century Gothic" w:hAnsi="Century Gothic"/>
          <w:sz w:val="20"/>
          <w:szCs w:val="20"/>
        </w:rPr>
        <w:t xml:space="preserve">zrzeszającą 368 supermarketów, w tym 191 spożywczych 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Intermarche </w:t>
      </w:r>
      <w:r w:rsidR="00530D0D">
        <w:rPr>
          <w:rFonts w:ascii="Century Gothic" w:hAnsi="Century Gothic"/>
          <w:color w:val="000000"/>
          <w:sz w:val="20"/>
          <w:szCs w:val="20"/>
        </w:rPr>
        <w:t>oraz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 177 supermarketów typu „dom i ogród” Bricomarche, jak również 65 stacji benzynowych funkcjonujących przy wybranych sklepach. </w:t>
      </w:r>
    </w:p>
    <w:p w14:paraId="637F36CE" w14:textId="77777777" w:rsidR="004F686C" w:rsidRDefault="00530D0D" w:rsidP="004F686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Rolą centrali </w:t>
      </w:r>
      <w:r>
        <w:rPr>
          <w:rFonts w:ascii="Century Gothic" w:hAnsi="Century Gothic"/>
          <w:sz w:val="20"/>
          <w:szCs w:val="20"/>
        </w:rPr>
        <w:t xml:space="preserve">Grupy Muszkieterów </w:t>
      </w:r>
      <w:r w:rsidRPr="00600EC0">
        <w:rPr>
          <w:rFonts w:ascii="Century Gothic" w:hAnsi="Century Gothic"/>
          <w:sz w:val="20"/>
          <w:szCs w:val="20"/>
        </w:rPr>
        <w:t xml:space="preserve">jest zapewnienie wsparcia w funkcjonowaniu sklepów. </w:t>
      </w:r>
      <w:r w:rsidR="00423153" w:rsidRPr="00600EC0">
        <w:rPr>
          <w:rFonts w:ascii="Century Gothic" w:hAnsi="Century Gothic"/>
          <w:sz w:val="20"/>
          <w:szCs w:val="20"/>
        </w:rPr>
        <w:t>Centrala Grupy mieści się w Swadzimiu k. Poznania</w:t>
      </w:r>
      <w:r w:rsidR="00481765">
        <w:rPr>
          <w:rFonts w:ascii="Century Gothic" w:hAnsi="Century Gothic"/>
          <w:sz w:val="20"/>
          <w:szCs w:val="20"/>
        </w:rPr>
        <w:t>,</w:t>
      </w:r>
      <w:r w:rsidR="00423153" w:rsidRPr="00600EC0">
        <w:rPr>
          <w:rFonts w:ascii="Century Gothic" w:hAnsi="Century Gothic"/>
          <w:sz w:val="20"/>
          <w:szCs w:val="20"/>
        </w:rPr>
        <w:t xml:space="preserve"> w której znajduje się siedem spółek centralnych wchodzących w skład Grupy Muszkieterów. </w:t>
      </w:r>
    </w:p>
    <w:p w14:paraId="3869E15E" w14:textId="5671B6D0" w:rsidR="00423153" w:rsidRPr="00600EC0" w:rsidRDefault="00423153" w:rsidP="00600EC0">
      <w:pPr>
        <w:spacing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>Wiodącą spółka Grupy jest ITM Polska, która jest operatorem sieci sklepów Intermarche i Bricomarche w Polsce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ipercze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6A00BB74" w:rsidR="00C75261" w:rsidRPr="00C75261" w:rsidRDefault="00C75261" w:rsidP="00A201C8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zapytania ofertowego</w:t>
      </w:r>
    </w:p>
    <w:p w14:paraId="51300100" w14:textId="078CF587" w:rsidR="00E86905" w:rsidRPr="00227F1F" w:rsidRDefault="00C75261" w:rsidP="00E9251B">
      <w:pPr>
        <w:pStyle w:val="Akapitzlist"/>
        <w:numPr>
          <w:ilvl w:val="3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„ITM Polska”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7C5C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12EA5"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. z o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.o. 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 siedzibą w Swadzimiu (dalej: Zamawiający) jest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spółk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zarządzając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rozwojem supermarketów Intermarche i Bricomarche) reprezentująca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w niniejszym postępowaniu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spółkę SCA PR Polska sp. z o.o.,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stanowiąc</w:t>
      </w:r>
      <w:r w:rsidR="00BF6BE6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centralę zakupową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dla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szyld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u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Intermarche</w:t>
      </w:r>
      <w:r w:rsidR="00BF6BE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oraz spółkę MGI Polska sp. z o.o.</w:t>
      </w:r>
      <w:r w:rsidR="00670B0E">
        <w:rPr>
          <w:rFonts w:ascii="Century Gothic" w:eastAsia="Calibri" w:hAnsi="Century Gothic" w:cs="Times New Roman"/>
          <w:sz w:val="20"/>
          <w:szCs w:val="20"/>
          <w:lang w:eastAsia="pl-PL"/>
        </w:rPr>
        <w:t>, stanowiącą centralę zakupową dla szyldu Bricomarche,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zaprasza do złożenia oferty</w:t>
      </w:r>
      <w:r w:rsidR="00112EA5" w:rsidRPr="00440E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</w:t>
      </w:r>
      <w:r w:rsidR="0052036B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usługi </w:t>
      </w:r>
      <w:r w:rsidR="004B1D2A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odbioru / zakupu odpadów (folia transparentna, </w:t>
      </w:r>
      <w:r w:rsidR="00BE6DA4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folia kolorowa, karton) ze sklepów sieci Intermarche i Bricomarche w Polsce</w:t>
      </w:r>
      <w:r w:rsidR="0052588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E8690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>w zakresie i na warunkach określonych w niniejszym dokumencie.</w:t>
      </w:r>
      <w:r w:rsidR="004165BF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Szczegółową listę </w:t>
      </w:r>
      <w:r w:rsidR="005E39E4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wraz z lokalizacją zawiera Załącznik 1. </w:t>
      </w:r>
    </w:p>
    <w:p w14:paraId="39A34154" w14:textId="77777777" w:rsidR="00E86905" w:rsidRPr="00E86905" w:rsidRDefault="00E86905" w:rsidP="00525885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1D4443A3" w14:textId="77777777" w:rsidR="00DD77C2" w:rsidRPr="00785BCF" w:rsidRDefault="00DD77C2" w:rsidP="00DD77C2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60A262C5" w14:textId="77777777" w:rsid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 xml:space="preserve">Swadzim , ul. Św. Mikołaja 5, </w:t>
      </w:r>
    </w:p>
    <w:p w14:paraId="22AF431A" w14:textId="48758CAB" w:rsidR="00E14070" w:rsidRP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>62-080 Tarnowo Podgórne</w:t>
      </w:r>
    </w:p>
    <w:p w14:paraId="38AE09C6" w14:textId="77777777" w:rsidR="00E14070" w:rsidRPr="00EE1D25" w:rsidRDefault="00E14070" w:rsidP="00555C18">
      <w:pPr>
        <w:shd w:val="clear" w:color="auto" w:fill="FFFFFF"/>
        <w:spacing w:after="120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1D25">
        <w:rPr>
          <w:rFonts w:ascii="Century Gothic" w:eastAsia="Times New Roman" w:hAnsi="Century Gothic" w:cs="Times New Roman"/>
          <w:sz w:val="20"/>
          <w:szCs w:val="20"/>
          <w:lang w:eastAsia="pl-PL"/>
        </w:rPr>
        <w:t>NIP: 778-00-00-892</w:t>
      </w:r>
    </w:p>
    <w:p w14:paraId="1945BC5F" w14:textId="58C7730A" w:rsidR="00525885" w:rsidRDefault="00E86905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przeznaczony jest dla firm zaproszonych do postępowania ofertowego i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4D7AA95E" w14:textId="580C9FA8" w:rsidR="00092464" w:rsidRDefault="00092464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Zamawiający bierze udział w postępowaniu ofertowym jako pośrednik w negocjacjach jednolitych warunków zakupowych dla spółek 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prawa handlowego 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prowadzących działalność 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gospodarczą w postaci supermarketów branży FMCG 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pod 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>szyldem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Intermarché lub 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supermarketów branży DYI pod szyldem 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>Bricomarché, które dokonywać będą zamówień bezpośrednich u Oferenta i bezpośrednio z Oferentem rozliczać wykonane zamówienie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(dalej: spółki sklepowe)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. </w:t>
      </w:r>
    </w:p>
    <w:p w14:paraId="6FF6F2CF" w14:textId="77777777" w:rsidR="001B4096" w:rsidRPr="00ED7D76" w:rsidRDefault="001B4096" w:rsidP="00C765E5">
      <w:pPr>
        <w:keepNext/>
        <w:widowControl w:val="0"/>
        <w:numPr>
          <w:ilvl w:val="0"/>
          <w:numId w:val="40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ED7D76">
        <w:rPr>
          <w:rFonts w:ascii="Century Gothic" w:eastAsia="Times New Roman" w:hAnsi="Century Gothic" w:cs="Calibri"/>
          <w:b/>
          <w:color w:val="000000"/>
          <w:sz w:val="24"/>
          <w:szCs w:val="24"/>
        </w:rPr>
        <w:t>Cel dokumentu</w:t>
      </w:r>
    </w:p>
    <w:p w14:paraId="6FCDD1CD" w14:textId="58194CA2" w:rsidR="001B4096" w:rsidRPr="001950C3" w:rsidRDefault="001B4096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D7D7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Celem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zapytania ofertowego jest wyłonienie dostawcy lub dostawców dla sklepów sieci Intermarche </w:t>
      </w:r>
      <w:r w:rsidR="003C73A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i Bricomarche usługi </w:t>
      </w:r>
      <w:r w:rsidR="00AE329B">
        <w:rPr>
          <w:rFonts w:ascii="Century Gothic" w:eastAsia="Times New Roman" w:hAnsi="Century Gothic" w:cs="Century Gothic"/>
          <w:sz w:val="20"/>
          <w:szCs w:val="20"/>
          <w:lang w:eastAsia="ar-SA"/>
        </w:rPr>
        <w:t>odbioru / zakupu odpadów</w:t>
      </w:r>
      <w:r w:rsidR="009E6C22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( folia transparentna, folia kolorowa, karton)</w:t>
      </w:r>
      <w:r w:rsidR="004C292B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wg. kryteriów opisanych w niniejszym zapytan</w:t>
      </w:r>
      <w:r w:rsidR="00D3481F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iu. </w:t>
      </w:r>
    </w:p>
    <w:p w14:paraId="45F6A72C" w14:textId="5BC948D2" w:rsidR="001B4096" w:rsidRDefault="001B4096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Biorąc powyższe pod uwagę poszukujemy </w:t>
      </w:r>
      <w:r w:rsidR="00D3481F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dostawców usług, którzy </w:t>
      </w:r>
      <w:r w:rsidR="00844FCA">
        <w:rPr>
          <w:rFonts w:ascii="Century Gothic" w:eastAsia="Times New Roman" w:hAnsi="Century Gothic" w:cs="Century Gothic"/>
          <w:sz w:val="20"/>
          <w:szCs w:val="20"/>
          <w:lang w:eastAsia="ar-SA"/>
        </w:rPr>
        <w:t>zaproponują najlepsze warunki współpracy</w:t>
      </w:r>
      <w:r w:rsidR="00173358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</w:p>
    <w:p w14:paraId="2D0C8292" w14:textId="77777777" w:rsidR="00E24EB0" w:rsidRDefault="00E24EB0" w:rsidP="001B4096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35F2C510" w14:textId="77777777" w:rsidR="00A201C8" w:rsidRPr="0090724C" w:rsidRDefault="00A201C8" w:rsidP="00116DEA">
      <w:pPr>
        <w:keepNext/>
        <w:numPr>
          <w:ilvl w:val="0"/>
          <w:numId w:val="40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90724C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Informacje dotyczące poufności</w:t>
      </w:r>
    </w:p>
    <w:p w14:paraId="3D7EB9A6" w14:textId="4877C4EF" w:rsidR="00A201C8" w:rsidRDefault="00A201C8" w:rsidP="001C324F">
      <w:pPr>
        <w:shd w:val="clear" w:color="auto" w:fill="FFFFFF"/>
        <w:spacing w:after="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0724C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15A5177" w14:textId="6B5B6FEC" w:rsidR="00924FD7" w:rsidRPr="00785BCF" w:rsidRDefault="00785BCF" w:rsidP="001C324F">
      <w:pPr>
        <w:shd w:val="clear" w:color="auto" w:fill="FFFFFF"/>
        <w:spacing w:after="6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Podpisany oryginał w dwóch egzemplarzach </w:t>
      </w:r>
      <w:r w:rsidR="00924FD7"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(ewentualnie jak występuje konieczność proszę załączyć wymagane pełnomocnictwo – dokumenty nie podpsuje osoba z reprezentacji z KRS) należy wysłać na adres:</w:t>
      </w:r>
    </w:p>
    <w:p w14:paraId="50F40AC3" w14:textId="105F5ADC" w:rsidR="00924FD7" w:rsidRPr="00785BCF" w:rsidRDefault="00DD77C2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</w:t>
      </w:r>
      <w:r w:rsidR="001C324F">
        <w:rPr>
          <w:rFonts w:cs="Times New Roman"/>
          <w:sz w:val="20"/>
          <w:szCs w:val="20"/>
          <w:lang w:eastAsia="pl-PL"/>
        </w:rPr>
        <w:t>ITM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3D4DAE16" w14:textId="3EA9A7AD" w:rsidR="00924FD7" w:rsidRPr="00785BCF" w:rsidRDefault="001C324F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Swadzim, u</w:t>
      </w:r>
      <w:r w:rsidR="00924FD7" w:rsidRPr="00785BCF">
        <w:rPr>
          <w:rFonts w:cs="Times New Roman"/>
          <w:sz w:val="20"/>
          <w:szCs w:val="20"/>
          <w:lang w:eastAsia="pl-PL"/>
        </w:rPr>
        <w:t>l. Św. Mikołaja 5</w:t>
      </w:r>
    </w:p>
    <w:p w14:paraId="681C5443" w14:textId="2EE3DD71" w:rsidR="00924FD7" w:rsidRPr="00785BCF" w:rsidRDefault="00924FD7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>62-080 Tarnowo Podgórne</w:t>
      </w:r>
    </w:p>
    <w:p w14:paraId="21D9791D" w14:textId="4E13257F" w:rsidR="00924FD7" w:rsidRPr="00785BCF" w:rsidRDefault="00924FD7" w:rsidP="001C324F">
      <w:pPr>
        <w:pStyle w:val="WW-Tekstpodstawowywcity2"/>
        <w:widowControl w:val="0"/>
        <w:spacing w:after="60"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 xml:space="preserve">Koniecznie z dopiskiem </w:t>
      </w:r>
      <w:r w:rsidR="00FB631E">
        <w:rPr>
          <w:rFonts w:cs="Times New Roman"/>
          <w:sz w:val="20"/>
          <w:szCs w:val="20"/>
          <w:lang w:eastAsia="pl-PL"/>
        </w:rPr>
        <w:t>Paweł Gierlicz</w:t>
      </w:r>
    </w:p>
    <w:p w14:paraId="6B132F55" w14:textId="5E2D72EF" w:rsidR="00924FD7" w:rsidRPr="0090724C" w:rsidRDefault="001C324F" w:rsidP="001C324F">
      <w:pPr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Skan podpisanej umowy o 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zachowani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poufności NDA (ewentualnie jak występuje konieczność proszę załączyć wymagane pełnomocnictwo – dokumenty nie podpsuje osoba z reprezentacji z KRS) należy załączyć również na platformie w momencie składania oferty.</w:t>
      </w:r>
    </w:p>
    <w:p w14:paraId="747DAEC4" w14:textId="77777777" w:rsidR="001950C3" w:rsidRPr="001950C3" w:rsidRDefault="001950C3" w:rsidP="001B4096">
      <w:pPr>
        <w:keepNext/>
        <w:widowControl w:val="0"/>
        <w:numPr>
          <w:ilvl w:val="0"/>
          <w:numId w:val="3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950C3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14A69B67" w14:textId="1B3FE0EE" w:rsidR="001950C3" w:rsidRPr="001950C3" w:rsidRDefault="001950C3" w:rsidP="006E4B15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56A47E2E" w14:textId="4A0021E7" w:rsidR="001950C3" w:rsidRPr="001950C3" w:rsidRDefault="001950C3" w:rsidP="001950C3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 w:rsidR="00F22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7F899AA6" w14:textId="4781CEB4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Zapytanie nie jest podstawą do dochodzenia jakichkolwiek roszczeń w stosunku do spółki ITM Polska sp. z o.o. z siedzibą w Swadzimiu lub innych spółek należących do Grupy Muszkieterów w Polsce</w:t>
      </w:r>
      <w:r w:rsidR="00857C5C">
        <w:rPr>
          <w:rFonts w:ascii="Century Gothic" w:eastAsia="Calibri" w:hAnsi="Century Gothic" w:cs="Times New Roman"/>
          <w:sz w:val="20"/>
          <w:szCs w:val="20"/>
        </w:rPr>
        <w:t xml:space="preserve"> w tym SCA PR Polska</w:t>
      </w:r>
      <w:r w:rsidR="00E9251B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Pr="001950C3">
        <w:rPr>
          <w:rFonts w:ascii="Century Gothic" w:eastAsia="Calibri" w:hAnsi="Century Gothic" w:cs="Times New Roman"/>
          <w:sz w:val="20"/>
          <w:szCs w:val="20"/>
        </w:rPr>
        <w:t>, wynikających z podjęcia decyzji lub działań w procesie składania ofert.</w:t>
      </w:r>
    </w:p>
    <w:p w14:paraId="5CFEE0BE" w14:textId="59E3A09D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 w:rsidR="00492D0F"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0BE67" w14:textId="2E8C9BB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Odpowiedź potencjalnego Dostawcy na zapytanie ofertowe nie zobowiązuje Spółki </w:t>
      </w:r>
      <w:r w:rsidR="00857C5C">
        <w:rPr>
          <w:rFonts w:ascii="Century Gothic" w:eastAsia="Calibri" w:hAnsi="Century Gothic" w:cs="Times New Roman"/>
          <w:sz w:val="20"/>
          <w:szCs w:val="20"/>
        </w:rPr>
        <w:t>ITM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Polska do akceptacji tej odpowiedzi w całości lub jej części.</w:t>
      </w:r>
    </w:p>
    <w:p w14:paraId="6C95460A" w14:textId="77777777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ITM Polska zastrzega sobie prawo do wycofania zapytania w dowolnym czasie.</w:t>
      </w:r>
    </w:p>
    <w:p w14:paraId="35ACD88E" w14:textId="0A40BC7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ITM Polska zastrzega sobie prawo do wyboru więcej niż jednego </w:t>
      </w:r>
      <w:r w:rsidR="003C70FC">
        <w:rPr>
          <w:rFonts w:ascii="Century Gothic" w:eastAsia="Calibri" w:hAnsi="Century Gothic" w:cs="Times New Roman"/>
          <w:sz w:val="20"/>
          <w:szCs w:val="20"/>
        </w:rPr>
        <w:t>Dostaw</w:t>
      </w:r>
      <w:r w:rsidR="003C70FC" w:rsidRPr="001950C3">
        <w:rPr>
          <w:rFonts w:ascii="Century Gothic" w:eastAsia="Calibri" w:hAnsi="Century Gothic" w:cs="Times New Roman"/>
          <w:sz w:val="20"/>
          <w:szCs w:val="20"/>
        </w:rPr>
        <w:t xml:space="preserve">cy </w:t>
      </w:r>
      <w:r w:rsidRPr="001950C3">
        <w:rPr>
          <w:rFonts w:ascii="Century Gothic" w:eastAsia="Calibri" w:hAnsi="Century Gothic" w:cs="Times New Roman"/>
          <w:sz w:val="20"/>
          <w:szCs w:val="20"/>
        </w:rPr>
        <w:t>usług objętych niniejszym zapytaniem.</w:t>
      </w:r>
    </w:p>
    <w:p w14:paraId="42FCA138" w14:textId="43F4DB3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Akceptacja odpowiedzi Oferenta na zapytanie ofertowe nie powoduje żadnego zobowiązania Spółki ITM Polska w stosunku do potencjalnego Oferenta dopóki nie zostanie podpisana umowa handlowa</w:t>
      </w:r>
      <w:r w:rsidR="00492D0F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ITM Polska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78050FC2" w14:textId="15668024" w:rsidR="0065681D" w:rsidRPr="001950C3" w:rsidRDefault="0065681D" w:rsidP="006E4B15">
      <w:pPr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Finalnie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Platformie Zakupowej Open Nexus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A78FCB" w14:textId="77777777" w:rsidR="00BF0A34" w:rsidRPr="00FA7A35" w:rsidRDefault="001950C3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Termin ważności oferty musi wynosić </w:t>
      </w:r>
      <w:r w:rsidRPr="00FA7A35">
        <w:rPr>
          <w:rFonts w:ascii="Century Gothic" w:eastAsia="Calibri" w:hAnsi="Century Gothic" w:cs="Times New Roman"/>
          <w:sz w:val="20"/>
          <w:szCs w:val="20"/>
        </w:rPr>
        <w:t xml:space="preserve">minimum 60 dni. </w:t>
      </w:r>
    </w:p>
    <w:p w14:paraId="56E0C68A" w14:textId="3DF0C44D" w:rsidR="00BF0A34" w:rsidRPr="00BF0A34" w:rsidRDefault="00BF0A34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BF0A34">
        <w:rPr>
          <w:rFonts w:ascii="Century Gothic" w:eastAsia="Times New Roman" w:hAnsi="Century Gothic" w:cs="Times New Roman"/>
          <w:sz w:val="20"/>
          <w:szCs w:val="20"/>
          <w:lang w:eastAsia="ar-SA"/>
        </w:rPr>
        <w:t>Warunki płatności :</w:t>
      </w:r>
    </w:p>
    <w:p w14:paraId="082D70E1" w14:textId="55AF97B3" w:rsidR="00BF0A34" w:rsidRDefault="00BF0A34" w:rsidP="00BF0A34">
      <w:pPr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E4175">
        <w:rPr>
          <w:rFonts w:ascii="Century Gothic" w:hAnsi="Century Gothic"/>
          <w:sz w:val="20"/>
          <w:szCs w:val="20"/>
        </w:rPr>
        <w:t xml:space="preserve">Termin płatności – nie krótszy niż </w:t>
      </w:r>
      <w:r>
        <w:rPr>
          <w:rFonts w:ascii="Century Gothic" w:hAnsi="Century Gothic"/>
          <w:sz w:val="20"/>
          <w:szCs w:val="20"/>
        </w:rPr>
        <w:t>3</w:t>
      </w:r>
      <w:r w:rsidRPr="00BE4175">
        <w:rPr>
          <w:rFonts w:ascii="Century Gothic" w:hAnsi="Century Gothic"/>
          <w:sz w:val="20"/>
          <w:szCs w:val="20"/>
        </w:rPr>
        <w:t xml:space="preserve">0 dni od daty dostarczenia poprawnie wystawionej faktury VAT w przypadku istniejących placówek handlowych </w:t>
      </w:r>
      <w:r>
        <w:rPr>
          <w:rFonts w:ascii="Century Gothic" w:hAnsi="Century Gothic"/>
          <w:sz w:val="20"/>
          <w:szCs w:val="20"/>
        </w:rPr>
        <w:t>oraz obligatoryjnie</w:t>
      </w:r>
      <w:r w:rsidRPr="00BE4175">
        <w:rPr>
          <w:rFonts w:ascii="Century Gothic" w:hAnsi="Century Gothic"/>
          <w:sz w:val="20"/>
          <w:szCs w:val="20"/>
        </w:rPr>
        <w:t xml:space="preserve"> 45 dni w przypadku nowo otwieranych placówek handlowych</w:t>
      </w:r>
      <w:r>
        <w:rPr>
          <w:rFonts w:ascii="Century Gothic" w:hAnsi="Century Gothic"/>
          <w:sz w:val="20"/>
          <w:szCs w:val="20"/>
        </w:rPr>
        <w:t>.</w:t>
      </w:r>
    </w:p>
    <w:p w14:paraId="14B56C51" w14:textId="67C7D15D" w:rsidR="00BF0A34" w:rsidRPr="00BF0A34" w:rsidRDefault="00BF0A34" w:rsidP="00BF0A3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827D9C">
        <w:rPr>
          <w:rFonts w:ascii="Century Gothic" w:hAnsi="Century Gothic"/>
          <w:sz w:val="20"/>
          <w:szCs w:val="20"/>
        </w:rPr>
        <w:t>Płatność</w:t>
      </w:r>
      <w:r>
        <w:rPr>
          <w:rFonts w:ascii="Century Gothic" w:hAnsi="Century Gothic"/>
          <w:sz w:val="20"/>
          <w:szCs w:val="20"/>
        </w:rPr>
        <w:t xml:space="preserve"> </w:t>
      </w:r>
      <w:r w:rsidRPr="00827D9C">
        <w:rPr>
          <w:rFonts w:ascii="Century Gothic" w:hAnsi="Century Gothic"/>
          <w:sz w:val="20"/>
          <w:szCs w:val="20"/>
        </w:rPr>
        <w:t xml:space="preserve">będzie realizowana </w:t>
      </w:r>
      <w:r>
        <w:rPr>
          <w:rFonts w:ascii="Century Gothic" w:hAnsi="Century Gothic"/>
          <w:sz w:val="20"/>
          <w:szCs w:val="20"/>
        </w:rPr>
        <w:t xml:space="preserve">przelewem </w:t>
      </w:r>
      <w:r w:rsidRPr="00827D9C">
        <w:rPr>
          <w:rFonts w:ascii="Century Gothic" w:hAnsi="Century Gothic"/>
          <w:sz w:val="20"/>
          <w:szCs w:val="20"/>
        </w:rPr>
        <w:t>przez spółkę sklepową</w:t>
      </w:r>
      <w:r w:rsidR="001C4D57">
        <w:rPr>
          <w:rFonts w:ascii="Century Gothic" w:hAnsi="Century Gothic"/>
          <w:sz w:val="20"/>
          <w:szCs w:val="20"/>
        </w:rPr>
        <w:t>, w cyklach miesięcznych</w:t>
      </w:r>
      <w:r w:rsidR="00CD01B3">
        <w:rPr>
          <w:rFonts w:ascii="Century Gothic" w:hAnsi="Century Gothic"/>
          <w:sz w:val="20"/>
          <w:szCs w:val="20"/>
        </w:rPr>
        <w:t>,</w:t>
      </w:r>
      <w:r w:rsidRPr="00827D9C">
        <w:rPr>
          <w:rFonts w:ascii="Century Gothic" w:hAnsi="Century Gothic"/>
          <w:sz w:val="20"/>
          <w:szCs w:val="20"/>
        </w:rPr>
        <w:t xml:space="preserve">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 zrealizowaniu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całości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zamówienia</w:t>
      </w:r>
      <w:r w:rsidR="00CD01B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/ zamówień </w:t>
      </w:r>
      <w:r w:rsidR="00F4422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usługi </w:t>
      </w:r>
      <w:r w:rsidR="00CD01B3">
        <w:rPr>
          <w:rFonts w:ascii="Century Gothic" w:eastAsia="Times New Roman" w:hAnsi="Century Gothic" w:cs="Times New Roman"/>
          <w:sz w:val="20"/>
          <w:szCs w:val="20"/>
          <w:lang w:eastAsia="ar-SA"/>
        </w:rPr>
        <w:t>za dany miesiąc</w:t>
      </w:r>
      <w:r w:rsidR="00F4422F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</w:p>
    <w:p w14:paraId="1EC16CDF" w14:textId="3983F133" w:rsidR="00D66926" w:rsidRPr="00D66926" w:rsidRDefault="00D66926" w:rsidP="00050D29">
      <w:pPr>
        <w:keepNext/>
        <w:numPr>
          <w:ilvl w:val="0"/>
          <w:numId w:val="3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0A7AACE6" w:rsidR="00D66926" w:rsidRPr="00487BD9" w:rsidRDefault="00D66926" w:rsidP="0008573D">
      <w:pPr>
        <w:pStyle w:val="Akapitzlist"/>
        <w:numPr>
          <w:ilvl w:val="0"/>
          <w:numId w:val="39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>Wiążącą wersją językową zapytania ofertowego jest dokument zapytania sporządzony w języku polskim. W przypadku, gdyby powstały tłumaczenia dokumentu zapytania w innym języku albo negocjacje językowe odbywały się w innym języku niż język polski,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1CA20F2" w14:textId="148C922A" w:rsidR="00787E2C" w:rsidRPr="006619FA" w:rsidRDefault="00787E2C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Wykonawca </w:t>
      </w:r>
      <w:r w:rsidR="00092464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zobowiązany jest do złożenia </w:t>
      </w: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oś</w:t>
      </w:r>
      <w:r w:rsidR="00092464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wiadczenia o </w:t>
      </w: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posiada</w:t>
      </w:r>
      <w:r w:rsidR="00092464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niu</w:t>
      </w: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możliwości finansowych i ekonomicznych, </w:t>
      </w: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wiedz</w:t>
      </w:r>
      <w:r w:rsidR="00092464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, doś</w:t>
      </w:r>
      <w:r w:rsidR="00092464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wiadczenia, uprawnień</w:t>
      </w: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oraz zasobów</w:t>
      </w: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(techniczne, osobowe) niezbędne do wykonania przedmiotu zamówienia.</w:t>
      </w:r>
    </w:p>
    <w:p w14:paraId="10DC8B78" w14:textId="77777777" w:rsidR="00FF111E" w:rsidRPr="006619FA" w:rsidRDefault="00D66926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</w:t>
      </w:r>
      <w:r w:rsidR="005F0802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5D584E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="005F0802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), </w:t>
      </w:r>
      <w:r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aktualne dokumenty rejestrowe firmy: aktualny odpis dokumentacji KRS/CEIDG, NIP, REGON,  polisa ubezpieczenia od odpowiedzialności cywilnej</w:t>
      </w:r>
      <w:r w:rsidR="00092464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, oświadczenie zgodne z punkt 6.2. zapytania</w:t>
      </w:r>
      <w:r w:rsidR="005E7392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>, wpis do rejestru</w:t>
      </w:r>
      <w:r w:rsidR="0046164F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BDO, kopie decyzji na transport objętych niniejszym zapytaniem ofertowym</w:t>
      </w:r>
      <w:r w:rsidR="00797E2B" w:rsidRPr="006619F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</w:p>
    <w:p w14:paraId="4223F5F7" w14:textId="77777777" w:rsidR="00A15922" w:rsidRPr="00A15922" w:rsidRDefault="00A15922" w:rsidP="009D063B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000D6F38" w14:textId="34B59A45" w:rsidR="00350E0C" w:rsidRDefault="00350E0C" w:rsidP="00523FE1">
      <w:pPr>
        <w:keepNext/>
        <w:numPr>
          <w:ilvl w:val="0"/>
          <w:numId w:val="37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36E4330B" w14:textId="150A187A" w:rsidR="00B41FF8" w:rsidRPr="00DF7F8D" w:rsidRDefault="005C258B" w:rsidP="00DF7F8D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</w:t>
      </w:r>
      <w:r w:rsidR="00666401" w:rsidRPr="00DF7F8D">
        <w:rPr>
          <w:rFonts w:ascii="Century Gothic" w:hAnsi="Century Gothic" w:cstheme="minorHAnsi"/>
          <w:sz w:val="20"/>
          <w:szCs w:val="20"/>
        </w:rPr>
        <w:t>ferent przygotuje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propozycj</w:t>
      </w:r>
      <w:r w:rsidR="00666401" w:rsidRPr="00DF7F8D">
        <w:rPr>
          <w:rFonts w:ascii="Century Gothic" w:hAnsi="Century Gothic" w:cstheme="minorHAnsi"/>
          <w:sz w:val="20"/>
          <w:szCs w:val="20"/>
        </w:rPr>
        <w:t>ę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w oparciu o wytyczne wynikające z  przekazanych materiałów oraz zgodnie z najlepszą wiedzą </w:t>
      </w:r>
      <w:r w:rsidR="00083E30">
        <w:rPr>
          <w:rFonts w:ascii="Century Gothic" w:hAnsi="Century Gothic" w:cstheme="minorHAnsi"/>
          <w:sz w:val="20"/>
          <w:szCs w:val="20"/>
        </w:rPr>
        <w:t>wymaganą od profesjonalisty</w:t>
      </w:r>
      <w:r w:rsidR="00B41FF8" w:rsidRPr="00DF7F8D">
        <w:rPr>
          <w:rFonts w:ascii="Century Gothic" w:hAnsi="Century Gothic" w:cstheme="minorHAnsi"/>
          <w:sz w:val="20"/>
          <w:szCs w:val="20"/>
        </w:rPr>
        <w:t>, a także obowiązującymi przepisami.</w:t>
      </w:r>
    </w:p>
    <w:p w14:paraId="160B4405" w14:textId="6A5DCB2B" w:rsidR="00123D9C" w:rsidRDefault="006664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DF7F8D">
        <w:rPr>
          <w:rFonts w:ascii="Century Gothic" w:hAnsi="Century Gothic" w:cstheme="minorHAnsi"/>
          <w:sz w:val="20"/>
          <w:szCs w:val="20"/>
        </w:rPr>
        <w:t xml:space="preserve">Informacje związane z postepowaniem Oferent przedstawi poprzez </w:t>
      </w:r>
      <w:r w:rsidR="00C253D1">
        <w:rPr>
          <w:rFonts w:ascii="Century Gothic" w:hAnsi="Century Gothic" w:cstheme="minorHAnsi"/>
          <w:sz w:val="20"/>
          <w:szCs w:val="20"/>
        </w:rPr>
        <w:t>P</w:t>
      </w:r>
      <w:r w:rsidRPr="00DF7F8D">
        <w:rPr>
          <w:rFonts w:ascii="Century Gothic" w:hAnsi="Century Gothic" w:cstheme="minorHAnsi"/>
          <w:sz w:val="20"/>
          <w:szCs w:val="20"/>
        </w:rPr>
        <w:t xml:space="preserve">latformę </w:t>
      </w:r>
      <w:r w:rsidR="00C253D1">
        <w:rPr>
          <w:rFonts w:ascii="Century Gothic" w:hAnsi="Century Gothic" w:cstheme="minorHAnsi"/>
          <w:sz w:val="20"/>
          <w:szCs w:val="20"/>
        </w:rPr>
        <w:t>Z</w:t>
      </w:r>
      <w:r w:rsidRPr="00DF7F8D">
        <w:rPr>
          <w:rFonts w:ascii="Century Gothic" w:hAnsi="Century Gothic" w:cstheme="minorHAnsi"/>
          <w:sz w:val="20"/>
          <w:szCs w:val="20"/>
        </w:rPr>
        <w:t>akupową Open</w:t>
      </w:r>
      <w:r w:rsidR="00C253D1">
        <w:rPr>
          <w:rFonts w:ascii="Century Gothic" w:hAnsi="Century Gothic" w:cstheme="minorHAnsi"/>
          <w:sz w:val="20"/>
          <w:szCs w:val="20"/>
        </w:rPr>
        <w:t xml:space="preserve"> Nexus</w:t>
      </w:r>
      <w:r w:rsidRPr="00DF7F8D">
        <w:rPr>
          <w:rFonts w:ascii="Century Gothic" w:hAnsi="Century Gothic" w:cstheme="minorHAnsi"/>
          <w:sz w:val="20"/>
          <w:szCs w:val="20"/>
        </w:rPr>
        <w:t>,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uzupełniając wskazane pola oraz </w:t>
      </w:r>
      <w:r w:rsidRPr="00DF7F8D">
        <w:rPr>
          <w:rFonts w:ascii="Century Gothic" w:hAnsi="Century Gothic" w:cstheme="minorHAnsi"/>
          <w:sz w:val="20"/>
          <w:szCs w:val="20"/>
        </w:rPr>
        <w:t>o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bligatoryjnie </w:t>
      </w:r>
      <w:r w:rsidRPr="00DF7F8D">
        <w:rPr>
          <w:rFonts w:ascii="Century Gothic" w:hAnsi="Century Gothic" w:cstheme="minorHAnsi"/>
          <w:sz w:val="20"/>
          <w:szCs w:val="20"/>
        </w:rPr>
        <w:t>wypełniając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Załącznik </w:t>
      </w:r>
      <w:r w:rsidR="00E350A0" w:rsidRPr="00DF7F8D">
        <w:rPr>
          <w:rFonts w:ascii="Century Gothic" w:hAnsi="Century Gothic" w:cstheme="minorHAnsi"/>
          <w:b/>
          <w:sz w:val="20"/>
          <w:szCs w:val="20"/>
        </w:rPr>
        <w:t xml:space="preserve">nr </w:t>
      </w:r>
      <w:r w:rsidR="00B52C10">
        <w:rPr>
          <w:rFonts w:ascii="Century Gothic" w:hAnsi="Century Gothic" w:cstheme="minorHAnsi"/>
          <w:b/>
          <w:sz w:val="20"/>
          <w:szCs w:val="20"/>
        </w:rPr>
        <w:t>2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21206">
        <w:rPr>
          <w:rFonts w:ascii="Century Gothic" w:hAnsi="Century Gothic" w:cstheme="minorHAnsi"/>
          <w:b/>
          <w:sz w:val="20"/>
          <w:szCs w:val="20"/>
        </w:rPr>
        <w:t>–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21206">
        <w:rPr>
          <w:rFonts w:ascii="Century Gothic" w:hAnsi="Century Gothic" w:cstheme="minorHAnsi"/>
          <w:b/>
          <w:sz w:val="20"/>
          <w:szCs w:val="20"/>
        </w:rPr>
        <w:t>zasięg terytorialny us</w:t>
      </w:r>
      <w:r w:rsidR="00E40743">
        <w:rPr>
          <w:rFonts w:ascii="Century Gothic" w:hAnsi="Century Gothic" w:cstheme="minorHAnsi"/>
          <w:b/>
          <w:sz w:val="20"/>
          <w:szCs w:val="20"/>
        </w:rPr>
        <w:t xml:space="preserve">ługi, </w:t>
      </w:r>
      <w:r w:rsidR="00EF2CC1"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w formacie MS Excel</w:t>
      </w:r>
      <w:r w:rsidR="00E350A0" w:rsidRPr="00DF7F8D">
        <w:rPr>
          <w:rFonts w:ascii="Century Gothic" w:hAnsi="Century Gothic" w:cstheme="minorHAnsi"/>
          <w:bCs/>
          <w:sz w:val="20"/>
          <w:szCs w:val="20"/>
        </w:rPr>
        <w:t>, uzupełniając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w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pliku </w:t>
      </w:r>
      <w:r w:rsidR="00971538">
        <w:rPr>
          <w:rFonts w:ascii="Century Gothic" w:hAnsi="Century Gothic" w:cstheme="minorHAnsi"/>
          <w:sz w:val="20"/>
          <w:szCs w:val="20"/>
        </w:rPr>
        <w:t xml:space="preserve">dane jaki zakres terytorialny będzie miała </w:t>
      </w:r>
      <w:r w:rsidR="009145B7">
        <w:rPr>
          <w:rFonts w:ascii="Century Gothic" w:hAnsi="Century Gothic" w:cstheme="minorHAnsi"/>
          <w:sz w:val="20"/>
          <w:szCs w:val="20"/>
        </w:rPr>
        <w:t>proponowana przez niego oferta.</w:t>
      </w:r>
    </w:p>
    <w:p w14:paraId="32CEDDB0" w14:textId="4559C2A5" w:rsidR="0090724C" w:rsidRPr="009B3DBE" w:rsidRDefault="00DF7F8D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EF2CC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7"/>
    </w:p>
    <w:p w14:paraId="7C4074AA" w14:textId="6F400757" w:rsidR="009B3DBE" w:rsidRPr="00F43736" w:rsidRDefault="005018A5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postępowania ofertowego wyklucza się </w:t>
      </w:r>
      <w:r w:rsidR="001F4710">
        <w:rPr>
          <w:rFonts w:ascii="Century Gothic" w:hAnsi="Century Gothic" w:cstheme="minorHAnsi"/>
          <w:color w:val="000000" w:themeColor="text1"/>
          <w:sz w:val="20"/>
          <w:szCs w:val="20"/>
        </w:rPr>
        <w:t>oferty częściowe, nieobejmujące całego przedmiotu zamówienia</w:t>
      </w:r>
      <w:r w:rsidR="00CB63F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tj. wszystkich rodzajów odpadów. Zamawiający zastrzega sobie możliwość</w:t>
      </w:r>
      <w:r w:rsidR="0014291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ograniczenia odbioru folii transparentnej do jednej klasy czystości</w:t>
      </w:r>
      <w:r w:rsidR="00E35841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3CBFDFF2" w14:textId="77777777" w:rsidR="000323BB" w:rsidRPr="002742DA" w:rsidRDefault="00F43736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Cena musi zawierać wszystkie czynności związane z prawidłową</w:t>
      </w:r>
      <w:r w:rsidR="00324190">
        <w:rPr>
          <w:rFonts w:ascii="Century Gothic" w:hAnsi="Century Gothic" w:cstheme="minorHAnsi"/>
          <w:color w:val="000000" w:themeColor="text1"/>
          <w:sz w:val="20"/>
          <w:szCs w:val="20"/>
        </w:rPr>
        <w:t>, terminową realizacj</w:t>
      </w:r>
      <w:r w:rsidR="00BE266D">
        <w:rPr>
          <w:rFonts w:ascii="Century Gothic" w:hAnsi="Century Gothic" w:cstheme="minorHAnsi"/>
          <w:color w:val="000000" w:themeColor="text1"/>
          <w:sz w:val="20"/>
          <w:szCs w:val="20"/>
        </w:rPr>
        <w:t>ą</w:t>
      </w:r>
      <w:r w:rsidR="0032419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przedmiotu zamówienia</w:t>
      </w:r>
      <w:r w:rsidR="00C8459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zadeklarowaną</w:t>
      </w:r>
      <w:r w:rsidR="0048710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w ofercie czynności będących kryterium oceny</w:t>
      </w:r>
      <w:r w:rsidR="00EF4B8F">
        <w:rPr>
          <w:rFonts w:ascii="Century Gothic" w:hAnsi="Century Gothic" w:cstheme="minorHAnsi"/>
          <w:color w:val="000000" w:themeColor="text1"/>
          <w:sz w:val="20"/>
          <w:szCs w:val="20"/>
        </w:rPr>
        <w:t>. Wykonawca usługi powinien uwzględnić m.in. koszt robocizny</w:t>
      </w:r>
      <w:r w:rsidR="005656CB">
        <w:rPr>
          <w:rFonts w:ascii="Century Gothic" w:hAnsi="Century Gothic" w:cstheme="minorHAnsi"/>
          <w:color w:val="000000" w:themeColor="text1"/>
          <w:sz w:val="20"/>
          <w:szCs w:val="20"/>
        </w:rPr>
        <w:t>, wynagrodzeń pracowników, transportu, narzędzi, sprzętu, załadunku</w:t>
      </w:r>
      <w:r w:rsidR="00A7560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i materiałów niezbędnych do realizacji usługi, koszty związane z </w:t>
      </w:r>
      <w:r w:rsidR="00A5313F">
        <w:rPr>
          <w:rFonts w:ascii="Century Gothic" w:hAnsi="Century Gothic" w:cstheme="minorHAnsi"/>
          <w:color w:val="000000" w:themeColor="text1"/>
          <w:sz w:val="20"/>
          <w:szCs w:val="20"/>
        </w:rPr>
        <w:t>wywozem i zagospodarowaniem odpadów objętych niniejszą u</w:t>
      </w:r>
      <w:r w:rsidR="00511D2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sługą. Koszt (cena sprzedaży </w:t>
      </w:r>
      <w:r w:rsidR="00AD0503">
        <w:rPr>
          <w:rFonts w:ascii="Century Gothic" w:hAnsi="Century Gothic" w:cstheme="minorHAnsi"/>
          <w:color w:val="000000" w:themeColor="text1"/>
          <w:sz w:val="20"/>
          <w:szCs w:val="20"/>
        </w:rPr>
        <w:t>za 1 tonę odpadku na rzecz Wykonawcy ) winien być obliczony</w:t>
      </w:r>
      <w:r w:rsidR="000323B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dla poszczególnych rodzajów odpadu wg. następującego schematu:</w:t>
      </w:r>
    </w:p>
    <w:p w14:paraId="0642D681" w14:textId="771A6147" w:rsidR="002742DA" w:rsidRPr="0095200C" w:rsidRDefault="00191AC3" w:rsidP="002742DA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5A9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f</w:t>
      </w:r>
      <w:r w:rsidR="002742DA" w:rsidRPr="00815A9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olia transparentna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tj. spełniająca </w:t>
      </w:r>
      <w:r w:rsidR="00284114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normy jakościowe 98/2 bez zanieczyszczeń środkami spożywczymi (dopuszcza się </w:t>
      </w:r>
      <w:r w:rsidR="00273B9B">
        <w:rPr>
          <w:rFonts w:ascii="Century Gothic" w:hAnsi="Century Gothic" w:cstheme="minorHAnsi"/>
          <w:color w:val="000000" w:themeColor="text1"/>
          <w:sz w:val="20"/>
          <w:szCs w:val="20"/>
        </w:rPr>
        <w:t>maksymalnie 2% zanieczyszczeniami innego rodzaju folii)</w:t>
      </w:r>
    </w:p>
    <w:p w14:paraId="3A9B16BC" w14:textId="77777777" w:rsidR="00EE71D8" w:rsidRDefault="00EE71D8" w:rsidP="0095200C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14:paraId="296A44F2" w14:textId="63DD4489" w:rsidR="0095200C" w:rsidRDefault="0095200C" w:rsidP="0095200C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r w:rsidRPr="00FE4082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EUWID minus koszty</w:t>
      </w:r>
      <w:r w:rsidR="00151123" w:rsidRPr="00FE4082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(transport, załadunek, obsługa etc.)= cena pln / 1 tona</w:t>
      </w:r>
    </w:p>
    <w:p w14:paraId="7A10E4B7" w14:textId="77777777" w:rsidR="00EE71D8" w:rsidRDefault="00EE71D8" w:rsidP="0095200C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231AD7E0" w14:textId="6AC3F167" w:rsidR="00FE4082" w:rsidRDefault="00FE4082" w:rsidP="0095200C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Euwid to </w:t>
      </w:r>
      <w:r w:rsidR="00CC27D4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średniomiesięczna cena odpadów danego rodzaju wg. notowań </w:t>
      </w:r>
      <w:r w:rsidR="00BB0444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indeksu z miesiąca poprzedzającego miesięczny okres rozliczeniowy (wartość </w:t>
      </w:r>
      <w:r w:rsidR="0051217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wyrażona w euro a następnie przeliczona na pln wg. </w:t>
      </w:r>
      <w:r w:rsidR="000E1FF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średniego </w:t>
      </w:r>
      <w:r w:rsidR="0051217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kursu </w:t>
      </w:r>
      <w:r w:rsidR="00EE71D8">
        <w:rPr>
          <w:rFonts w:ascii="Century Gothic" w:hAnsi="Century Gothic" w:cstheme="minorHAnsi"/>
          <w:color w:val="000000" w:themeColor="text1"/>
          <w:sz w:val="20"/>
          <w:szCs w:val="20"/>
        </w:rPr>
        <w:t>NBP)</w:t>
      </w:r>
    </w:p>
    <w:p w14:paraId="20547A1C" w14:textId="77777777" w:rsidR="00EE71D8" w:rsidRPr="00FE4082" w:rsidRDefault="00EE71D8" w:rsidP="0095200C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sz w:val="20"/>
          <w:szCs w:val="20"/>
        </w:rPr>
      </w:pPr>
    </w:p>
    <w:p w14:paraId="31922DDB" w14:textId="111790CE" w:rsidR="00513FE6" w:rsidRPr="00D61513" w:rsidRDefault="00513FE6" w:rsidP="00513FE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5A9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folia transparentna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tj. spełniająca normy jakościowe 95/5 bez zanieczyszczeń środkami spożywczymi (dopuszcza się maksymalnie 5% zanieczyszczeniami innego rodzaju folii)</w:t>
      </w:r>
    </w:p>
    <w:p w14:paraId="02699A14" w14:textId="77777777" w:rsidR="00D61513" w:rsidRDefault="00D61513" w:rsidP="00D61513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sz w:val="20"/>
          <w:szCs w:val="20"/>
        </w:rPr>
      </w:pPr>
    </w:p>
    <w:p w14:paraId="6F1D1710" w14:textId="4D320B9E" w:rsidR="00865336" w:rsidRDefault="00865336" w:rsidP="00D61513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r w:rsidRPr="00865336">
        <w:rPr>
          <w:rFonts w:ascii="Century Gothic" w:hAnsi="Century Gothic" w:cstheme="minorHAnsi"/>
          <w:b/>
          <w:bCs/>
          <w:sz w:val="20"/>
          <w:szCs w:val="20"/>
        </w:rPr>
        <w:t>EUWID</w:t>
      </w:r>
      <w:r w:rsidRPr="00865336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minus</w:t>
      </w:r>
      <w:r w:rsidRPr="00FE4082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koszty (transport, załadunek, obsługa etc.)= cena pln / 1 tona</w:t>
      </w:r>
      <w: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7C09EBA" w14:textId="77777777" w:rsidR="00876857" w:rsidRDefault="00876857" w:rsidP="00D61513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29078260" w14:textId="77777777" w:rsidR="00564D64" w:rsidRDefault="00564D64" w:rsidP="00564D64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Euwid to 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>średniomiesięczna cena odpadów danego rodzaju wg. notowań indeksu z miesiąca poprzedzającego miesięczny okres rozliczeniowy (wartość wyrażona w euro a następnie przeliczona na pln wg. średniego kursu NBP)</w:t>
      </w:r>
    </w:p>
    <w:p w14:paraId="6D281321" w14:textId="20217059" w:rsidR="00564D64" w:rsidRPr="00564D64" w:rsidRDefault="00564D64" w:rsidP="00D61513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sz w:val="20"/>
          <w:szCs w:val="20"/>
        </w:rPr>
      </w:pPr>
    </w:p>
    <w:p w14:paraId="293D07D6" w14:textId="17575E11" w:rsidR="00513FE6" w:rsidRDefault="00581345" w:rsidP="002742DA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5A9B">
        <w:rPr>
          <w:rFonts w:ascii="Century Gothic" w:hAnsi="Century Gothic" w:cstheme="minorHAnsi"/>
          <w:b/>
          <w:bCs/>
          <w:sz w:val="20"/>
          <w:szCs w:val="20"/>
        </w:rPr>
        <w:t>makulatura kartonowa</w:t>
      </w:r>
      <w:r w:rsidR="0097048A">
        <w:rPr>
          <w:rFonts w:ascii="Century Gothic" w:hAnsi="Century Gothic" w:cstheme="minorHAnsi"/>
          <w:sz w:val="20"/>
          <w:szCs w:val="20"/>
        </w:rPr>
        <w:t xml:space="preserve"> spełniająca normy jakościowe </w:t>
      </w:r>
      <w:r w:rsidR="00711FDF">
        <w:rPr>
          <w:rFonts w:ascii="Century Gothic" w:hAnsi="Century Gothic" w:cstheme="minorHAnsi"/>
          <w:sz w:val="20"/>
          <w:szCs w:val="20"/>
        </w:rPr>
        <w:t>makulatury marketowej, maksymalnie 10% wilgotności, bez zanieczyszczeń tworzy</w:t>
      </w:r>
      <w:r w:rsidR="0095200C">
        <w:rPr>
          <w:rFonts w:ascii="Century Gothic" w:hAnsi="Century Gothic" w:cstheme="minorHAnsi"/>
          <w:sz w:val="20"/>
          <w:szCs w:val="20"/>
        </w:rPr>
        <w:t>wa</w:t>
      </w:r>
      <w:r w:rsidR="00711FDF">
        <w:rPr>
          <w:rFonts w:ascii="Century Gothic" w:hAnsi="Century Gothic" w:cstheme="minorHAnsi"/>
          <w:sz w:val="20"/>
          <w:szCs w:val="20"/>
        </w:rPr>
        <w:t>mi sztucznymi i środkami spożywczymi</w:t>
      </w:r>
    </w:p>
    <w:p w14:paraId="4EAFB53E" w14:textId="77777777" w:rsidR="0000744B" w:rsidRDefault="0000744B" w:rsidP="0000744B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sz w:val="20"/>
          <w:szCs w:val="20"/>
        </w:rPr>
      </w:pPr>
    </w:p>
    <w:p w14:paraId="7C88D787" w14:textId="1533A2A3" w:rsidR="00AA1361" w:rsidRDefault="0000744B" w:rsidP="00AA1361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AA1361">
        <w:rPr>
          <w:rFonts w:ascii="Century Gothic" w:hAnsi="Century Gothic" w:cstheme="minorHAnsi"/>
          <w:b/>
          <w:bCs/>
          <w:sz w:val="20"/>
          <w:szCs w:val="20"/>
        </w:rPr>
        <w:t>PIX minus koszty</w:t>
      </w:r>
      <w:r w:rsidR="00AA1361" w:rsidRPr="00AA1361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AA1361" w:rsidRPr="00AA136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(transport</w:t>
      </w:r>
      <w:r w:rsidR="00AA1361" w:rsidRPr="00FE4082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, załadunek, obsługa etc.)= cena pln / 1 tona</w:t>
      </w:r>
      <w:r w:rsidR="00AA136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11E2125" w14:textId="77777777" w:rsidR="004A008E" w:rsidRDefault="004A008E" w:rsidP="0000744B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sz w:val="20"/>
          <w:szCs w:val="20"/>
        </w:rPr>
      </w:pPr>
    </w:p>
    <w:p w14:paraId="05EAE99C" w14:textId="641F9FD1" w:rsidR="0000744B" w:rsidRDefault="004A008E" w:rsidP="0000744B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PIX to średniomiesięczna cena odpadów </w:t>
      </w:r>
      <w:r w:rsidR="00C51E04">
        <w:rPr>
          <w:rFonts w:ascii="Century Gothic" w:hAnsi="Century Gothic" w:cstheme="minorHAnsi"/>
          <w:sz w:val="20"/>
          <w:szCs w:val="20"/>
        </w:rPr>
        <w:t xml:space="preserve">według notowań </w:t>
      </w:r>
      <w:r w:rsidR="00464CA7">
        <w:rPr>
          <w:rFonts w:ascii="Century Gothic" w:hAnsi="Century Gothic" w:cstheme="minorHAnsi"/>
          <w:sz w:val="20"/>
          <w:szCs w:val="20"/>
        </w:rPr>
        <w:t xml:space="preserve">PIX z miesiąca poprzedzającego miesięczny okres </w:t>
      </w:r>
      <w:r w:rsidR="009C23F0">
        <w:rPr>
          <w:rFonts w:ascii="Century Gothic" w:hAnsi="Century Gothic" w:cstheme="minorHAnsi"/>
          <w:sz w:val="20"/>
          <w:szCs w:val="20"/>
        </w:rPr>
        <w:t xml:space="preserve">rozliczeniowy ( wartość wyrażona w euro </w:t>
      </w:r>
      <w:r w:rsidR="00CD3120">
        <w:rPr>
          <w:rFonts w:ascii="Century Gothic" w:hAnsi="Century Gothic" w:cstheme="minorHAnsi"/>
          <w:sz w:val="20"/>
          <w:szCs w:val="20"/>
        </w:rPr>
        <w:t>a następnie przeliczona na pln wg. średniego kursu NBP)</w:t>
      </w:r>
    </w:p>
    <w:p w14:paraId="019A6E3D" w14:textId="77777777" w:rsidR="0000744B" w:rsidRDefault="0000744B" w:rsidP="0000744B">
      <w:pPr>
        <w:pStyle w:val="Akapitzlist"/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1DC1CBAC" w14:textId="361EA67C" w:rsidR="00581345" w:rsidRDefault="00581345" w:rsidP="002742DA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folia</w:t>
      </w:r>
      <w:r w:rsidR="0097048A">
        <w:rPr>
          <w:rFonts w:ascii="Century Gothic" w:hAnsi="Century Gothic" w:cstheme="minorHAnsi"/>
          <w:sz w:val="20"/>
          <w:szCs w:val="20"/>
        </w:rPr>
        <w:t xml:space="preserve"> kolorowa, bez zanieczyszczeń środkami spożywczymi</w:t>
      </w:r>
    </w:p>
    <w:p w14:paraId="4C2B17DC" w14:textId="77777777" w:rsidR="009911E2" w:rsidRDefault="009911E2" w:rsidP="009911E2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sz w:val="20"/>
          <w:szCs w:val="20"/>
        </w:rPr>
      </w:pPr>
    </w:p>
    <w:p w14:paraId="0BD3723F" w14:textId="6B665C6B" w:rsidR="00335E23" w:rsidRPr="009911E2" w:rsidRDefault="00335E23" w:rsidP="00335E23">
      <w:pPr>
        <w:spacing w:after="0" w:line="312" w:lineRule="auto"/>
        <w:ind w:left="1416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911E2">
        <w:rPr>
          <w:rFonts w:ascii="Century Gothic" w:hAnsi="Century Gothic" w:cstheme="minorHAnsi"/>
          <w:b/>
          <w:bCs/>
          <w:sz w:val="20"/>
          <w:szCs w:val="20"/>
        </w:rPr>
        <w:t xml:space="preserve">stawka </w:t>
      </w:r>
      <w:r w:rsidR="009911E2" w:rsidRPr="009911E2">
        <w:rPr>
          <w:rFonts w:ascii="Century Gothic" w:hAnsi="Century Gothic" w:cstheme="minorHAnsi"/>
          <w:b/>
          <w:bCs/>
          <w:sz w:val="20"/>
          <w:szCs w:val="20"/>
        </w:rPr>
        <w:t>zryczałtowana za 1 tonę odpadku</w:t>
      </w:r>
    </w:p>
    <w:p w14:paraId="37004C79" w14:textId="77777777" w:rsidR="00513FE6" w:rsidRPr="000323BB" w:rsidRDefault="00513FE6" w:rsidP="00513FE6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sz w:val="20"/>
          <w:szCs w:val="20"/>
        </w:rPr>
      </w:pPr>
    </w:p>
    <w:p w14:paraId="6FBC716F" w14:textId="22C54DA4" w:rsidR="00F43736" w:rsidRPr="00590F34" w:rsidRDefault="00D71AF4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Płatność będzie realizowana prze</w:t>
      </w:r>
      <w:r w:rsidR="00B10C12">
        <w:rPr>
          <w:rFonts w:ascii="Century Gothic" w:hAnsi="Century Gothic" w:cstheme="minorHAnsi"/>
          <w:color w:val="000000" w:themeColor="text1"/>
          <w:sz w:val="20"/>
          <w:szCs w:val="20"/>
        </w:rPr>
        <w:t>z spółkę sklepową</w:t>
      </w:r>
      <w:r w:rsidR="002F527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, w cyklach miesięcznych </w:t>
      </w:r>
      <w:r w:rsidR="00105A9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( punkt 5.11). Podstawą do wystawienia faktury </w:t>
      </w:r>
      <w:r w:rsidR="00915B84">
        <w:rPr>
          <w:rFonts w:ascii="Century Gothic" w:hAnsi="Century Gothic" w:cstheme="minorHAnsi"/>
          <w:color w:val="000000" w:themeColor="text1"/>
          <w:sz w:val="20"/>
          <w:szCs w:val="20"/>
        </w:rPr>
        <w:t>będą kwity w</w:t>
      </w:r>
      <w:r w:rsidR="00FA4D4F">
        <w:rPr>
          <w:rFonts w:ascii="Century Gothic" w:hAnsi="Century Gothic" w:cstheme="minorHAnsi"/>
          <w:color w:val="000000" w:themeColor="text1"/>
          <w:sz w:val="20"/>
          <w:szCs w:val="20"/>
        </w:rPr>
        <w:t>ago</w:t>
      </w:r>
      <w:r w:rsidR="00915B84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we </w:t>
      </w:r>
      <w:r w:rsidR="00FA4D4F">
        <w:rPr>
          <w:rFonts w:ascii="Century Gothic" w:hAnsi="Century Gothic" w:cstheme="minorHAnsi"/>
          <w:color w:val="000000" w:themeColor="text1"/>
          <w:sz w:val="20"/>
          <w:szCs w:val="20"/>
        </w:rPr>
        <w:t>odebranego odpadu ze sklepu.</w:t>
      </w:r>
      <w:r w:rsidR="00E063A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Zamówienia będą składane poczta elektroniczną.</w:t>
      </w:r>
    </w:p>
    <w:p w14:paraId="153454C4" w14:textId="0FFA5A10" w:rsidR="00590F34" w:rsidRDefault="00DA404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W ramach </w:t>
      </w:r>
      <w:r w:rsidR="00F6579C">
        <w:rPr>
          <w:rFonts w:ascii="Century Gothic" w:hAnsi="Century Gothic" w:cstheme="minorHAnsi"/>
          <w:sz w:val="20"/>
          <w:szCs w:val="20"/>
        </w:rPr>
        <w:t>prowadzonych czynności Wykonawca jest zobowiązany do</w:t>
      </w:r>
      <w:r w:rsidR="009F62DD">
        <w:rPr>
          <w:rFonts w:ascii="Century Gothic" w:hAnsi="Century Gothic" w:cstheme="minorHAnsi"/>
          <w:sz w:val="20"/>
          <w:szCs w:val="20"/>
        </w:rPr>
        <w:t>:</w:t>
      </w:r>
    </w:p>
    <w:p w14:paraId="4103B64E" w14:textId="46BE5885" w:rsidR="009F62DD" w:rsidRDefault="009F62DD" w:rsidP="009F62D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Zagwarantowania środków </w:t>
      </w:r>
      <w:r w:rsidR="00E42044">
        <w:rPr>
          <w:rFonts w:ascii="Century Gothic" w:hAnsi="Century Gothic" w:cstheme="minorHAnsi"/>
          <w:sz w:val="20"/>
          <w:szCs w:val="20"/>
        </w:rPr>
        <w:t xml:space="preserve">transportu przedmiotowej usługi: środki transportu będą zapewniały </w:t>
      </w:r>
      <w:r w:rsidR="00006046">
        <w:rPr>
          <w:rFonts w:ascii="Century Gothic" w:hAnsi="Century Gothic" w:cstheme="minorHAnsi"/>
          <w:sz w:val="20"/>
          <w:szCs w:val="20"/>
        </w:rPr>
        <w:t xml:space="preserve">bezpieczny i wygodny załadunek oraz wyposażone w podnośnik umożliwiający załadunek </w:t>
      </w:r>
      <w:r w:rsidR="008039E7">
        <w:rPr>
          <w:rFonts w:ascii="Century Gothic" w:hAnsi="Century Gothic" w:cstheme="minorHAnsi"/>
          <w:sz w:val="20"/>
          <w:szCs w:val="20"/>
        </w:rPr>
        <w:t>w lokalizacjach pozbawionych rampy rozładunkowej</w:t>
      </w:r>
    </w:p>
    <w:p w14:paraId="0DFF913E" w14:textId="438659B8" w:rsidR="008039E7" w:rsidRDefault="008039E7" w:rsidP="009F62D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</w:t>
      </w:r>
      <w:r w:rsidR="005E1990">
        <w:rPr>
          <w:rFonts w:ascii="Century Gothic" w:hAnsi="Century Gothic" w:cstheme="minorHAnsi"/>
          <w:sz w:val="20"/>
          <w:szCs w:val="20"/>
        </w:rPr>
        <w:t>dbioru odpadów ze sklepu</w:t>
      </w:r>
    </w:p>
    <w:p w14:paraId="12267E3C" w14:textId="2441EF30" w:rsidR="005E1990" w:rsidRDefault="00613500" w:rsidP="005E1990">
      <w:pPr>
        <w:pStyle w:val="Akapitzlist"/>
        <w:numPr>
          <w:ilvl w:val="2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Surowce wtórne w postaci makulatury- kod odpadu 150101</w:t>
      </w:r>
    </w:p>
    <w:p w14:paraId="60DD1F9A" w14:textId="2890ABD5" w:rsidR="00613500" w:rsidRDefault="00CD4B4A" w:rsidP="005E1990">
      <w:pPr>
        <w:pStyle w:val="Akapitzlist"/>
        <w:numPr>
          <w:ilvl w:val="2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Surowce wtórne w postaci tworzywa sztucznego – kod odpadu 150102</w:t>
      </w:r>
      <w:r w:rsidR="001F272A">
        <w:rPr>
          <w:rFonts w:ascii="Century Gothic" w:hAnsi="Century Gothic" w:cstheme="minorHAnsi"/>
          <w:sz w:val="20"/>
          <w:szCs w:val="20"/>
        </w:rPr>
        <w:t xml:space="preserve"> (folia transparentna oraz folia kolorowa)</w:t>
      </w:r>
    </w:p>
    <w:p w14:paraId="593BAEBE" w14:textId="04471CA9" w:rsidR="001F272A" w:rsidRDefault="001F272A" w:rsidP="001F272A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Odbioru, o którym mowa </w:t>
      </w:r>
      <w:r w:rsidR="00FD5CD3">
        <w:rPr>
          <w:rFonts w:ascii="Century Gothic" w:hAnsi="Century Gothic" w:cstheme="minorHAnsi"/>
          <w:sz w:val="20"/>
          <w:szCs w:val="20"/>
        </w:rPr>
        <w:t xml:space="preserve">powyżej , maksymalnie w ciągu </w:t>
      </w:r>
      <w:r w:rsidR="00A01EA7">
        <w:rPr>
          <w:rFonts w:ascii="Century Gothic" w:hAnsi="Century Gothic" w:cstheme="minorHAnsi"/>
          <w:sz w:val="20"/>
          <w:szCs w:val="20"/>
        </w:rPr>
        <w:t xml:space="preserve">5 dni od zgłoszenia (zgłoszenie zawiera informacje </w:t>
      </w:r>
      <w:r w:rsidR="005B54F8">
        <w:rPr>
          <w:rFonts w:ascii="Century Gothic" w:hAnsi="Century Gothic" w:cstheme="minorHAnsi"/>
          <w:sz w:val="20"/>
          <w:szCs w:val="20"/>
        </w:rPr>
        <w:t>na temat rodzaju i szacowanej ilości odpadu do rozbioru)</w:t>
      </w:r>
      <w:r w:rsidR="00983C92">
        <w:rPr>
          <w:rFonts w:ascii="Century Gothic" w:hAnsi="Century Gothic" w:cstheme="minorHAnsi"/>
          <w:sz w:val="20"/>
          <w:szCs w:val="20"/>
        </w:rPr>
        <w:t>; dokładny termin odbioru odpadu, przy czym nie późniejszy niż</w:t>
      </w:r>
      <w:r w:rsidR="00A351C8">
        <w:rPr>
          <w:rFonts w:ascii="Century Gothic" w:hAnsi="Century Gothic" w:cstheme="minorHAnsi"/>
          <w:sz w:val="20"/>
          <w:szCs w:val="20"/>
        </w:rPr>
        <w:t xml:space="preserve"> określony wyżej, sklep potwierdzi z odbierającym w drodze porozumienia</w:t>
      </w:r>
    </w:p>
    <w:p w14:paraId="7FCF030A" w14:textId="14A33713" w:rsidR="00CB4E59" w:rsidRDefault="00CB4E59" w:rsidP="001F272A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Załadunku odpadu przygotowanego </w:t>
      </w:r>
      <w:r w:rsidR="00F4787E">
        <w:rPr>
          <w:rFonts w:ascii="Century Gothic" w:hAnsi="Century Gothic" w:cstheme="minorHAnsi"/>
          <w:sz w:val="20"/>
          <w:szCs w:val="20"/>
        </w:rPr>
        <w:t>przez sklep, na środek transportowy Wykonawcy</w:t>
      </w:r>
    </w:p>
    <w:p w14:paraId="7F805569" w14:textId="31D91A32" w:rsidR="00F4787E" w:rsidRDefault="00F4787E" w:rsidP="001F272A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Załadunki będą od</w:t>
      </w:r>
      <w:r w:rsidR="00DA0993">
        <w:rPr>
          <w:rFonts w:ascii="Century Gothic" w:hAnsi="Century Gothic" w:cstheme="minorHAnsi"/>
          <w:sz w:val="20"/>
          <w:szCs w:val="20"/>
        </w:rPr>
        <w:t>bywały maksymalnie do godz. 19.00</w:t>
      </w:r>
    </w:p>
    <w:p w14:paraId="44992308" w14:textId="62950541" w:rsidR="00DA0993" w:rsidRDefault="005E050B" w:rsidP="001F272A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Potwierdzenia odbioru otrzymanej od sklepu karty przekazania odpadu</w:t>
      </w:r>
      <w:r w:rsidR="00B520A2">
        <w:rPr>
          <w:rFonts w:ascii="Century Gothic" w:hAnsi="Century Gothic" w:cstheme="minorHAnsi"/>
          <w:sz w:val="20"/>
          <w:szCs w:val="20"/>
        </w:rPr>
        <w:t xml:space="preserve"> wraz z szacunkową wagą odbieranego odpadu</w:t>
      </w:r>
    </w:p>
    <w:p w14:paraId="0DAB8D7F" w14:textId="67797275" w:rsidR="00740220" w:rsidRDefault="00740220" w:rsidP="001F272A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Na wniosek sklepu, złożony nie później niż </w:t>
      </w:r>
      <w:r w:rsidR="00306EC0">
        <w:rPr>
          <w:rFonts w:ascii="Century Gothic" w:hAnsi="Century Gothic" w:cstheme="minorHAnsi"/>
          <w:sz w:val="20"/>
          <w:szCs w:val="20"/>
        </w:rPr>
        <w:t>30 dni od upływu kwartału, w którym odpady zostały przekazane do recyklingu</w:t>
      </w:r>
      <w:r w:rsidR="00692248">
        <w:rPr>
          <w:rFonts w:ascii="Century Gothic" w:hAnsi="Century Gothic" w:cstheme="minorHAnsi"/>
          <w:sz w:val="20"/>
          <w:szCs w:val="20"/>
        </w:rPr>
        <w:t xml:space="preserve">, Wykonawca dostarczy sklepowi w terminie 7 dni od </w:t>
      </w:r>
      <w:r w:rsidR="005D7D4B">
        <w:rPr>
          <w:rFonts w:ascii="Century Gothic" w:hAnsi="Century Gothic" w:cstheme="minorHAnsi"/>
          <w:sz w:val="20"/>
          <w:szCs w:val="20"/>
        </w:rPr>
        <w:t xml:space="preserve">otrzymania wniosku, dokument potwierdzający eksport odpadów </w:t>
      </w:r>
      <w:r w:rsidR="003C3FE8">
        <w:rPr>
          <w:rFonts w:ascii="Century Gothic" w:hAnsi="Century Gothic" w:cstheme="minorHAnsi"/>
          <w:sz w:val="20"/>
          <w:szCs w:val="20"/>
        </w:rPr>
        <w:t xml:space="preserve">lub wewnątrzwspółnotową dostawę odpadów w celu poddania recyklingowi </w:t>
      </w:r>
      <w:r w:rsidR="005D1D2A">
        <w:rPr>
          <w:rFonts w:ascii="Century Gothic" w:hAnsi="Century Gothic" w:cstheme="minorHAnsi"/>
          <w:sz w:val="20"/>
          <w:szCs w:val="20"/>
        </w:rPr>
        <w:t>(EDPR) albo dokument potwierdzający recykling odpadów (DPR)</w:t>
      </w:r>
    </w:p>
    <w:p w14:paraId="7258A268" w14:textId="25F9804A" w:rsidR="00896518" w:rsidRDefault="00896518" w:rsidP="001F272A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lastRenderedPageBreak/>
        <w:t xml:space="preserve">Na wniosek sklepu, pod warunkiem przekazania </w:t>
      </w:r>
      <w:r w:rsidR="00EA719A">
        <w:rPr>
          <w:rFonts w:ascii="Century Gothic" w:hAnsi="Century Gothic" w:cstheme="minorHAnsi"/>
          <w:sz w:val="20"/>
          <w:szCs w:val="20"/>
        </w:rPr>
        <w:t xml:space="preserve">mu niezbędnych danych do logowania w systemie BDO, wykonawca będzie świadczył </w:t>
      </w:r>
      <w:r w:rsidR="00B90104">
        <w:rPr>
          <w:rFonts w:ascii="Century Gothic" w:hAnsi="Century Gothic" w:cstheme="minorHAnsi"/>
          <w:sz w:val="20"/>
          <w:szCs w:val="20"/>
        </w:rPr>
        <w:t>na rzecz sklepu nieodpłatną usługę administrowania systemem BDO</w:t>
      </w:r>
      <w:r w:rsidR="00AA453A">
        <w:rPr>
          <w:rFonts w:ascii="Century Gothic" w:hAnsi="Century Gothic" w:cstheme="minorHAnsi"/>
          <w:sz w:val="20"/>
          <w:szCs w:val="20"/>
        </w:rPr>
        <w:t xml:space="preserve"> w zakresie odbieranych ze sklepów odpadów</w:t>
      </w:r>
    </w:p>
    <w:p w14:paraId="1C392DB2" w14:textId="77777777" w:rsidR="00E71BA5" w:rsidRDefault="00E71BA5" w:rsidP="00E71BA5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sz w:val="20"/>
          <w:szCs w:val="20"/>
        </w:rPr>
      </w:pPr>
    </w:p>
    <w:p w14:paraId="2D84FB39" w14:textId="0F7FCC04" w:rsidR="00567B53" w:rsidRDefault="00567B53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Wykonawca gwarantuje usługę </w:t>
      </w:r>
      <w:r w:rsidR="00970C34">
        <w:rPr>
          <w:rFonts w:ascii="Century Gothic" w:hAnsi="Century Gothic" w:cstheme="minorHAnsi"/>
          <w:sz w:val="20"/>
          <w:szCs w:val="20"/>
        </w:rPr>
        <w:t>minimum w obrębie jednego, pełnego województw</w:t>
      </w:r>
      <w:r w:rsidR="00A4251F">
        <w:rPr>
          <w:rFonts w:ascii="Century Gothic" w:hAnsi="Century Gothic" w:cstheme="minorHAnsi"/>
          <w:sz w:val="20"/>
          <w:szCs w:val="20"/>
        </w:rPr>
        <w:t>a ( szczegół</w:t>
      </w:r>
      <w:r w:rsidR="00BC5965">
        <w:rPr>
          <w:rFonts w:ascii="Century Gothic" w:hAnsi="Century Gothic" w:cstheme="minorHAnsi"/>
          <w:sz w:val="20"/>
          <w:szCs w:val="20"/>
        </w:rPr>
        <w:t>o</w:t>
      </w:r>
      <w:r w:rsidR="00A4251F">
        <w:rPr>
          <w:rFonts w:ascii="Century Gothic" w:hAnsi="Century Gothic" w:cstheme="minorHAnsi"/>
          <w:sz w:val="20"/>
          <w:szCs w:val="20"/>
        </w:rPr>
        <w:t xml:space="preserve">we informacje na temat zasięgu terytorialnego </w:t>
      </w:r>
      <w:r w:rsidR="00BC5965">
        <w:rPr>
          <w:rFonts w:ascii="Century Gothic" w:hAnsi="Century Gothic" w:cstheme="minorHAnsi"/>
          <w:sz w:val="20"/>
          <w:szCs w:val="20"/>
        </w:rPr>
        <w:t>usługi proszę wpisać w formatkę opisaną jako Załącznik 2)</w:t>
      </w:r>
    </w:p>
    <w:p w14:paraId="32BCEE06" w14:textId="3F5384D2" w:rsidR="009F62DD" w:rsidRPr="00A818F8" w:rsidRDefault="000C4ED0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Zlecający odbiór</w:t>
      </w:r>
      <w:r w:rsidR="00E71BA5">
        <w:rPr>
          <w:rFonts w:ascii="Century Gothic" w:hAnsi="Century Gothic" w:cstheme="minorHAnsi"/>
          <w:sz w:val="20"/>
          <w:szCs w:val="20"/>
        </w:rPr>
        <w:t xml:space="preserve"> (sklep)</w:t>
      </w:r>
      <w:r w:rsidR="007E68B7">
        <w:rPr>
          <w:rFonts w:ascii="Century Gothic" w:hAnsi="Century Gothic" w:cstheme="minorHAnsi"/>
          <w:sz w:val="20"/>
          <w:szCs w:val="20"/>
        </w:rPr>
        <w:t xml:space="preserve"> przygotuje odpad do odbioru w formie zbelowanej (odpad będzie </w:t>
      </w:r>
      <w:r w:rsidR="008B5E33">
        <w:rPr>
          <w:rFonts w:ascii="Century Gothic" w:hAnsi="Century Gothic" w:cstheme="minorHAnsi"/>
          <w:sz w:val="20"/>
          <w:szCs w:val="20"/>
        </w:rPr>
        <w:t xml:space="preserve">czysty i suchy); każda belka odpadu będzie </w:t>
      </w:r>
      <w:r w:rsidR="007C3585">
        <w:rPr>
          <w:rFonts w:ascii="Century Gothic" w:hAnsi="Century Gothic" w:cstheme="minorHAnsi"/>
          <w:sz w:val="20"/>
          <w:szCs w:val="20"/>
        </w:rPr>
        <w:t xml:space="preserve">oznaczona kartką A4 z informacjami identyfikującymi sklep oraz </w:t>
      </w:r>
      <w:r w:rsidR="00E9352F">
        <w:rPr>
          <w:rFonts w:ascii="Century Gothic" w:hAnsi="Century Gothic" w:cstheme="minorHAnsi"/>
          <w:sz w:val="20"/>
          <w:szCs w:val="20"/>
        </w:rPr>
        <w:t xml:space="preserve">rodzaj odpadu; sklep wystawi odbierającemu odpad </w:t>
      </w:r>
      <w:r w:rsidR="0069471F">
        <w:rPr>
          <w:rFonts w:ascii="Century Gothic" w:hAnsi="Century Gothic" w:cstheme="minorHAnsi"/>
          <w:sz w:val="20"/>
          <w:szCs w:val="20"/>
        </w:rPr>
        <w:t>kartę przekazania odpadu z szacunkową wagą odpadu</w:t>
      </w:r>
      <w:r w:rsidR="009B1855">
        <w:rPr>
          <w:rFonts w:ascii="Century Gothic" w:hAnsi="Century Gothic" w:cstheme="minorHAnsi"/>
          <w:sz w:val="20"/>
          <w:szCs w:val="20"/>
        </w:rPr>
        <w:t xml:space="preserve">; </w:t>
      </w:r>
      <w:r w:rsidR="009B1855" w:rsidRPr="00A818F8">
        <w:rPr>
          <w:rFonts w:ascii="Century Gothic" w:hAnsi="Century Gothic" w:cstheme="minorHAnsi"/>
          <w:b/>
          <w:bCs/>
          <w:sz w:val="20"/>
          <w:szCs w:val="20"/>
        </w:rPr>
        <w:t>minimalną łączną wagę odpadu, wymaganą przy odbiorze określi</w:t>
      </w:r>
      <w:r w:rsidR="00C44D93" w:rsidRPr="00A818F8">
        <w:rPr>
          <w:rFonts w:ascii="Century Gothic" w:hAnsi="Century Gothic" w:cstheme="minorHAnsi"/>
          <w:b/>
          <w:bCs/>
          <w:sz w:val="20"/>
          <w:szCs w:val="20"/>
        </w:rPr>
        <w:t xml:space="preserve"> w </w:t>
      </w:r>
      <w:r w:rsidR="008244CC" w:rsidRPr="00A818F8">
        <w:rPr>
          <w:rFonts w:ascii="Century Gothic" w:hAnsi="Century Gothic" w:cstheme="minorHAnsi"/>
          <w:b/>
          <w:bCs/>
          <w:sz w:val="20"/>
          <w:szCs w:val="20"/>
        </w:rPr>
        <w:t>niniejszej</w:t>
      </w:r>
      <w:r w:rsidR="00C44D93" w:rsidRPr="00A818F8">
        <w:rPr>
          <w:rFonts w:ascii="Century Gothic" w:hAnsi="Century Gothic" w:cstheme="minorHAnsi"/>
          <w:b/>
          <w:bCs/>
          <w:sz w:val="20"/>
          <w:szCs w:val="20"/>
        </w:rPr>
        <w:t xml:space="preserve"> ofercie Wykonawca usługi</w:t>
      </w:r>
    </w:p>
    <w:p w14:paraId="787A9950" w14:textId="00BFF545" w:rsidR="00D51BDF" w:rsidRDefault="00D51BDF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Ważenie</w:t>
      </w:r>
      <w:r w:rsidR="001E269F">
        <w:rPr>
          <w:rFonts w:ascii="Century Gothic" w:hAnsi="Century Gothic" w:cstheme="minorHAnsi"/>
          <w:sz w:val="20"/>
          <w:szCs w:val="20"/>
        </w:rPr>
        <w:t xml:space="preserve"> odpadu i rozliczenia- rozliczenia, jak wspomniano wyżej </w:t>
      </w:r>
      <w:r w:rsidR="004765B9">
        <w:rPr>
          <w:rFonts w:ascii="Century Gothic" w:hAnsi="Century Gothic" w:cstheme="minorHAnsi"/>
          <w:sz w:val="20"/>
          <w:szCs w:val="20"/>
        </w:rPr>
        <w:t>będą odbywały się w cyklach miesięcznych, na podstawie zweryfikowanych kart odbioru odpad</w:t>
      </w:r>
      <w:r w:rsidR="005F54FF">
        <w:rPr>
          <w:rFonts w:ascii="Century Gothic" w:hAnsi="Century Gothic" w:cstheme="minorHAnsi"/>
          <w:sz w:val="20"/>
          <w:szCs w:val="20"/>
        </w:rPr>
        <w:t xml:space="preserve">u (realne wagi odebranego odpadu będą przekazywane </w:t>
      </w:r>
      <w:r w:rsidR="00F21661">
        <w:rPr>
          <w:rFonts w:ascii="Century Gothic" w:hAnsi="Century Gothic" w:cstheme="minorHAnsi"/>
          <w:sz w:val="20"/>
          <w:szCs w:val="20"/>
        </w:rPr>
        <w:t xml:space="preserve">sklepowi przez odbierającego w formie kwitu wagowego, niezwłocznie </w:t>
      </w:r>
      <w:r w:rsidR="00180275">
        <w:rPr>
          <w:rFonts w:ascii="Century Gothic" w:hAnsi="Century Gothic" w:cstheme="minorHAnsi"/>
          <w:sz w:val="20"/>
          <w:szCs w:val="20"/>
        </w:rPr>
        <w:t>po dostarczeniu odpadu do punktu zrzutu Wykonawcy i jego zważeniu</w:t>
      </w:r>
      <w:r w:rsidR="00800330">
        <w:rPr>
          <w:rFonts w:ascii="Century Gothic" w:hAnsi="Century Gothic" w:cstheme="minorHAnsi"/>
          <w:sz w:val="20"/>
          <w:szCs w:val="20"/>
        </w:rPr>
        <w:t>, jednak w terminie nie dłuższym niż 3 dni od odebrania odpadu</w:t>
      </w:r>
      <w:r w:rsidR="00686B03">
        <w:rPr>
          <w:rFonts w:ascii="Century Gothic" w:hAnsi="Century Gothic" w:cstheme="minorHAnsi"/>
          <w:sz w:val="20"/>
          <w:szCs w:val="20"/>
        </w:rPr>
        <w:t>; cena sprzedaży odpadu odbierającemu ( cena za 1 tonę )</w:t>
      </w:r>
      <w:r w:rsidR="008A24F7">
        <w:rPr>
          <w:rFonts w:ascii="Century Gothic" w:hAnsi="Century Gothic" w:cstheme="minorHAnsi"/>
          <w:sz w:val="20"/>
          <w:szCs w:val="20"/>
        </w:rPr>
        <w:t xml:space="preserve"> będzie uzależniona od notowań na indeksach PIX i EUWID</w:t>
      </w:r>
      <w:r w:rsidR="00003B3E">
        <w:rPr>
          <w:rFonts w:ascii="Century Gothic" w:hAnsi="Century Gothic" w:cstheme="minorHAnsi"/>
          <w:sz w:val="20"/>
          <w:szCs w:val="20"/>
        </w:rPr>
        <w:t>, rodzaju odpadu)</w:t>
      </w:r>
    </w:p>
    <w:p w14:paraId="75EECF04" w14:textId="22663F21" w:rsidR="007B765F" w:rsidRPr="00EF2CC1" w:rsidRDefault="007B765F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Wykonawca zobowiązuje się </w:t>
      </w:r>
      <w:r w:rsidR="00510B11">
        <w:rPr>
          <w:rFonts w:ascii="Century Gothic" w:hAnsi="Century Gothic" w:cstheme="minorHAnsi"/>
          <w:sz w:val="20"/>
          <w:szCs w:val="20"/>
        </w:rPr>
        <w:t xml:space="preserve">do posiadania przez cały czas trwania umowy, ubezpieczenia od odpowiedzialności cywilnej </w:t>
      </w:r>
      <w:r w:rsidR="009F702D">
        <w:rPr>
          <w:rFonts w:ascii="Century Gothic" w:hAnsi="Century Gothic" w:cstheme="minorHAnsi"/>
          <w:sz w:val="20"/>
          <w:szCs w:val="20"/>
        </w:rPr>
        <w:t>w zakresie prowadzonej działalności</w:t>
      </w:r>
      <w:r w:rsidR="00653D41">
        <w:rPr>
          <w:rFonts w:ascii="Century Gothic" w:hAnsi="Century Gothic" w:cstheme="minorHAnsi"/>
          <w:sz w:val="20"/>
          <w:szCs w:val="20"/>
        </w:rPr>
        <w:t xml:space="preserve"> gospodarczej</w:t>
      </w:r>
      <w:r w:rsidR="00322727">
        <w:rPr>
          <w:rFonts w:ascii="Century Gothic" w:hAnsi="Century Gothic" w:cstheme="minorHAnsi"/>
          <w:sz w:val="20"/>
          <w:szCs w:val="20"/>
        </w:rPr>
        <w:t>.</w:t>
      </w:r>
      <w:r w:rsidR="00B47E6F">
        <w:rPr>
          <w:rFonts w:ascii="Century Gothic" w:hAnsi="Century Gothic" w:cstheme="minorHAnsi"/>
          <w:sz w:val="20"/>
          <w:szCs w:val="20"/>
        </w:rPr>
        <w:t xml:space="preserve"> Wykonawca w dniu zawarcia umowy przedstawi Zamawiającemu </w:t>
      </w:r>
      <w:r w:rsidR="009E3C8D">
        <w:rPr>
          <w:rFonts w:ascii="Century Gothic" w:hAnsi="Century Gothic" w:cstheme="minorHAnsi"/>
          <w:sz w:val="20"/>
          <w:szCs w:val="20"/>
        </w:rPr>
        <w:t xml:space="preserve">dowód zawarcia umowy ubezpieczenia. W przypadku </w:t>
      </w:r>
      <w:r w:rsidR="009F69D0">
        <w:rPr>
          <w:rFonts w:ascii="Century Gothic" w:hAnsi="Century Gothic" w:cstheme="minorHAnsi"/>
          <w:sz w:val="20"/>
          <w:szCs w:val="20"/>
        </w:rPr>
        <w:t>gdy termin obowiązywania ubezpieczenia będzie krótszym niż okres ob</w:t>
      </w:r>
      <w:r w:rsidR="00EC6100">
        <w:rPr>
          <w:rFonts w:ascii="Century Gothic" w:hAnsi="Century Gothic" w:cstheme="minorHAnsi"/>
          <w:sz w:val="20"/>
          <w:szCs w:val="20"/>
        </w:rPr>
        <w:t>o</w:t>
      </w:r>
      <w:r w:rsidR="009F69D0">
        <w:rPr>
          <w:rFonts w:ascii="Century Gothic" w:hAnsi="Century Gothic" w:cstheme="minorHAnsi"/>
          <w:sz w:val="20"/>
          <w:szCs w:val="20"/>
        </w:rPr>
        <w:t>wiązywania umowy</w:t>
      </w:r>
      <w:r w:rsidR="00EC6100">
        <w:rPr>
          <w:rFonts w:ascii="Century Gothic" w:hAnsi="Century Gothic" w:cstheme="minorHAnsi"/>
          <w:sz w:val="20"/>
          <w:szCs w:val="20"/>
        </w:rPr>
        <w:t>, wówczas Wykonawca zobowi</w:t>
      </w:r>
      <w:r w:rsidR="00BE3B1F">
        <w:rPr>
          <w:rFonts w:ascii="Century Gothic" w:hAnsi="Century Gothic" w:cstheme="minorHAnsi"/>
          <w:sz w:val="20"/>
          <w:szCs w:val="20"/>
        </w:rPr>
        <w:t>ąz</w:t>
      </w:r>
      <w:r w:rsidR="00EC6100">
        <w:rPr>
          <w:rFonts w:ascii="Century Gothic" w:hAnsi="Century Gothic" w:cstheme="minorHAnsi"/>
          <w:sz w:val="20"/>
          <w:szCs w:val="20"/>
        </w:rPr>
        <w:t>any jest</w:t>
      </w:r>
      <w:r w:rsidR="00BE3B1F">
        <w:rPr>
          <w:rFonts w:ascii="Century Gothic" w:hAnsi="Century Gothic" w:cstheme="minorHAnsi"/>
          <w:sz w:val="20"/>
          <w:szCs w:val="20"/>
        </w:rPr>
        <w:t xml:space="preserve">, bez dodatkowego wezwania Zamawiającego, przedstawić Zamawiającemu </w:t>
      </w:r>
      <w:r w:rsidR="0035320B">
        <w:rPr>
          <w:rFonts w:ascii="Century Gothic" w:hAnsi="Century Gothic" w:cstheme="minorHAnsi"/>
          <w:sz w:val="20"/>
          <w:szCs w:val="20"/>
        </w:rPr>
        <w:t>nową polisę (umowę) ubezpieczeniową</w:t>
      </w:r>
      <w:r w:rsidR="00D776B4">
        <w:rPr>
          <w:rFonts w:ascii="Century Gothic" w:hAnsi="Century Gothic" w:cstheme="minorHAnsi"/>
          <w:sz w:val="20"/>
          <w:szCs w:val="20"/>
        </w:rPr>
        <w:t xml:space="preserve"> lub przedłużyć datę ważności polisy obowiązującej, przed upływem </w:t>
      </w:r>
      <w:r w:rsidR="00F42F71">
        <w:rPr>
          <w:rFonts w:ascii="Century Gothic" w:hAnsi="Century Gothic" w:cstheme="minorHAnsi"/>
          <w:sz w:val="20"/>
          <w:szCs w:val="20"/>
        </w:rPr>
        <w:t>ważności obecnej polisy</w:t>
      </w:r>
    </w:p>
    <w:p w14:paraId="5E3B042C" w14:textId="77777777" w:rsidR="00B218AC" w:rsidRPr="000C1601" w:rsidRDefault="00B218AC" w:rsidP="001772BD">
      <w:pPr>
        <w:pStyle w:val="Akapitzlist"/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6CCD866" w14:textId="77777777" w:rsidR="004C0886" w:rsidRPr="004C0886" w:rsidRDefault="004C0886" w:rsidP="004C0886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B56BB4D" w14:textId="77777777" w:rsidR="00523FE1" w:rsidRPr="00D66926" w:rsidRDefault="00523FE1" w:rsidP="00523FE1">
      <w:pPr>
        <w:keepNext/>
        <w:numPr>
          <w:ilvl w:val="0"/>
          <w:numId w:val="38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8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Kryteria oceny ofert</w:t>
      </w:r>
      <w:bookmarkEnd w:id="8"/>
    </w:p>
    <w:p w14:paraId="795C714E" w14:textId="77777777" w:rsidR="00523FE1" w:rsidRPr="00DF7521" w:rsidRDefault="00523FE1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hAnsi="Century Gothic" w:cstheme="minorHAnsi"/>
          <w:sz w:val="20"/>
          <w:szCs w:val="20"/>
        </w:rPr>
        <w:t>cena</w:t>
      </w:r>
    </w:p>
    <w:p w14:paraId="6A73B2BF" w14:textId="5C5303A2" w:rsidR="00523FE1" w:rsidRPr="00E836EB" w:rsidRDefault="009E509A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zasięg terytorialny objęty ofertą</w:t>
      </w:r>
      <w:r w:rsidR="002B02F1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(preferowane formy z zasięgiem działania powyżej 1 województwa )</w:t>
      </w:r>
    </w:p>
    <w:p w14:paraId="3081BCF6" w14:textId="053BB2E3" w:rsidR="00E836EB" w:rsidRPr="00DF7521" w:rsidRDefault="00E836EB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minimalna łączna waga odpadu wymagana przy odbiorze</w:t>
      </w:r>
    </w:p>
    <w:p w14:paraId="739D3B80" w14:textId="5BCDE05A" w:rsidR="00523FE1" w:rsidRPr="00DF7521" w:rsidRDefault="00AD6DB1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termin płatności</w:t>
      </w:r>
    </w:p>
    <w:p w14:paraId="19286AF6" w14:textId="77777777" w:rsidR="008B2351" w:rsidRDefault="008B2351" w:rsidP="008A5460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BD3EB1">
      <w:pPr>
        <w:pStyle w:val="Akapitzlist"/>
        <w:keepLines/>
        <w:widowControl w:val="0"/>
        <w:numPr>
          <w:ilvl w:val="0"/>
          <w:numId w:val="41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3"/>
      <w:bookmarkStart w:id="10" w:name="_Toc333927003"/>
      <w:bookmarkStart w:id="11" w:name="_Toc347126326"/>
      <w:bookmarkStart w:id="12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9"/>
      <w:bookmarkEnd w:id="10"/>
      <w:bookmarkEnd w:id="11"/>
      <w:bookmarkEnd w:id="12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646C4C7A" w:rsidR="00CF22B7" w:rsidRPr="000E17F2" w:rsidRDefault="00F97A34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06602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06602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godz. 1</w:t>
            </w:r>
            <w:r w:rsidR="0006602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:00</w:t>
            </w:r>
          </w:p>
        </w:tc>
      </w:tr>
      <w:tr w:rsidR="00CF22B7" w:rsidRPr="00CF22B7" w14:paraId="70A945E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6AE720BD" w:rsidR="00CF22B7" w:rsidRPr="000E17F2" w:rsidRDefault="005E7B51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3D37332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0AA35A6C" w:rsidR="00CF22B7" w:rsidRPr="000E17F2" w:rsidRDefault="00E37CD8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33C0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5E7B5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76969D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0F32F908" w:rsidR="00CF22B7" w:rsidRPr="000E17F2" w:rsidRDefault="00E113DB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0E17F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6B197264" w14:textId="0E7AB3E3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333439292"/>
      <w:bookmarkStart w:id="14" w:name="_Toc333927002"/>
      <w:bookmarkStart w:id="15" w:name="_Toc347126325"/>
      <w:bookmarkStart w:id="16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Miejsce składania ofert</w:t>
      </w:r>
      <w:bookmarkEnd w:id="13"/>
      <w:bookmarkEnd w:id="14"/>
      <w:bookmarkEnd w:id="15"/>
      <w:bookmarkEnd w:id="16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Oferent jest zobowiązany do przekazania oferty w wersji elektronicznej za pośrednictwem Platformy Zakupowej Open Nexus</w:t>
      </w:r>
    </w:p>
    <w:p w14:paraId="54AA96C3" w14:textId="206E71A7" w:rsidR="00706426" w:rsidRPr="00706426" w:rsidRDefault="00706426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Akapitzlist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Nexus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Nexus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2B28698F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„ITM Polska”</w:t>
      </w:r>
    </w:p>
    <w:p w14:paraId="56788B3A" w14:textId="77777777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7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7"/>
    </w:p>
    <w:p w14:paraId="13406D74" w14:textId="2147E310" w:rsidR="00E37794" w:rsidRDefault="00FC4EBE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5D584E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5D584E">
        <w:rPr>
          <w:rFonts w:ascii="Century Gothic" w:hAnsi="Century Gothic" w:cstheme="minorHAnsi"/>
          <w:sz w:val="20"/>
          <w:szCs w:val="20"/>
        </w:rPr>
        <w:t>lista sklepów</w:t>
      </w:r>
    </w:p>
    <w:p w14:paraId="08372B70" w14:textId="37513E9C" w:rsidR="00FD00E7" w:rsidRDefault="00996E9C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 xml:space="preserve">nr 2 </w:t>
      </w:r>
      <w:r w:rsidR="005D584E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94746E">
        <w:rPr>
          <w:rFonts w:ascii="Century Gothic" w:hAnsi="Century Gothic" w:cstheme="minorHAnsi"/>
          <w:sz w:val="20"/>
          <w:szCs w:val="20"/>
        </w:rPr>
        <w:t>zasięg terytorialny usługi</w:t>
      </w:r>
    </w:p>
    <w:p w14:paraId="719E7EB4" w14:textId="4ABEDA7C" w:rsidR="00B52C10" w:rsidRPr="004407B3" w:rsidRDefault="00743D94" w:rsidP="008E3F99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nr 3 </w:t>
      </w:r>
      <w:r w:rsidR="00B52C10">
        <w:rPr>
          <w:rFonts w:ascii="Century Gothic" w:hAnsi="Century Gothic" w:cstheme="minorHAnsi"/>
          <w:sz w:val="20"/>
          <w:szCs w:val="20"/>
        </w:rPr>
        <w:t>-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B52C10">
        <w:rPr>
          <w:rFonts w:ascii="Century Gothic" w:hAnsi="Century Gothic" w:cstheme="minorHAnsi"/>
          <w:sz w:val="20"/>
          <w:szCs w:val="20"/>
        </w:rPr>
        <w:t>k</w:t>
      </w:r>
      <w:r w:rsidR="00785D8C">
        <w:rPr>
          <w:rFonts w:ascii="Century Gothic" w:hAnsi="Century Gothic" w:cstheme="minorHAnsi"/>
          <w:sz w:val="20"/>
          <w:szCs w:val="20"/>
        </w:rPr>
        <w:t>westionariusz dostawcy</w:t>
      </w:r>
    </w:p>
    <w:sectPr w:rsidR="00B52C10" w:rsidRPr="004407B3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6E22" w14:textId="77777777" w:rsidR="0029463E" w:rsidRDefault="0029463E" w:rsidP="002728CB">
      <w:pPr>
        <w:spacing w:after="0" w:line="240" w:lineRule="auto"/>
      </w:pPr>
      <w:r>
        <w:separator/>
      </w:r>
    </w:p>
  </w:endnote>
  <w:endnote w:type="continuationSeparator" w:id="0">
    <w:p w14:paraId="06E0ECB5" w14:textId="77777777" w:rsidR="0029463E" w:rsidRDefault="0029463E" w:rsidP="002728CB">
      <w:pPr>
        <w:spacing w:after="0" w:line="240" w:lineRule="auto"/>
      </w:pPr>
      <w:r>
        <w:continuationSeparator/>
      </w:r>
    </w:p>
  </w:endnote>
  <w:endnote w:type="continuationNotice" w:id="1">
    <w:p w14:paraId="6BC88FB0" w14:textId="77777777" w:rsidR="0029463E" w:rsidRDefault="00294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E818" w14:textId="77777777" w:rsidR="0029463E" w:rsidRDefault="0029463E" w:rsidP="002728CB">
      <w:pPr>
        <w:spacing w:after="0" w:line="240" w:lineRule="auto"/>
      </w:pPr>
      <w:r>
        <w:separator/>
      </w:r>
    </w:p>
  </w:footnote>
  <w:footnote w:type="continuationSeparator" w:id="0">
    <w:p w14:paraId="71D750FD" w14:textId="77777777" w:rsidR="0029463E" w:rsidRDefault="0029463E" w:rsidP="002728CB">
      <w:pPr>
        <w:spacing w:after="0" w:line="240" w:lineRule="auto"/>
      </w:pPr>
      <w:r>
        <w:continuationSeparator/>
      </w:r>
    </w:p>
  </w:footnote>
  <w:footnote w:type="continuationNotice" w:id="1">
    <w:p w14:paraId="12F9E141" w14:textId="77777777" w:rsidR="0029463E" w:rsidRDefault="002946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8"/>
    <w:multiLevelType w:val="hybridMultilevel"/>
    <w:tmpl w:val="09C88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0252"/>
    <w:multiLevelType w:val="hybridMultilevel"/>
    <w:tmpl w:val="7408B8D6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55D05"/>
    <w:multiLevelType w:val="hybridMultilevel"/>
    <w:tmpl w:val="A6F0D290"/>
    <w:lvl w:ilvl="0" w:tplc="CE0EAA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FB9"/>
    <w:multiLevelType w:val="hybridMultilevel"/>
    <w:tmpl w:val="C7CE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9DA"/>
    <w:multiLevelType w:val="hybridMultilevel"/>
    <w:tmpl w:val="58C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EC53BA"/>
    <w:multiLevelType w:val="hybridMultilevel"/>
    <w:tmpl w:val="B93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630"/>
    <w:multiLevelType w:val="hybridMultilevel"/>
    <w:tmpl w:val="8FAAD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A02FB"/>
    <w:multiLevelType w:val="hybridMultilevel"/>
    <w:tmpl w:val="FB800A80"/>
    <w:lvl w:ilvl="0" w:tplc="86F633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ED9"/>
    <w:multiLevelType w:val="hybridMultilevel"/>
    <w:tmpl w:val="F722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4BA"/>
    <w:multiLevelType w:val="hybridMultilevel"/>
    <w:tmpl w:val="58C6F77C"/>
    <w:lvl w:ilvl="0" w:tplc="81482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87B"/>
    <w:multiLevelType w:val="hybridMultilevel"/>
    <w:tmpl w:val="F59AB0E8"/>
    <w:lvl w:ilvl="0" w:tplc="FD3C6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4CE8"/>
    <w:multiLevelType w:val="hybridMultilevel"/>
    <w:tmpl w:val="4A62E278"/>
    <w:lvl w:ilvl="0" w:tplc="66F082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C6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5B7A"/>
    <w:multiLevelType w:val="hybridMultilevel"/>
    <w:tmpl w:val="577A4600"/>
    <w:lvl w:ilvl="0" w:tplc="5C7E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5DE"/>
    <w:multiLevelType w:val="hybridMultilevel"/>
    <w:tmpl w:val="328ED03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016403"/>
    <w:multiLevelType w:val="hybridMultilevel"/>
    <w:tmpl w:val="0E5EAB32"/>
    <w:lvl w:ilvl="0" w:tplc="414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0B"/>
    <w:multiLevelType w:val="multilevel"/>
    <w:tmpl w:val="7FD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4C2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03D"/>
    <w:multiLevelType w:val="hybridMultilevel"/>
    <w:tmpl w:val="B2EC7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41EE6"/>
    <w:multiLevelType w:val="hybridMultilevel"/>
    <w:tmpl w:val="DBF0228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97008EA"/>
    <w:multiLevelType w:val="hybridMultilevel"/>
    <w:tmpl w:val="658C0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66230"/>
    <w:multiLevelType w:val="hybridMultilevel"/>
    <w:tmpl w:val="7E2001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894"/>
    <w:multiLevelType w:val="hybridMultilevel"/>
    <w:tmpl w:val="D9308E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C66E8B"/>
    <w:multiLevelType w:val="hybridMultilevel"/>
    <w:tmpl w:val="260E2CB8"/>
    <w:lvl w:ilvl="0" w:tplc="0415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E3C0ABD"/>
    <w:multiLevelType w:val="hybridMultilevel"/>
    <w:tmpl w:val="5EF40F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FFA662B"/>
    <w:multiLevelType w:val="multilevel"/>
    <w:tmpl w:val="A750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797D"/>
    <w:multiLevelType w:val="hybridMultilevel"/>
    <w:tmpl w:val="21CA84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522A92"/>
    <w:multiLevelType w:val="hybridMultilevel"/>
    <w:tmpl w:val="D0D2A1D0"/>
    <w:lvl w:ilvl="0" w:tplc="2BE20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A60"/>
    <w:multiLevelType w:val="hybridMultilevel"/>
    <w:tmpl w:val="B9FEE7CA"/>
    <w:lvl w:ilvl="0" w:tplc="B35EC5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AC604BE"/>
    <w:multiLevelType w:val="multilevel"/>
    <w:tmpl w:val="94B42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492DA6"/>
    <w:multiLevelType w:val="hybridMultilevel"/>
    <w:tmpl w:val="BD40D3CE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587C"/>
    <w:multiLevelType w:val="hybridMultilevel"/>
    <w:tmpl w:val="A628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411C9E"/>
    <w:multiLevelType w:val="hybridMultilevel"/>
    <w:tmpl w:val="32182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DE7"/>
    <w:multiLevelType w:val="hybridMultilevel"/>
    <w:tmpl w:val="C64E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18"/>
  </w:num>
  <w:num w:numId="7">
    <w:abstractNumId w:val="2"/>
  </w:num>
  <w:num w:numId="8">
    <w:abstractNumId w:val="19"/>
  </w:num>
  <w:num w:numId="9">
    <w:abstractNumId w:val="43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24"/>
  </w:num>
  <w:num w:numId="16">
    <w:abstractNumId w:val="4"/>
  </w:num>
  <w:num w:numId="17">
    <w:abstractNumId w:val="37"/>
  </w:num>
  <w:num w:numId="18">
    <w:abstractNumId w:val="31"/>
  </w:num>
  <w:num w:numId="19">
    <w:abstractNumId w:val="29"/>
  </w:num>
  <w:num w:numId="20">
    <w:abstractNumId w:val="33"/>
  </w:num>
  <w:num w:numId="21">
    <w:abstractNumId w:val="39"/>
  </w:num>
  <w:num w:numId="22">
    <w:abstractNumId w:val="40"/>
  </w:num>
  <w:num w:numId="23">
    <w:abstractNumId w:val="20"/>
  </w:num>
  <w:num w:numId="24">
    <w:abstractNumId w:val="44"/>
  </w:num>
  <w:num w:numId="25">
    <w:abstractNumId w:val="21"/>
  </w:num>
  <w:num w:numId="26">
    <w:abstractNumId w:val="23"/>
  </w:num>
  <w:num w:numId="27">
    <w:abstractNumId w:val="46"/>
  </w:num>
  <w:num w:numId="28">
    <w:abstractNumId w:val="5"/>
  </w:num>
  <w:num w:numId="29">
    <w:abstractNumId w:val="10"/>
  </w:num>
  <w:num w:numId="30">
    <w:abstractNumId w:val="0"/>
  </w:num>
  <w:num w:numId="31">
    <w:abstractNumId w:val="16"/>
  </w:num>
  <w:num w:numId="32">
    <w:abstractNumId w:val="15"/>
  </w:num>
  <w:num w:numId="33">
    <w:abstractNumId w:val="38"/>
  </w:num>
  <w:num w:numId="34">
    <w:abstractNumId w:val="3"/>
  </w:num>
  <w:num w:numId="35">
    <w:abstractNumId w:val="35"/>
  </w:num>
  <w:num w:numId="36">
    <w:abstractNumId w:val="6"/>
  </w:num>
  <w:num w:numId="37">
    <w:abstractNumId w:val="36"/>
  </w:num>
  <w:num w:numId="38">
    <w:abstractNumId w:val="42"/>
  </w:num>
  <w:num w:numId="39">
    <w:abstractNumId w:val="22"/>
  </w:num>
  <w:num w:numId="40">
    <w:abstractNumId w:val="1"/>
  </w:num>
  <w:num w:numId="41">
    <w:abstractNumId w:val="41"/>
  </w:num>
  <w:num w:numId="42">
    <w:abstractNumId w:val="26"/>
  </w:num>
  <w:num w:numId="43">
    <w:abstractNumId w:val="12"/>
  </w:num>
  <w:num w:numId="44">
    <w:abstractNumId w:val="7"/>
  </w:num>
  <w:num w:numId="45">
    <w:abstractNumId w:val="45"/>
  </w:num>
  <w:num w:numId="46">
    <w:abstractNumId w:val="8"/>
  </w:num>
  <w:num w:numId="4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3B3E"/>
    <w:rsid w:val="00006046"/>
    <w:rsid w:val="0000744B"/>
    <w:rsid w:val="00011EAD"/>
    <w:rsid w:val="0001728A"/>
    <w:rsid w:val="00022BCF"/>
    <w:rsid w:val="00025ABA"/>
    <w:rsid w:val="00027F98"/>
    <w:rsid w:val="000323BB"/>
    <w:rsid w:val="000470B7"/>
    <w:rsid w:val="00050D29"/>
    <w:rsid w:val="0005251C"/>
    <w:rsid w:val="00054D70"/>
    <w:rsid w:val="00060DDD"/>
    <w:rsid w:val="00066028"/>
    <w:rsid w:val="00070E39"/>
    <w:rsid w:val="00072658"/>
    <w:rsid w:val="00072FC7"/>
    <w:rsid w:val="000763FF"/>
    <w:rsid w:val="000817F7"/>
    <w:rsid w:val="00081CBC"/>
    <w:rsid w:val="00083E30"/>
    <w:rsid w:val="0008573D"/>
    <w:rsid w:val="00090D80"/>
    <w:rsid w:val="00092464"/>
    <w:rsid w:val="00092608"/>
    <w:rsid w:val="000937D6"/>
    <w:rsid w:val="00097491"/>
    <w:rsid w:val="000A02F4"/>
    <w:rsid w:val="000A3671"/>
    <w:rsid w:val="000A40B6"/>
    <w:rsid w:val="000A78C3"/>
    <w:rsid w:val="000B1F8C"/>
    <w:rsid w:val="000C1601"/>
    <w:rsid w:val="000C4ED0"/>
    <w:rsid w:val="000D3D6C"/>
    <w:rsid w:val="000D5BFB"/>
    <w:rsid w:val="000D6B93"/>
    <w:rsid w:val="000D7299"/>
    <w:rsid w:val="000E01C5"/>
    <w:rsid w:val="000E17F2"/>
    <w:rsid w:val="000E1991"/>
    <w:rsid w:val="000E1FFE"/>
    <w:rsid w:val="000E2C20"/>
    <w:rsid w:val="000E4871"/>
    <w:rsid w:val="000F7D07"/>
    <w:rsid w:val="001038BB"/>
    <w:rsid w:val="00105A9D"/>
    <w:rsid w:val="0011284E"/>
    <w:rsid w:val="00112EA5"/>
    <w:rsid w:val="00112F25"/>
    <w:rsid w:val="0011304C"/>
    <w:rsid w:val="00116DEA"/>
    <w:rsid w:val="00123D9C"/>
    <w:rsid w:val="001301E9"/>
    <w:rsid w:val="00135A23"/>
    <w:rsid w:val="001403D6"/>
    <w:rsid w:val="0014059B"/>
    <w:rsid w:val="00140B31"/>
    <w:rsid w:val="001423C2"/>
    <w:rsid w:val="00142919"/>
    <w:rsid w:val="0014299B"/>
    <w:rsid w:val="00151123"/>
    <w:rsid w:val="00151A6D"/>
    <w:rsid w:val="00153CD9"/>
    <w:rsid w:val="001568FB"/>
    <w:rsid w:val="00173228"/>
    <w:rsid w:val="00173358"/>
    <w:rsid w:val="001754D8"/>
    <w:rsid w:val="001772BD"/>
    <w:rsid w:val="00177D02"/>
    <w:rsid w:val="00177EB3"/>
    <w:rsid w:val="00180275"/>
    <w:rsid w:val="001811A9"/>
    <w:rsid w:val="001825FF"/>
    <w:rsid w:val="00183057"/>
    <w:rsid w:val="00191AC3"/>
    <w:rsid w:val="001950C3"/>
    <w:rsid w:val="001A358B"/>
    <w:rsid w:val="001B0056"/>
    <w:rsid w:val="001B0212"/>
    <w:rsid w:val="001B4096"/>
    <w:rsid w:val="001B568D"/>
    <w:rsid w:val="001B7DA3"/>
    <w:rsid w:val="001C1707"/>
    <w:rsid w:val="001C324F"/>
    <w:rsid w:val="001C4D57"/>
    <w:rsid w:val="001C772B"/>
    <w:rsid w:val="001D2715"/>
    <w:rsid w:val="001D71A7"/>
    <w:rsid w:val="001E269F"/>
    <w:rsid w:val="001E63CC"/>
    <w:rsid w:val="001F272A"/>
    <w:rsid w:val="001F4710"/>
    <w:rsid w:val="001F4F96"/>
    <w:rsid w:val="00203A6E"/>
    <w:rsid w:val="0020459A"/>
    <w:rsid w:val="00213AF7"/>
    <w:rsid w:val="00213CCB"/>
    <w:rsid w:val="00214634"/>
    <w:rsid w:val="00227F1F"/>
    <w:rsid w:val="002306F5"/>
    <w:rsid w:val="00232EB4"/>
    <w:rsid w:val="00233778"/>
    <w:rsid w:val="00250DEC"/>
    <w:rsid w:val="0025329C"/>
    <w:rsid w:val="00254D94"/>
    <w:rsid w:val="002635AA"/>
    <w:rsid w:val="002649CE"/>
    <w:rsid w:val="00265817"/>
    <w:rsid w:val="002719CC"/>
    <w:rsid w:val="002728CB"/>
    <w:rsid w:val="00273B9B"/>
    <w:rsid w:val="002742DA"/>
    <w:rsid w:val="00274E79"/>
    <w:rsid w:val="00276642"/>
    <w:rsid w:val="00280D85"/>
    <w:rsid w:val="00284114"/>
    <w:rsid w:val="00284766"/>
    <w:rsid w:val="00285A4E"/>
    <w:rsid w:val="00291189"/>
    <w:rsid w:val="00292E2E"/>
    <w:rsid w:val="0029463E"/>
    <w:rsid w:val="0029762E"/>
    <w:rsid w:val="002A1727"/>
    <w:rsid w:val="002A1BB6"/>
    <w:rsid w:val="002A2326"/>
    <w:rsid w:val="002B02F1"/>
    <w:rsid w:val="002B2636"/>
    <w:rsid w:val="002B3F32"/>
    <w:rsid w:val="002B5C72"/>
    <w:rsid w:val="002B6A4D"/>
    <w:rsid w:val="002B7EFC"/>
    <w:rsid w:val="002C094D"/>
    <w:rsid w:val="002D2654"/>
    <w:rsid w:val="002E19ED"/>
    <w:rsid w:val="002E7D0D"/>
    <w:rsid w:val="002F3ACC"/>
    <w:rsid w:val="002F40D9"/>
    <w:rsid w:val="002F527A"/>
    <w:rsid w:val="002F60BD"/>
    <w:rsid w:val="002F78FD"/>
    <w:rsid w:val="003007A4"/>
    <w:rsid w:val="00301F1C"/>
    <w:rsid w:val="00306EC0"/>
    <w:rsid w:val="0031246C"/>
    <w:rsid w:val="00312584"/>
    <w:rsid w:val="00320C79"/>
    <w:rsid w:val="00322727"/>
    <w:rsid w:val="00324190"/>
    <w:rsid w:val="003253D8"/>
    <w:rsid w:val="00326456"/>
    <w:rsid w:val="00335E23"/>
    <w:rsid w:val="00336F16"/>
    <w:rsid w:val="0033701E"/>
    <w:rsid w:val="00341886"/>
    <w:rsid w:val="0035046A"/>
    <w:rsid w:val="00350E0C"/>
    <w:rsid w:val="0035320B"/>
    <w:rsid w:val="00354FB7"/>
    <w:rsid w:val="00355475"/>
    <w:rsid w:val="00360B86"/>
    <w:rsid w:val="00361F8F"/>
    <w:rsid w:val="003709FC"/>
    <w:rsid w:val="00372195"/>
    <w:rsid w:val="00376BF4"/>
    <w:rsid w:val="00377758"/>
    <w:rsid w:val="00395368"/>
    <w:rsid w:val="003A5FC9"/>
    <w:rsid w:val="003A6E9B"/>
    <w:rsid w:val="003C2799"/>
    <w:rsid w:val="003C3FE8"/>
    <w:rsid w:val="003C5084"/>
    <w:rsid w:val="003C70FC"/>
    <w:rsid w:val="003C73A3"/>
    <w:rsid w:val="003D54B5"/>
    <w:rsid w:val="003E19B0"/>
    <w:rsid w:val="003F0559"/>
    <w:rsid w:val="0040071E"/>
    <w:rsid w:val="00400AA4"/>
    <w:rsid w:val="004043F7"/>
    <w:rsid w:val="00405AF5"/>
    <w:rsid w:val="004074ED"/>
    <w:rsid w:val="004165BF"/>
    <w:rsid w:val="00423153"/>
    <w:rsid w:val="004238A4"/>
    <w:rsid w:val="00427DFA"/>
    <w:rsid w:val="004318F5"/>
    <w:rsid w:val="004330D4"/>
    <w:rsid w:val="004407B3"/>
    <w:rsid w:val="00440E93"/>
    <w:rsid w:val="0046164F"/>
    <w:rsid w:val="00463564"/>
    <w:rsid w:val="00464CA7"/>
    <w:rsid w:val="00475B16"/>
    <w:rsid w:val="004765B9"/>
    <w:rsid w:val="004813B0"/>
    <w:rsid w:val="00481765"/>
    <w:rsid w:val="004849F0"/>
    <w:rsid w:val="0048710D"/>
    <w:rsid w:val="0048730D"/>
    <w:rsid w:val="00487BD9"/>
    <w:rsid w:val="00492D0F"/>
    <w:rsid w:val="00493BAE"/>
    <w:rsid w:val="004972E4"/>
    <w:rsid w:val="004A008E"/>
    <w:rsid w:val="004A0CD2"/>
    <w:rsid w:val="004A3815"/>
    <w:rsid w:val="004A4F75"/>
    <w:rsid w:val="004B1D2A"/>
    <w:rsid w:val="004B2749"/>
    <w:rsid w:val="004B5AA5"/>
    <w:rsid w:val="004B6174"/>
    <w:rsid w:val="004B67E9"/>
    <w:rsid w:val="004C0886"/>
    <w:rsid w:val="004C292B"/>
    <w:rsid w:val="004C2C84"/>
    <w:rsid w:val="004C595C"/>
    <w:rsid w:val="004E1C13"/>
    <w:rsid w:val="004E62CB"/>
    <w:rsid w:val="004F686C"/>
    <w:rsid w:val="005018A5"/>
    <w:rsid w:val="00503ECE"/>
    <w:rsid w:val="0050447D"/>
    <w:rsid w:val="005060AE"/>
    <w:rsid w:val="00510B11"/>
    <w:rsid w:val="00510C92"/>
    <w:rsid w:val="00510F38"/>
    <w:rsid w:val="00511D25"/>
    <w:rsid w:val="00512178"/>
    <w:rsid w:val="00513FE6"/>
    <w:rsid w:val="00517294"/>
    <w:rsid w:val="0052036B"/>
    <w:rsid w:val="00522AE7"/>
    <w:rsid w:val="00523FE1"/>
    <w:rsid w:val="00525885"/>
    <w:rsid w:val="00530D0D"/>
    <w:rsid w:val="005411EC"/>
    <w:rsid w:val="0054368F"/>
    <w:rsid w:val="00547F8D"/>
    <w:rsid w:val="00555C18"/>
    <w:rsid w:val="00561CF2"/>
    <w:rsid w:val="005622CE"/>
    <w:rsid w:val="00562F9A"/>
    <w:rsid w:val="00564D64"/>
    <w:rsid w:val="005656CB"/>
    <w:rsid w:val="00566484"/>
    <w:rsid w:val="005669DD"/>
    <w:rsid w:val="00567B53"/>
    <w:rsid w:val="00570F39"/>
    <w:rsid w:val="00571560"/>
    <w:rsid w:val="00576BC8"/>
    <w:rsid w:val="00581345"/>
    <w:rsid w:val="00582B0F"/>
    <w:rsid w:val="00584E97"/>
    <w:rsid w:val="00587A11"/>
    <w:rsid w:val="00590F34"/>
    <w:rsid w:val="005919B7"/>
    <w:rsid w:val="00591BF7"/>
    <w:rsid w:val="0059597A"/>
    <w:rsid w:val="005A40CC"/>
    <w:rsid w:val="005B54F8"/>
    <w:rsid w:val="005C1BDA"/>
    <w:rsid w:val="005C258B"/>
    <w:rsid w:val="005C40DD"/>
    <w:rsid w:val="005D1D2A"/>
    <w:rsid w:val="005D584E"/>
    <w:rsid w:val="005D7D4B"/>
    <w:rsid w:val="005E00CA"/>
    <w:rsid w:val="005E050B"/>
    <w:rsid w:val="005E1990"/>
    <w:rsid w:val="005E39E4"/>
    <w:rsid w:val="005E7392"/>
    <w:rsid w:val="005E7B51"/>
    <w:rsid w:val="005F0802"/>
    <w:rsid w:val="005F19BF"/>
    <w:rsid w:val="005F54FF"/>
    <w:rsid w:val="00600EC0"/>
    <w:rsid w:val="00605A7C"/>
    <w:rsid w:val="00605D2F"/>
    <w:rsid w:val="006125F9"/>
    <w:rsid w:val="00613500"/>
    <w:rsid w:val="006230F8"/>
    <w:rsid w:val="00634462"/>
    <w:rsid w:val="00642F92"/>
    <w:rsid w:val="00647D9A"/>
    <w:rsid w:val="00650AE1"/>
    <w:rsid w:val="0065127F"/>
    <w:rsid w:val="00651B33"/>
    <w:rsid w:val="006534F6"/>
    <w:rsid w:val="00653D41"/>
    <w:rsid w:val="0065681D"/>
    <w:rsid w:val="006619FA"/>
    <w:rsid w:val="00666401"/>
    <w:rsid w:val="00670B0E"/>
    <w:rsid w:val="00670C12"/>
    <w:rsid w:val="00685F3D"/>
    <w:rsid w:val="00686B03"/>
    <w:rsid w:val="006876F9"/>
    <w:rsid w:val="00692248"/>
    <w:rsid w:val="0069471F"/>
    <w:rsid w:val="006A63F5"/>
    <w:rsid w:val="006A78D3"/>
    <w:rsid w:val="006C051A"/>
    <w:rsid w:val="006C1B12"/>
    <w:rsid w:val="006C2869"/>
    <w:rsid w:val="006C2936"/>
    <w:rsid w:val="006D3DF7"/>
    <w:rsid w:val="006D68CB"/>
    <w:rsid w:val="006D72FA"/>
    <w:rsid w:val="006E285C"/>
    <w:rsid w:val="006E4B15"/>
    <w:rsid w:val="006F76F7"/>
    <w:rsid w:val="006F7E26"/>
    <w:rsid w:val="00706426"/>
    <w:rsid w:val="007110E5"/>
    <w:rsid w:val="00711ABC"/>
    <w:rsid w:val="00711FDF"/>
    <w:rsid w:val="00714CF8"/>
    <w:rsid w:val="00717389"/>
    <w:rsid w:val="00717E09"/>
    <w:rsid w:val="00721052"/>
    <w:rsid w:val="00724EB4"/>
    <w:rsid w:val="007314F4"/>
    <w:rsid w:val="00732A07"/>
    <w:rsid w:val="00735018"/>
    <w:rsid w:val="007353FA"/>
    <w:rsid w:val="00736018"/>
    <w:rsid w:val="007376CB"/>
    <w:rsid w:val="0073788A"/>
    <w:rsid w:val="00740220"/>
    <w:rsid w:val="00741E68"/>
    <w:rsid w:val="00743D94"/>
    <w:rsid w:val="00745895"/>
    <w:rsid w:val="00747E18"/>
    <w:rsid w:val="007513CA"/>
    <w:rsid w:val="0075485C"/>
    <w:rsid w:val="00760402"/>
    <w:rsid w:val="00761819"/>
    <w:rsid w:val="00777268"/>
    <w:rsid w:val="00782E97"/>
    <w:rsid w:val="00784CA7"/>
    <w:rsid w:val="00785BCF"/>
    <w:rsid w:val="00785D8C"/>
    <w:rsid w:val="00786570"/>
    <w:rsid w:val="00787E2C"/>
    <w:rsid w:val="00790BD7"/>
    <w:rsid w:val="00791931"/>
    <w:rsid w:val="00797E2B"/>
    <w:rsid w:val="007A211F"/>
    <w:rsid w:val="007A5D44"/>
    <w:rsid w:val="007A6FE8"/>
    <w:rsid w:val="007A7E73"/>
    <w:rsid w:val="007B0B34"/>
    <w:rsid w:val="007B3EEA"/>
    <w:rsid w:val="007B40A9"/>
    <w:rsid w:val="007B765F"/>
    <w:rsid w:val="007C3585"/>
    <w:rsid w:val="007D3436"/>
    <w:rsid w:val="007D5526"/>
    <w:rsid w:val="007E35FA"/>
    <w:rsid w:val="007E68B7"/>
    <w:rsid w:val="007E7082"/>
    <w:rsid w:val="007E7EFC"/>
    <w:rsid w:val="00800330"/>
    <w:rsid w:val="008039E7"/>
    <w:rsid w:val="00804D2F"/>
    <w:rsid w:val="0081042E"/>
    <w:rsid w:val="00815A9B"/>
    <w:rsid w:val="00820688"/>
    <w:rsid w:val="008244CC"/>
    <w:rsid w:val="00825EBF"/>
    <w:rsid w:val="0082695E"/>
    <w:rsid w:val="00826E90"/>
    <w:rsid w:val="00827214"/>
    <w:rsid w:val="008332D3"/>
    <w:rsid w:val="00835BA1"/>
    <w:rsid w:val="00844FCA"/>
    <w:rsid w:val="008537CB"/>
    <w:rsid w:val="00854DEF"/>
    <w:rsid w:val="008551B8"/>
    <w:rsid w:val="00857B1A"/>
    <w:rsid w:val="00857C5C"/>
    <w:rsid w:val="00863E10"/>
    <w:rsid w:val="00865336"/>
    <w:rsid w:val="00866D0C"/>
    <w:rsid w:val="00873AFA"/>
    <w:rsid w:val="00876857"/>
    <w:rsid w:val="008949ED"/>
    <w:rsid w:val="00896518"/>
    <w:rsid w:val="008A060D"/>
    <w:rsid w:val="008A0727"/>
    <w:rsid w:val="008A1207"/>
    <w:rsid w:val="008A24F7"/>
    <w:rsid w:val="008A5460"/>
    <w:rsid w:val="008A5935"/>
    <w:rsid w:val="008B2351"/>
    <w:rsid w:val="008B24A2"/>
    <w:rsid w:val="008B31B3"/>
    <w:rsid w:val="008B5E33"/>
    <w:rsid w:val="008B6EBC"/>
    <w:rsid w:val="008C74E2"/>
    <w:rsid w:val="008D6C9D"/>
    <w:rsid w:val="008E1DBA"/>
    <w:rsid w:val="008E3F99"/>
    <w:rsid w:val="008F3AE3"/>
    <w:rsid w:val="008F43DB"/>
    <w:rsid w:val="008F475B"/>
    <w:rsid w:val="008F647E"/>
    <w:rsid w:val="00902EFA"/>
    <w:rsid w:val="00906824"/>
    <w:rsid w:val="0090724C"/>
    <w:rsid w:val="00907D0F"/>
    <w:rsid w:val="009145B7"/>
    <w:rsid w:val="00915B84"/>
    <w:rsid w:val="00924FD7"/>
    <w:rsid w:val="00931948"/>
    <w:rsid w:val="00942E17"/>
    <w:rsid w:val="0094746E"/>
    <w:rsid w:val="00951321"/>
    <w:rsid w:val="0095200C"/>
    <w:rsid w:val="0095272A"/>
    <w:rsid w:val="00957527"/>
    <w:rsid w:val="0097048A"/>
    <w:rsid w:val="00970527"/>
    <w:rsid w:val="00970C34"/>
    <w:rsid w:val="00971538"/>
    <w:rsid w:val="00976795"/>
    <w:rsid w:val="00981364"/>
    <w:rsid w:val="00981403"/>
    <w:rsid w:val="00981E72"/>
    <w:rsid w:val="00983243"/>
    <w:rsid w:val="00983C92"/>
    <w:rsid w:val="00987CED"/>
    <w:rsid w:val="009911E2"/>
    <w:rsid w:val="00991379"/>
    <w:rsid w:val="009929DF"/>
    <w:rsid w:val="0099301A"/>
    <w:rsid w:val="00996E9C"/>
    <w:rsid w:val="009B1855"/>
    <w:rsid w:val="009B2ECE"/>
    <w:rsid w:val="009B3DBE"/>
    <w:rsid w:val="009C23F0"/>
    <w:rsid w:val="009D063B"/>
    <w:rsid w:val="009D570E"/>
    <w:rsid w:val="009E015F"/>
    <w:rsid w:val="009E3C8D"/>
    <w:rsid w:val="009E509A"/>
    <w:rsid w:val="009E6C22"/>
    <w:rsid w:val="009F62DD"/>
    <w:rsid w:val="009F69D0"/>
    <w:rsid w:val="009F702D"/>
    <w:rsid w:val="009F7837"/>
    <w:rsid w:val="00A01EA7"/>
    <w:rsid w:val="00A07B66"/>
    <w:rsid w:val="00A07BB6"/>
    <w:rsid w:val="00A109BB"/>
    <w:rsid w:val="00A1390C"/>
    <w:rsid w:val="00A15922"/>
    <w:rsid w:val="00A16ED0"/>
    <w:rsid w:val="00A17196"/>
    <w:rsid w:val="00A2002E"/>
    <w:rsid w:val="00A201C8"/>
    <w:rsid w:val="00A23965"/>
    <w:rsid w:val="00A23E52"/>
    <w:rsid w:val="00A27065"/>
    <w:rsid w:val="00A351C8"/>
    <w:rsid w:val="00A362F9"/>
    <w:rsid w:val="00A37B32"/>
    <w:rsid w:val="00A41A0B"/>
    <w:rsid w:val="00A4251F"/>
    <w:rsid w:val="00A42638"/>
    <w:rsid w:val="00A43986"/>
    <w:rsid w:val="00A5313F"/>
    <w:rsid w:val="00A64517"/>
    <w:rsid w:val="00A7560A"/>
    <w:rsid w:val="00A818F8"/>
    <w:rsid w:val="00A822EF"/>
    <w:rsid w:val="00A85B07"/>
    <w:rsid w:val="00A85BD3"/>
    <w:rsid w:val="00A8724E"/>
    <w:rsid w:val="00A90E21"/>
    <w:rsid w:val="00A939E1"/>
    <w:rsid w:val="00A949D1"/>
    <w:rsid w:val="00A95462"/>
    <w:rsid w:val="00A95D22"/>
    <w:rsid w:val="00AA1361"/>
    <w:rsid w:val="00AA2160"/>
    <w:rsid w:val="00AA40E8"/>
    <w:rsid w:val="00AA453A"/>
    <w:rsid w:val="00AA750F"/>
    <w:rsid w:val="00AB52BB"/>
    <w:rsid w:val="00AC0AF3"/>
    <w:rsid w:val="00AC1EA2"/>
    <w:rsid w:val="00AC49FC"/>
    <w:rsid w:val="00AC5F86"/>
    <w:rsid w:val="00AD0503"/>
    <w:rsid w:val="00AD2D47"/>
    <w:rsid w:val="00AD6DB1"/>
    <w:rsid w:val="00AE329B"/>
    <w:rsid w:val="00AE498D"/>
    <w:rsid w:val="00AE673F"/>
    <w:rsid w:val="00AF2A7F"/>
    <w:rsid w:val="00B063E4"/>
    <w:rsid w:val="00B070EE"/>
    <w:rsid w:val="00B10C12"/>
    <w:rsid w:val="00B12499"/>
    <w:rsid w:val="00B12C5D"/>
    <w:rsid w:val="00B17E01"/>
    <w:rsid w:val="00B218AC"/>
    <w:rsid w:val="00B2265E"/>
    <w:rsid w:val="00B2514F"/>
    <w:rsid w:val="00B30231"/>
    <w:rsid w:val="00B30C1C"/>
    <w:rsid w:val="00B41FF8"/>
    <w:rsid w:val="00B43B44"/>
    <w:rsid w:val="00B47E6F"/>
    <w:rsid w:val="00B520A2"/>
    <w:rsid w:val="00B52C10"/>
    <w:rsid w:val="00B52D57"/>
    <w:rsid w:val="00B53E3C"/>
    <w:rsid w:val="00B57855"/>
    <w:rsid w:val="00B63283"/>
    <w:rsid w:val="00B75284"/>
    <w:rsid w:val="00B90104"/>
    <w:rsid w:val="00B9066E"/>
    <w:rsid w:val="00B9156B"/>
    <w:rsid w:val="00B93955"/>
    <w:rsid w:val="00B95003"/>
    <w:rsid w:val="00BA0549"/>
    <w:rsid w:val="00BA235A"/>
    <w:rsid w:val="00BA2FF8"/>
    <w:rsid w:val="00BA359E"/>
    <w:rsid w:val="00BB0444"/>
    <w:rsid w:val="00BB095E"/>
    <w:rsid w:val="00BB0E26"/>
    <w:rsid w:val="00BB0FA1"/>
    <w:rsid w:val="00BB3B14"/>
    <w:rsid w:val="00BB4D4D"/>
    <w:rsid w:val="00BC39F0"/>
    <w:rsid w:val="00BC5965"/>
    <w:rsid w:val="00BD00DF"/>
    <w:rsid w:val="00BD2D70"/>
    <w:rsid w:val="00BD3E45"/>
    <w:rsid w:val="00BD3EB1"/>
    <w:rsid w:val="00BD4CE8"/>
    <w:rsid w:val="00BD628F"/>
    <w:rsid w:val="00BD75CE"/>
    <w:rsid w:val="00BE266D"/>
    <w:rsid w:val="00BE3B1F"/>
    <w:rsid w:val="00BE6DA4"/>
    <w:rsid w:val="00BF0A34"/>
    <w:rsid w:val="00BF5C0C"/>
    <w:rsid w:val="00BF6BE6"/>
    <w:rsid w:val="00C05B6E"/>
    <w:rsid w:val="00C07143"/>
    <w:rsid w:val="00C253D1"/>
    <w:rsid w:val="00C267D8"/>
    <w:rsid w:val="00C32FF6"/>
    <w:rsid w:val="00C33C0C"/>
    <w:rsid w:val="00C3585C"/>
    <w:rsid w:val="00C37087"/>
    <w:rsid w:val="00C404C0"/>
    <w:rsid w:val="00C42486"/>
    <w:rsid w:val="00C44D93"/>
    <w:rsid w:val="00C45238"/>
    <w:rsid w:val="00C4596A"/>
    <w:rsid w:val="00C46B62"/>
    <w:rsid w:val="00C51E04"/>
    <w:rsid w:val="00C51EDA"/>
    <w:rsid w:val="00C52F7F"/>
    <w:rsid w:val="00C573CE"/>
    <w:rsid w:val="00C62206"/>
    <w:rsid w:val="00C62944"/>
    <w:rsid w:val="00C63971"/>
    <w:rsid w:val="00C75261"/>
    <w:rsid w:val="00C765E5"/>
    <w:rsid w:val="00C8158E"/>
    <w:rsid w:val="00C82416"/>
    <w:rsid w:val="00C82F56"/>
    <w:rsid w:val="00C84593"/>
    <w:rsid w:val="00C90C50"/>
    <w:rsid w:val="00C92425"/>
    <w:rsid w:val="00CA428A"/>
    <w:rsid w:val="00CB4E59"/>
    <w:rsid w:val="00CB63F6"/>
    <w:rsid w:val="00CB7661"/>
    <w:rsid w:val="00CB7D8D"/>
    <w:rsid w:val="00CC077B"/>
    <w:rsid w:val="00CC27D4"/>
    <w:rsid w:val="00CC3114"/>
    <w:rsid w:val="00CC558F"/>
    <w:rsid w:val="00CC5C00"/>
    <w:rsid w:val="00CD01B3"/>
    <w:rsid w:val="00CD1D04"/>
    <w:rsid w:val="00CD3120"/>
    <w:rsid w:val="00CD433F"/>
    <w:rsid w:val="00CD4B4A"/>
    <w:rsid w:val="00CD585D"/>
    <w:rsid w:val="00CE3C5D"/>
    <w:rsid w:val="00CE6318"/>
    <w:rsid w:val="00CE71AE"/>
    <w:rsid w:val="00CE7AEA"/>
    <w:rsid w:val="00CF13E0"/>
    <w:rsid w:val="00CF22B7"/>
    <w:rsid w:val="00D05218"/>
    <w:rsid w:val="00D15AC1"/>
    <w:rsid w:val="00D22A3A"/>
    <w:rsid w:val="00D25B27"/>
    <w:rsid w:val="00D31F3E"/>
    <w:rsid w:val="00D337EE"/>
    <w:rsid w:val="00D33903"/>
    <w:rsid w:val="00D3481F"/>
    <w:rsid w:val="00D35341"/>
    <w:rsid w:val="00D36014"/>
    <w:rsid w:val="00D3678C"/>
    <w:rsid w:val="00D3679C"/>
    <w:rsid w:val="00D5051D"/>
    <w:rsid w:val="00D51BDF"/>
    <w:rsid w:val="00D5602E"/>
    <w:rsid w:val="00D56D74"/>
    <w:rsid w:val="00D61513"/>
    <w:rsid w:val="00D62F06"/>
    <w:rsid w:val="00D66926"/>
    <w:rsid w:val="00D71AF4"/>
    <w:rsid w:val="00D71F8C"/>
    <w:rsid w:val="00D751A6"/>
    <w:rsid w:val="00D75414"/>
    <w:rsid w:val="00D776B4"/>
    <w:rsid w:val="00D85333"/>
    <w:rsid w:val="00D859F4"/>
    <w:rsid w:val="00D87901"/>
    <w:rsid w:val="00D87BED"/>
    <w:rsid w:val="00D914D5"/>
    <w:rsid w:val="00D91576"/>
    <w:rsid w:val="00D92661"/>
    <w:rsid w:val="00D954DB"/>
    <w:rsid w:val="00DA07D8"/>
    <w:rsid w:val="00DA0993"/>
    <w:rsid w:val="00DA1735"/>
    <w:rsid w:val="00DA305F"/>
    <w:rsid w:val="00DA4041"/>
    <w:rsid w:val="00DA60F5"/>
    <w:rsid w:val="00DA6EDD"/>
    <w:rsid w:val="00DB657A"/>
    <w:rsid w:val="00DC03A5"/>
    <w:rsid w:val="00DC7317"/>
    <w:rsid w:val="00DD642F"/>
    <w:rsid w:val="00DD705E"/>
    <w:rsid w:val="00DD77C2"/>
    <w:rsid w:val="00DD7E87"/>
    <w:rsid w:val="00DE373E"/>
    <w:rsid w:val="00DF0CAE"/>
    <w:rsid w:val="00DF4A00"/>
    <w:rsid w:val="00DF7521"/>
    <w:rsid w:val="00DF7815"/>
    <w:rsid w:val="00DF7F8D"/>
    <w:rsid w:val="00E010A9"/>
    <w:rsid w:val="00E02A7C"/>
    <w:rsid w:val="00E03227"/>
    <w:rsid w:val="00E063A0"/>
    <w:rsid w:val="00E113DB"/>
    <w:rsid w:val="00E14070"/>
    <w:rsid w:val="00E16CE9"/>
    <w:rsid w:val="00E21206"/>
    <w:rsid w:val="00E24EB0"/>
    <w:rsid w:val="00E25BEE"/>
    <w:rsid w:val="00E2616B"/>
    <w:rsid w:val="00E26D20"/>
    <w:rsid w:val="00E271E4"/>
    <w:rsid w:val="00E350A0"/>
    <w:rsid w:val="00E35841"/>
    <w:rsid w:val="00E37794"/>
    <w:rsid w:val="00E37CD8"/>
    <w:rsid w:val="00E40743"/>
    <w:rsid w:val="00E42044"/>
    <w:rsid w:val="00E4624A"/>
    <w:rsid w:val="00E47996"/>
    <w:rsid w:val="00E510EF"/>
    <w:rsid w:val="00E52C10"/>
    <w:rsid w:val="00E54BC0"/>
    <w:rsid w:val="00E56A8C"/>
    <w:rsid w:val="00E573E2"/>
    <w:rsid w:val="00E578E9"/>
    <w:rsid w:val="00E60A1E"/>
    <w:rsid w:val="00E61BE6"/>
    <w:rsid w:val="00E71BA5"/>
    <w:rsid w:val="00E75519"/>
    <w:rsid w:val="00E836EB"/>
    <w:rsid w:val="00E86905"/>
    <w:rsid w:val="00E875DF"/>
    <w:rsid w:val="00E90563"/>
    <w:rsid w:val="00E9251B"/>
    <w:rsid w:val="00E9352F"/>
    <w:rsid w:val="00E93A74"/>
    <w:rsid w:val="00E95ABE"/>
    <w:rsid w:val="00EA0892"/>
    <w:rsid w:val="00EA45DF"/>
    <w:rsid w:val="00EA5515"/>
    <w:rsid w:val="00EA5713"/>
    <w:rsid w:val="00EA719A"/>
    <w:rsid w:val="00EA772C"/>
    <w:rsid w:val="00EB3BAC"/>
    <w:rsid w:val="00EB43DD"/>
    <w:rsid w:val="00EC4443"/>
    <w:rsid w:val="00EC582E"/>
    <w:rsid w:val="00EC5BE6"/>
    <w:rsid w:val="00EC6100"/>
    <w:rsid w:val="00ED7D76"/>
    <w:rsid w:val="00EE1D25"/>
    <w:rsid w:val="00EE3351"/>
    <w:rsid w:val="00EE71D8"/>
    <w:rsid w:val="00EF2CC1"/>
    <w:rsid w:val="00EF4B8F"/>
    <w:rsid w:val="00EF5A90"/>
    <w:rsid w:val="00F0363B"/>
    <w:rsid w:val="00F14E42"/>
    <w:rsid w:val="00F15B22"/>
    <w:rsid w:val="00F21661"/>
    <w:rsid w:val="00F21C37"/>
    <w:rsid w:val="00F22F76"/>
    <w:rsid w:val="00F31E9A"/>
    <w:rsid w:val="00F360CD"/>
    <w:rsid w:val="00F42F71"/>
    <w:rsid w:val="00F43736"/>
    <w:rsid w:val="00F4422F"/>
    <w:rsid w:val="00F4668D"/>
    <w:rsid w:val="00F4787E"/>
    <w:rsid w:val="00F500F7"/>
    <w:rsid w:val="00F60066"/>
    <w:rsid w:val="00F60A43"/>
    <w:rsid w:val="00F60F35"/>
    <w:rsid w:val="00F6579C"/>
    <w:rsid w:val="00F66856"/>
    <w:rsid w:val="00F7628F"/>
    <w:rsid w:val="00F82F34"/>
    <w:rsid w:val="00F85BCF"/>
    <w:rsid w:val="00F977DE"/>
    <w:rsid w:val="00F97A34"/>
    <w:rsid w:val="00FA4335"/>
    <w:rsid w:val="00FA4D4F"/>
    <w:rsid w:val="00FA7A35"/>
    <w:rsid w:val="00FB38B0"/>
    <w:rsid w:val="00FB631E"/>
    <w:rsid w:val="00FC0425"/>
    <w:rsid w:val="00FC4EBE"/>
    <w:rsid w:val="00FC6312"/>
    <w:rsid w:val="00FC70BD"/>
    <w:rsid w:val="00FD00E7"/>
    <w:rsid w:val="00FD5CD3"/>
    <w:rsid w:val="00FE079A"/>
    <w:rsid w:val="00FE1D09"/>
    <w:rsid w:val="00FE4082"/>
    <w:rsid w:val="00FF111E"/>
    <w:rsid w:val="00FF3702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3" ma:contentTypeDescription="Crée un document." ma:contentTypeScope="" ma:versionID="4fbac5b553fb53dc03103bd1376beddb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e65eb56157c836c8af95b01acd103cce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</ds:schemaRefs>
</ds:datastoreItem>
</file>

<file path=customXml/itemProps2.xml><?xml version="1.0" encoding="utf-8"?>
<ds:datastoreItem xmlns:ds="http://schemas.openxmlformats.org/officeDocument/2006/customXml" ds:itemID="{D1295557-9A6A-429B-88EF-9D600527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187</cp:revision>
  <cp:lastPrinted>2022-05-09T08:30:00Z</cp:lastPrinted>
  <dcterms:created xsi:type="dcterms:W3CDTF">2022-05-04T10:32:00Z</dcterms:created>
  <dcterms:modified xsi:type="dcterms:W3CDTF">2022-05-09T09:17:00Z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</Properties>
</file>