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AE56D28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AC650E">
        <w:rPr>
          <w:sz w:val="18"/>
          <w:szCs w:val="18"/>
        </w:rPr>
        <w:t>0</w:t>
      </w:r>
      <w:r w:rsidR="00705BB2">
        <w:rPr>
          <w:sz w:val="18"/>
          <w:szCs w:val="18"/>
        </w:rPr>
        <w:t>26</w:t>
      </w:r>
      <w:r w:rsidRPr="00BA7EAE">
        <w:rPr>
          <w:sz w:val="18"/>
          <w:szCs w:val="18"/>
        </w:rPr>
        <w:t>.202</w:t>
      </w:r>
      <w:r w:rsidR="00AC650E">
        <w:rPr>
          <w:sz w:val="18"/>
          <w:szCs w:val="18"/>
        </w:rPr>
        <w:t>1</w:t>
      </w:r>
      <w:r w:rsidRPr="00BA7EAE">
        <w:rPr>
          <w:sz w:val="18"/>
          <w:szCs w:val="18"/>
        </w:rPr>
        <w:t>.DW</w:t>
      </w:r>
      <w:r w:rsidR="00613278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CDAD3A8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AC650E">
        <w:rPr>
          <w:b/>
        </w:rPr>
        <w:t>0</w:t>
      </w:r>
      <w:r w:rsidR="00705BB2">
        <w:rPr>
          <w:b/>
        </w:rPr>
        <w:t>26</w:t>
      </w:r>
      <w:r w:rsidRPr="007F2357">
        <w:rPr>
          <w:b/>
        </w:rPr>
        <w:t>.20</w:t>
      </w:r>
      <w:r w:rsidR="00BA7EAE">
        <w:rPr>
          <w:b/>
        </w:rPr>
        <w:t>2</w:t>
      </w:r>
      <w:r w:rsidR="00AC650E">
        <w:rPr>
          <w:b/>
        </w:rPr>
        <w:t>1</w:t>
      </w:r>
      <w:r w:rsidRPr="007F2357">
        <w:rPr>
          <w:b/>
        </w:rPr>
        <w:t>.DW</w:t>
      </w:r>
      <w:r w:rsidR="00987DE8">
        <w:rPr>
          <w:b/>
        </w:rPr>
        <w:t>K</w:t>
      </w:r>
      <w:r w:rsidRPr="007F2357">
        <w:t>,                        pn.: „</w:t>
      </w:r>
      <w:r w:rsidR="00AC650E" w:rsidRPr="00AC650E">
        <w:rPr>
          <w:b/>
        </w:rPr>
        <w:t>Dostawa materiałów eksploatacyjnych - tuszy i tonerów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59FE45C0" w14:textId="77777777" w:rsidR="00705BB2" w:rsidRDefault="00705BB2" w:rsidP="00705BB2">
      <w:pPr>
        <w:spacing w:before="480"/>
        <w:ind w:left="567" w:firstLine="0"/>
        <w:rPr>
          <w:b/>
          <w:bCs/>
        </w:rPr>
      </w:pPr>
      <w:r>
        <w:rPr>
          <w:b/>
          <w:bCs/>
        </w:rPr>
        <w:br w:type="page"/>
      </w:r>
    </w:p>
    <w:p w14:paraId="0E019DDA" w14:textId="25EB96A0" w:rsidR="00705BB2" w:rsidRPr="001C5F5A" w:rsidRDefault="00705BB2" w:rsidP="00705BB2">
      <w:pPr>
        <w:spacing w:before="480"/>
        <w:ind w:left="567" w:firstLine="0"/>
        <w:rPr>
          <w:b/>
          <w:bCs/>
        </w:rPr>
      </w:pPr>
      <w:r w:rsidRPr="001C5F5A">
        <w:rPr>
          <w:b/>
          <w:bCs/>
        </w:rPr>
        <w:lastRenderedPageBreak/>
        <w:t xml:space="preserve">Oświadczenie dotyczące fakultatywnych podstaw wykluczenia. </w:t>
      </w:r>
    </w:p>
    <w:p w14:paraId="6F11669F" w14:textId="0479D6A2" w:rsidR="00705BB2" w:rsidRPr="001C5F5A" w:rsidRDefault="00705BB2" w:rsidP="00705BB2">
      <w:pPr>
        <w:spacing w:before="120"/>
        <w:ind w:left="567" w:firstLine="0"/>
      </w:pPr>
      <w:r w:rsidRPr="001C5F5A">
        <w:t xml:space="preserve">Oświadczam, iż nie podlegam wykluczeniu z postępowania, w oparciu o przepis art. 109 ust. 1 pkt  5 i 7 w zw. z art. 266 ustawy </w:t>
      </w:r>
      <w:proofErr w:type="spellStart"/>
      <w:r w:rsidRPr="001C5F5A">
        <w:t>Pzp</w:t>
      </w:r>
      <w:proofErr w:type="spellEnd"/>
      <w:r w:rsidRPr="001C5F5A">
        <w:t>, zgodnie z którym Zamawiający wykluczy z postępowania wykonawcę w związku z wystąpieniem którejkolwiek z poniższych okoliczności:</w:t>
      </w:r>
    </w:p>
    <w:p w14:paraId="11832474" w14:textId="77777777" w:rsidR="00705BB2" w:rsidRPr="001C5F5A" w:rsidRDefault="00705BB2" w:rsidP="00705BB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F1A3F1E" w14:textId="77777777" w:rsidR="00705BB2" w:rsidRPr="001C5F5A" w:rsidRDefault="00705BB2" w:rsidP="00705BB2">
      <w:pPr>
        <w:pStyle w:val="Nagwek3"/>
        <w:numPr>
          <w:ilvl w:val="0"/>
          <w:numId w:val="10"/>
        </w:numPr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62BB8D63" w14:textId="77777777" w:rsidR="00090ADB" w:rsidRPr="007F2357" w:rsidRDefault="00090ADB" w:rsidP="00090ADB">
      <w:pPr>
        <w:ind w:left="218" w:firstLine="0"/>
      </w:pP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EF13416" w14:textId="51F6B01E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</w:t>
      </w:r>
      <w:r w:rsidR="00692EEF" w:rsidRPr="00AF3FA8">
        <w:rPr>
          <w:i/>
          <w:sz w:val="18"/>
          <w:szCs w:val="18"/>
        </w:rPr>
        <w:t>z pkt 1, 2 oraz 5</w:t>
      </w:r>
      <w:r w:rsidR="0023140F">
        <w:rPr>
          <w:i/>
          <w:sz w:val="18"/>
          <w:szCs w:val="18"/>
        </w:rPr>
        <w:t xml:space="preserve"> </w:t>
      </w:r>
      <w:bookmarkStart w:id="0" w:name="_GoBack"/>
      <w:r w:rsidR="0023140F" w:rsidRPr="00705BB2">
        <w:rPr>
          <w:i/>
          <w:sz w:val="18"/>
          <w:szCs w:val="18"/>
        </w:rPr>
        <w:t>oraz fakultatywnych z pkt 1 i 2</w:t>
      </w:r>
      <w:r w:rsidR="00692EEF" w:rsidRPr="00705BB2">
        <w:rPr>
          <w:i/>
          <w:sz w:val="18"/>
          <w:szCs w:val="18"/>
        </w:rPr>
        <w:t>)</w:t>
      </w:r>
      <w:r w:rsidRPr="00705BB2">
        <w:rPr>
          <w:i/>
          <w:sz w:val="18"/>
          <w:szCs w:val="18"/>
        </w:rPr>
        <w:t>:</w:t>
      </w:r>
      <w:r w:rsidRPr="00705BB2">
        <w:t xml:space="preserve"> </w:t>
      </w:r>
      <w:bookmarkEnd w:id="0"/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23140F" w:rsidRDefault="007F2357" w:rsidP="00987DE8">
      <w:pPr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73B6B224" w14:textId="77777777" w:rsidR="00705BB2" w:rsidRDefault="00705BB2" w:rsidP="0023140F">
      <w:pPr>
        <w:jc w:val="center"/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48E0D0CA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Zgodnie z art. 111 w zw. z art. 266 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E15FF0">
      <w:headerReference w:type="default" r:id="rId8"/>
      <w:footerReference w:type="default" r:id="rId9"/>
      <w:pgSz w:w="11906" w:h="16838" w:code="9"/>
      <w:pgMar w:top="1415" w:right="1134" w:bottom="567" w:left="1134" w:header="567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A1F20" w14:textId="77777777" w:rsidR="00732E26" w:rsidRDefault="00732E26" w:rsidP="005D63CD">
      <w:pPr>
        <w:spacing w:line="240" w:lineRule="auto"/>
      </w:pPr>
      <w:r>
        <w:separator/>
      </w:r>
    </w:p>
  </w:endnote>
  <w:endnote w:type="continuationSeparator" w:id="0">
    <w:p w14:paraId="6E61CCD5" w14:textId="77777777" w:rsidR="00732E26" w:rsidRDefault="00732E2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AE9E8" w14:textId="44AA0739" w:rsidR="000C0883" w:rsidRPr="00602A59" w:rsidRDefault="00E15FF0" w:rsidP="000C0883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34B85314" wp14:editId="19A1245D">
          <wp:simplePos x="0" y="0"/>
          <wp:positionH relativeFrom="page">
            <wp:posOffset>4556760</wp:posOffset>
          </wp:positionH>
          <wp:positionV relativeFrom="page">
            <wp:posOffset>9096375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C0883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7A36C6BC" wp14:editId="49E3F9F6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088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F8A8EAF" wp14:editId="71908D9D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CE2EDA" w14:textId="77777777" w:rsidR="000C0883" w:rsidRPr="002A6205" w:rsidRDefault="000C0883" w:rsidP="000C088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E15FF0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4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8A8EAF" id="Prostokąt 9" o:spid="_x0000_s1026" style="position:absolute;left:0;text-align:left;margin-left:27.5pt;margin-top:725.4pt;width:22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75CE2EDA" w14:textId="77777777" w:rsidR="000C0883" w:rsidRPr="002A6205" w:rsidRDefault="000C0883" w:rsidP="000C0883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E15FF0">
                      <w:rPr>
                        <w:noProof/>
                        <w:color w:val="222A35" w:themeColor="text2" w:themeShade="80"/>
                        <w:sz w:val="22"/>
                      </w:rPr>
                      <w:t>4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0C0883" w:rsidRPr="00602A59">
      <w:rPr>
        <w:color w:val="002D59"/>
        <w:sz w:val="16"/>
        <w:szCs w:val="16"/>
      </w:rPr>
      <w:t>Uniwersytet Śląski w Katowicach</w:t>
    </w:r>
  </w:p>
  <w:p w14:paraId="3FCC4B24" w14:textId="77777777" w:rsidR="000C0883" w:rsidRPr="00602A59" w:rsidRDefault="000C0883" w:rsidP="000C0883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B6B771A" w14:textId="77777777" w:rsidR="000C0883" w:rsidRPr="00602A59" w:rsidRDefault="000C0883" w:rsidP="000C0883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195A929" wp14:editId="75875DB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E856E9" w14:textId="77777777" w:rsidR="000C0883" w:rsidRPr="003A2237" w:rsidRDefault="000C0883" w:rsidP="000C088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E15FF0">
                            <w:rPr>
                              <w:noProof/>
                              <w:color w:val="2E74B5"/>
                              <w:sz w:val="22"/>
                            </w:rPr>
                            <w:t>4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5A929" id="Prostokąt 2" o:spid="_x0000_s1027" style="position:absolute;left:0;text-align:left;margin-left:20.9pt;margin-top:694.4pt;width:23.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1E856E9" w14:textId="77777777" w:rsidR="000C0883" w:rsidRPr="003A2237" w:rsidRDefault="000C0883" w:rsidP="000C088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E15FF0">
                      <w:rPr>
                        <w:noProof/>
                        <w:color w:val="2E74B5"/>
                        <w:sz w:val="22"/>
                      </w:rPr>
                      <w:t>4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C4DDD1" w14:textId="77777777" w:rsidR="000C0883" w:rsidRPr="00602A59" w:rsidRDefault="000C0883" w:rsidP="000C088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0F7E4557" w14:textId="77777777" w:rsidR="000C0883" w:rsidRPr="00320F2F" w:rsidRDefault="000C0883" w:rsidP="000C0883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03DAA3E5" w14:textId="77777777" w:rsidR="000C0883" w:rsidRPr="000C0883" w:rsidRDefault="000C0883" w:rsidP="000C0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CA91" w14:textId="77777777" w:rsidR="00732E26" w:rsidRDefault="00732E26" w:rsidP="005D63CD">
      <w:pPr>
        <w:spacing w:line="240" w:lineRule="auto"/>
      </w:pPr>
      <w:r>
        <w:separator/>
      </w:r>
    </w:p>
  </w:footnote>
  <w:footnote w:type="continuationSeparator" w:id="0">
    <w:p w14:paraId="2125A8C5" w14:textId="77777777" w:rsidR="00732E26" w:rsidRDefault="00732E2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57966764"/>
    <w:lvl w:ilvl="0" w:tplc="C0F054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10A9"/>
    <w:rsid w:val="000A0A8A"/>
    <w:rsid w:val="000A2883"/>
    <w:rsid w:val="000A37EA"/>
    <w:rsid w:val="000A3D64"/>
    <w:rsid w:val="000A5BCB"/>
    <w:rsid w:val="000B0AAE"/>
    <w:rsid w:val="000C0883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3278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5BB2"/>
    <w:rsid w:val="0070662F"/>
    <w:rsid w:val="0071379B"/>
    <w:rsid w:val="007149C5"/>
    <w:rsid w:val="00715211"/>
    <w:rsid w:val="007206AE"/>
    <w:rsid w:val="007213C6"/>
    <w:rsid w:val="00722392"/>
    <w:rsid w:val="0072616A"/>
    <w:rsid w:val="00732B2D"/>
    <w:rsid w:val="00732E26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7DE8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650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5FF0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4DC32"/>
  <w15:docId w15:val="{E32EF395-0B8E-4BDD-B92F-586C5354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7E4AE-E6E4-4B69-B86A-2A294D61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6060</TotalTime>
  <Pages>5</Pages>
  <Words>1556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69</cp:revision>
  <cp:lastPrinted>2021-02-22T07:48:00Z</cp:lastPrinted>
  <dcterms:created xsi:type="dcterms:W3CDTF">2020-01-24T10:28:00Z</dcterms:created>
  <dcterms:modified xsi:type="dcterms:W3CDTF">2021-04-29T10:06:00Z</dcterms:modified>
</cp:coreProperties>
</file>