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22</w:t>
      </w:r>
      <w:r>
        <w:rPr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wykonanie zadania „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Legionowie”</w:t>
      </w:r>
      <w:r>
        <w:rPr>
          <w:rStyle w:val="Domylnaczcionkaakapitu"/>
          <w:rFonts w:eastAsia="TimesNewRomanPSMT" w:cs="TimesNewRomanPSMT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„okres gwarancji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na wbudowane urządzenia,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nawierzchnie i 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wynoszący: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60 dni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wprowadzenia wykonawcy na budowę.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Protokolarne wprowadzenie Wykonawcy na budowę nastąpi nie później niż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0 dni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kalendarzowych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dnia podpisania umowy. 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24 sierpnia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2024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3</Pages>
  <Words>701</Words>
  <Characters>4632</Characters>
  <CharactersWithSpaces>5279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2024-07-11T09:59:24Z</dcterms:created>
  <dc:creator/>
  <dc:description/>
  <dc:language>pl-PL</dc:language>
  <cp:lastModifiedBy/>
  <dcterms:modified xsi:type="dcterms:W3CDTF">2024-07-11T10:01:10Z</dcterms:modified>
  <cp:revision>2</cp:revision>
  <dc:subject/>
  <dc:title>Formularz oferty</dc:title>
</cp:coreProperties>
</file>