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A6C6" w14:textId="490C6149" w:rsidR="00A45403" w:rsidRPr="00D02578" w:rsidRDefault="00D02578" w:rsidP="00D02578">
      <w:pPr>
        <w:spacing w:line="276" w:lineRule="auto"/>
        <w:jc w:val="right"/>
        <w:rPr>
          <w:sz w:val="32"/>
          <w:szCs w:val="32"/>
        </w:rPr>
      </w:pPr>
      <w:r w:rsidRPr="00D02578">
        <w:rPr>
          <w:rFonts w:cstheme="minorHAnsi"/>
          <w:b/>
          <w:sz w:val="32"/>
          <w:szCs w:val="32"/>
        </w:rPr>
        <w:t>Załącznik nr 3 do zapytania ofertowego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428"/>
        <w:gridCol w:w="4644"/>
      </w:tblGrid>
      <w:tr w:rsidR="00A45403" w14:paraId="61C4D9FF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08D98B7" w14:textId="14D1A0A4" w:rsidR="00A45403" w:rsidRPr="00D02578" w:rsidRDefault="00A45403" w:rsidP="00D02578">
            <w:pPr>
              <w:spacing w:after="0"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23286153" w14:textId="77777777" w:rsidR="00A45403" w:rsidRDefault="00A45403">
            <w:pPr>
              <w:spacing w:after="0" w:line="276" w:lineRule="auto"/>
              <w:rPr>
                <w:rFonts w:cstheme="minorHAnsi"/>
                <w:bCs/>
              </w:rPr>
            </w:pPr>
          </w:p>
          <w:p w14:paraId="5F2A7382" w14:textId="77777777" w:rsidR="00A45403" w:rsidRDefault="00A45403">
            <w:pPr>
              <w:spacing w:after="0" w:line="276" w:lineRule="auto"/>
              <w:rPr>
                <w:rFonts w:cstheme="minorHAnsi"/>
                <w:bCs/>
              </w:rPr>
            </w:pPr>
          </w:p>
          <w:p w14:paraId="7A9E3191" w14:textId="77777777" w:rsidR="00A45403" w:rsidRDefault="00A45403">
            <w:pPr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1E084BC" w14:textId="77777777" w:rsidR="00A45403" w:rsidRDefault="00A45403">
            <w:pPr>
              <w:spacing w:after="0" w:line="276" w:lineRule="auto"/>
              <w:jc w:val="right"/>
              <w:rPr>
                <w:rFonts w:cstheme="minorHAnsi"/>
                <w:bCs/>
              </w:rPr>
            </w:pPr>
          </w:p>
          <w:p w14:paraId="3D50D9EB" w14:textId="77777777" w:rsidR="00A45403" w:rsidRDefault="00A45403">
            <w:pPr>
              <w:tabs>
                <w:tab w:val="left" w:pos="1068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A45403" w14:paraId="0F4C2340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EC5E" w14:textId="77777777" w:rsidR="00A45403" w:rsidRDefault="00A934EF">
            <w:pPr>
              <w:spacing w:after="0" w:line="276" w:lineRule="auto"/>
              <w:jc w:val="center"/>
              <w:rPr>
                <w:sz w:val="44"/>
                <w:szCs w:val="44"/>
              </w:rPr>
            </w:pPr>
            <w:r>
              <w:rPr>
                <w:rFonts w:eastAsia="Calibri"/>
                <w:sz w:val="44"/>
                <w:szCs w:val="44"/>
              </w:rPr>
              <w:t>Szczegółowy Opis Przedmiotu Zamówienia</w:t>
            </w:r>
          </w:p>
          <w:p w14:paraId="10D7BF19" w14:textId="77777777" w:rsidR="00A45403" w:rsidRDefault="00A45403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3FCAD99B" w14:textId="77777777" w:rsidR="00A45403" w:rsidRDefault="00A934EF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 dostawę sprzętu informatycznego i oprogramowania związaną z realizacją projektu w ramach grantu „Cyfrowa Gmina”</w:t>
            </w:r>
            <w:bookmarkStart w:id="0" w:name="_Hlk96781142"/>
            <w:bookmarkEnd w:id="0"/>
          </w:p>
          <w:p w14:paraId="16F56144" w14:textId="77777777" w:rsidR="00BD70E8" w:rsidRDefault="00BD70E8" w:rsidP="00BD70E8">
            <w:pPr>
              <w:pStyle w:val="Tekstpodstawowy"/>
              <w:ind w:right="102"/>
              <w:jc w:val="both"/>
            </w:pPr>
          </w:p>
          <w:p w14:paraId="7C402D43" w14:textId="0E881E0C" w:rsidR="00BD70E8" w:rsidRDefault="00BD70E8" w:rsidP="00BD70E8">
            <w:pPr>
              <w:pStyle w:val="Tekstpodstawowy"/>
              <w:ind w:right="102"/>
              <w:jc w:val="both"/>
            </w:pPr>
            <w:r>
              <w:t>finansowanego w ramach Programu Operacyjnego Polska Cyfrowa na lata 2014-2020 Osi Priorytetowej V</w:t>
            </w:r>
            <w:r>
              <w:rPr>
                <w:spacing w:val="-1"/>
              </w:rPr>
              <w:t xml:space="preserve"> </w:t>
            </w:r>
            <w:r>
              <w:t>Rozwój cyfrowy</w:t>
            </w:r>
            <w:r>
              <w:rPr>
                <w:spacing w:val="-5"/>
              </w:rPr>
              <w:t xml:space="preserve"> </w:t>
            </w:r>
            <w:r>
              <w:t>JST</w:t>
            </w:r>
            <w:r>
              <w:rPr>
                <w:spacing w:val="-2"/>
              </w:rPr>
              <w:t xml:space="preserve"> </w:t>
            </w:r>
            <w:r>
              <w:t>oraz wzmocnienie</w:t>
            </w:r>
            <w:r>
              <w:rPr>
                <w:spacing w:val="-1"/>
              </w:rPr>
              <w:t xml:space="preserve"> </w:t>
            </w:r>
            <w:r>
              <w:t>cyfrowej odporności na</w:t>
            </w:r>
            <w:r>
              <w:rPr>
                <w:spacing w:val="-1"/>
              </w:rPr>
              <w:t xml:space="preserve"> </w:t>
            </w:r>
            <w:r>
              <w:t>zagrożenia</w:t>
            </w:r>
            <w:r>
              <w:rPr>
                <w:spacing w:val="-1"/>
              </w:rPr>
              <w:t xml:space="preserve"> </w:t>
            </w:r>
            <w:r>
              <w:t>REACT-EU</w:t>
            </w:r>
            <w:r>
              <w:rPr>
                <w:spacing w:val="-1"/>
              </w:rPr>
              <w:t xml:space="preserve"> </w:t>
            </w:r>
            <w:r>
              <w:t>działania</w:t>
            </w:r>
            <w:r>
              <w:rPr>
                <w:spacing w:val="-1"/>
              </w:rPr>
              <w:t xml:space="preserve"> </w:t>
            </w:r>
            <w:r>
              <w:t>5.1 Rozwój</w:t>
            </w:r>
            <w:r>
              <w:rPr>
                <w:spacing w:val="-15"/>
              </w:rPr>
              <w:t xml:space="preserve"> </w:t>
            </w:r>
            <w:r>
              <w:t>cyfrowy</w:t>
            </w:r>
            <w:r>
              <w:rPr>
                <w:spacing w:val="-15"/>
              </w:rPr>
              <w:t xml:space="preserve"> </w:t>
            </w:r>
            <w:r>
              <w:t>JST</w:t>
            </w:r>
            <w:r>
              <w:rPr>
                <w:spacing w:val="-15"/>
              </w:rPr>
              <w:t xml:space="preserve"> </w:t>
            </w:r>
            <w:r>
              <w:t>oraz</w:t>
            </w:r>
            <w:r>
              <w:rPr>
                <w:spacing w:val="-15"/>
              </w:rPr>
              <w:t xml:space="preserve"> </w:t>
            </w:r>
            <w:r>
              <w:t>wzmocnienie</w:t>
            </w:r>
            <w:r>
              <w:rPr>
                <w:spacing w:val="-15"/>
              </w:rPr>
              <w:t xml:space="preserve"> </w:t>
            </w:r>
            <w:r>
              <w:t>cyfrowej</w:t>
            </w:r>
            <w:r>
              <w:rPr>
                <w:spacing w:val="-15"/>
              </w:rPr>
              <w:t xml:space="preserve"> </w:t>
            </w:r>
            <w:r>
              <w:t>odporności</w:t>
            </w:r>
            <w:r>
              <w:rPr>
                <w:spacing w:val="-15"/>
              </w:rPr>
              <w:t xml:space="preserve"> </w:t>
            </w:r>
            <w:r>
              <w:t>na</w:t>
            </w:r>
            <w:r>
              <w:rPr>
                <w:spacing w:val="-15"/>
              </w:rPr>
              <w:t xml:space="preserve"> </w:t>
            </w:r>
            <w:r>
              <w:t>zagrożenia,</w:t>
            </w:r>
            <w:r>
              <w:rPr>
                <w:spacing w:val="29"/>
              </w:rPr>
              <w:t xml:space="preserve"> </w:t>
            </w:r>
            <w:r>
              <w:t>dotycząca</w:t>
            </w:r>
            <w:r>
              <w:rPr>
                <w:spacing w:val="-15"/>
              </w:rPr>
              <w:t xml:space="preserve"> </w:t>
            </w:r>
            <w:r>
              <w:t>realizacji</w:t>
            </w:r>
            <w:r>
              <w:rPr>
                <w:spacing w:val="-15"/>
              </w:rPr>
              <w:t xml:space="preserve"> </w:t>
            </w:r>
            <w:r>
              <w:t>projektu grantowego</w:t>
            </w:r>
            <w:r>
              <w:rPr>
                <w:spacing w:val="40"/>
              </w:rPr>
              <w:t xml:space="preserve"> </w:t>
            </w:r>
            <w:r>
              <w:t>„Cyfrowa</w:t>
            </w:r>
            <w:r>
              <w:rPr>
                <w:spacing w:val="40"/>
              </w:rPr>
              <w:t xml:space="preserve"> </w:t>
            </w:r>
            <w:r>
              <w:t>Gmina”</w:t>
            </w:r>
            <w:r>
              <w:rPr>
                <w:spacing w:val="39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numerze</w:t>
            </w:r>
            <w:r>
              <w:rPr>
                <w:spacing w:val="40"/>
              </w:rPr>
              <w:t xml:space="preserve"> </w:t>
            </w:r>
            <w:r>
              <w:t>POPC.05.01.00-00-0001/21-00,</w:t>
            </w:r>
            <w:r>
              <w:rPr>
                <w:spacing w:val="40"/>
              </w:rPr>
              <w:t xml:space="preserve"> </w:t>
            </w:r>
            <w:r>
              <w:t>dotyczy</w:t>
            </w:r>
            <w:r>
              <w:rPr>
                <w:spacing w:val="40"/>
              </w:rPr>
              <w:t xml:space="preserve"> </w:t>
            </w:r>
            <w:r>
              <w:t>realizacji</w:t>
            </w:r>
            <w:r>
              <w:rPr>
                <w:spacing w:val="40"/>
              </w:rPr>
              <w:t xml:space="preserve"> </w:t>
            </w:r>
            <w:r>
              <w:t>umowy nr 4034/2/2022.</w:t>
            </w:r>
          </w:p>
          <w:p w14:paraId="640AD9A3" w14:textId="77777777" w:rsidR="00A45403" w:rsidRDefault="00A454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10A57" w14:textId="77777777" w:rsidR="00A45403" w:rsidRDefault="00A45403">
      <w:pPr>
        <w:spacing w:line="276" w:lineRule="auto"/>
        <w:jc w:val="right"/>
      </w:pPr>
    </w:p>
    <w:p w14:paraId="18269F5F" w14:textId="77777777" w:rsidR="00A45403" w:rsidRDefault="00A45403">
      <w:pPr>
        <w:spacing w:line="276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68769940"/>
        <w:docPartObj>
          <w:docPartGallery w:val="Table of Contents"/>
          <w:docPartUnique/>
        </w:docPartObj>
      </w:sdtPr>
      <w:sdtEndPr/>
      <w:sdtContent>
        <w:p w14:paraId="1CBCCB6B" w14:textId="77777777" w:rsidR="00A45403" w:rsidRDefault="00A934EF">
          <w:pPr>
            <w:pStyle w:val="Nagwekspisutreci"/>
            <w:spacing w:line="276" w:lineRule="auto"/>
          </w:pPr>
          <w:r>
            <w:br w:type="page"/>
          </w:r>
          <w:r>
            <w:lastRenderedPageBreak/>
            <w:t>Spis treści</w:t>
          </w:r>
        </w:p>
        <w:p w14:paraId="11D47B6D" w14:textId="05A113B5" w:rsidR="00A45403" w:rsidRDefault="00A934E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125031386">
            <w:r>
              <w:rPr>
                <w:rStyle w:val="czeindeksu"/>
                <w:noProof/>
                <w:webHidden/>
              </w:rPr>
              <w:t>1.</w:t>
            </w:r>
            <w:r>
              <w:rPr>
                <w:rStyle w:val="czeindeksu"/>
                <w:rFonts w:eastAsiaTheme="minorEastAsia"/>
                <w:noProof/>
                <w:lang w:eastAsia="pl-PL"/>
              </w:rPr>
              <w:tab/>
            </w:r>
            <w:r>
              <w:rPr>
                <w:rStyle w:val="czeindeksu"/>
                <w:noProof/>
              </w:rPr>
              <w:t>Zestawienie ilościowe</w:t>
            </w:r>
            <w:r w:rsidR="00BD70E8">
              <w:rPr>
                <w:rStyle w:val="czeindeksu"/>
                <w:noProof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_Toc125031386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FB6E0" w14:textId="23824634" w:rsidR="00A45403" w:rsidRDefault="00D0257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5031387">
            <w:r w:rsidR="00A934EF">
              <w:rPr>
                <w:rStyle w:val="czeindeksu"/>
                <w:noProof/>
                <w:webHidden/>
              </w:rPr>
              <w:t>2.</w:t>
            </w:r>
            <w:r w:rsidR="00A934EF">
              <w:rPr>
                <w:rStyle w:val="czeindeksu"/>
                <w:rFonts w:eastAsiaTheme="minorEastAsia"/>
                <w:noProof/>
                <w:lang w:eastAsia="pl-PL"/>
              </w:rPr>
              <w:tab/>
            </w:r>
            <w:r w:rsidR="00A934EF">
              <w:rPr>
                <w:rStyle w:val="czeindeksu"/>
                <w:noProof/>
              </w:rPr>
              <w:t>Przedmiot zamówienia</w:t>
            </w:r>
            <w:r w:rsidR="00BD70E8">
              <w:rPr>
                <w:rStyle w:val="czeindeksu"/>
                <w:noProof/>
              </w:rPr>
              <w:tab/>
            </w:r>
            <w:r w:rsidR="00A934EF">
              <w:rPr>
                <w:noProof/>
                <w:webHidden/>
              </w:rPr>
              <w:fldChar w:fldCharType="begin"/>
            </w:r>
            <w:r w:rsidR="00A934EF">
              <w:rPr>
                <w:noProof/>
                <w:webHidden/>
              </w:rPr>
              <w:instrText>PAGEREF _Toc125031387 \h</w:instrText>
            </w:r>
            <w:r w:rsidR="00A934EF">
              <w:rPr>
                <w:noProof/>
                <w:webHidden/>
              </w:rPr>
            </w:r>
            <w:r w:rsidR="00A934E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934EF">
              <w:rPr>
                <w:noProof/>
                <w:webHidden/>
              </w:rPr>
              <w:fldChar w:fldCharType="end"/>
            </w:r>
          </w:hyperlink>
        </w:p>
        <w:p w14:paraId="676784A4" w14:textId="4617D9BC" w:rsidR="00A45403" w:rsidRDefault="00D0257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5031388">
            <w:r w:rsidR="00A934EF">
              <w:rPr>
                <w:rStyle w:val="czeindeksu"/>
                <w:noProof/>
                <w:webHidden/>
              </w:rPr>
              <w:t>2.1.</w:t>
            </w:r>
            <w:r w:rsidR="00A934EF">
              <w:rPr>
                <w:rStyle w:val="czeindeksu"/>
                <w:rFonts w:eastAsiaTheme="minorEastAsia"/>
                <w:noProof/>
                <w:lang w:eastAsia="pl-PL"/>
              </w:rPr>
              <w:tab/>
            </w:r>
            <w:r w:rsidR="00A934EF">
              <w:rPr>
                <w:rStyle w:val="czeindeksu"/>
                <w:noProof/>
              </w:rPr>
              <w:t>Wymagania ogólne w zakresie dostawy sprzętu</w:t>
            </w:r>
            <w:r w:rsidR="00BD70E8">
              <w:rPr>
                <w:rStyle w:val="czeindeksu"/>
                <w:noProof/>
              </w:rPr>
              <w:tab/>
            </w:r>
            <w:r w:rsidR="00A934EF">
              <w:rPr>
                <w:noProof/>
                <w:webHidden/>
              </w:rPr>
              <w:fldChar w:fldCharType="begin"/>
            </w:r>
            <w:r w:rsidR="00A934EF">
              <w:rPr>
                <w:noProof/>
                <w:webHidden/>
              </w:rPr>
              <w:instrText>PAGEREF _Toc125031388 \h</w:instrText>
            </w:r>
            <w:r w:rsidR="00A934EF">
              <w:rPr>
                <w:noProof/>
                <w:webHidden/>
              </w:rPr>
            </w:r>
            <w:r w:rsidR="00A934E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934EF">
              <w:rPr>
                <w:noProof/>
                <w:webHidden/>
              </w:rPr>
              <w:fldChar w:fldCharType="end"/>
            </w:r>
          </w:hyperlink>
        </w:p>
        <w:p w14:paraId="34C6EE8E" w14:textId="188CB941" w:rsidR="00BD70E8" w:rsidRPr="00BD70E8" w:rsidRDefault="00D02578" w:rsidP="00BD70E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125031389">
            <w:r w:rsidR="00A934EF">
              <w:rPr>
                <w:rStyle w:val="czeindeksu"/>
                <w:noProof/>
                <w:webHidden/>
              </w:rPr>
              <w:t>2.2.</w:t>
            </w:r>
            <w:r w:rsidR="00A934EF">
              <w:rPr>
                <w:rStyle w:val="czeindeksu"/>
                <w:rFonts w:eastAsiaTheme="minorEastAsia"/>
                <w:noProof/>
                <w:lang w:eastAsia="pl-PL"/>
              </w:rPr>
              <w:tab/>
            </w:r>
            <w:r w:rsidR="00A934EF">
              <w:rPr>
                <w:rStyle w:val="czeindeksu"/>
                <w:noProof/>
              </w:rPr>
              <w:t>Zasada równoważności rozwiązań</w:t>
            </w:r>
            <w:r w:rsidR="00BD70E8">
              <w:rPr>
                <w:rStyle w:val="czeindeksu"/>
                <w:noProof/>
              </w:rPr>
              <w:tab/>
            </w:r>
            <w:r w:rsidR="00A934EF">
              <w:rPr>
                <w:noProof/>
                <w:webHidden/>
              </w:rPr>
              <w:fldChar w:fldCharType="begin"/>
            </w:r>
            <w:r w:rsidR="00A934EF">
              <w:rPr>
                <w:noProof/>
                <w:webHidden/>
              </w:rPr>
              <w:instrText>PAGEREF _Toc125031389 \h</w:instrText>
            </w:r>
            <w:r w:rsidR="00A934EF">
              <w:rPr>
                <w:noProof/>
                <w:webHidden/>
              </w:rPr>
            </w:r>
            <w:r w:rsidR="00A934E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934EF">
              <w:rPr>
                <w:noProof/>
                <w:webHidden/>
              </w:rPr>
              <w:fldChar w:fldCharType="end"/>
            </w:r>
          </w:hyperlink>
        </w:p>
        <w:p w14:paraId="22AEA8BB" w14:textId="7BC732BA" w:rsidR="00A45403" w:rsidRDefault="00D0257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5031390">
            <w:r w:rsidR="00A934EF">
              <w:rPr>
                <w:rStyle w:val="czeindeksu"/>
                <w:noProof/>
                <w:webHidden/>
              </w:rPr>
              <w:t>2.3.</w:t>
            </w:r>
            <w:r w:rsidR="00A934EF">
              <w:rPr>
                <w:rStyle w:val="czeindeksu"/>
                <w:rFonts w:eastAsiaTheme="minorEastAsia"/>
                <w:noProof/>
                <w:lang w:eastAsia="pl-PL"/>
              </w:rPr>
              <w:tab/>
            </w:r>
            <w:r w:rsidR="00A934EF">
              <w:rPr>
                <w:rStyle w:val="czeindeksu"/>
                <w:noProof/>
              </w:rPr>
              <w:t>Zakup serwera z oprogramowaniem serwerowym (</w:t>
            </w:r>
            <w:r w:rsidR="008B38B0">
              <w:rPr>
                <w:rStyle w:val="czeindeksu"/>
                <w:noProof/>
              </w:rPr>
              <w:t>1</w:t>
            </w:r>
            <w:r w:rsidR="00A934EF">
              <w:rPr>
                <w:rStyle w:val="czeindeksu"/>
                <w:noProof/>
              </w:rPr>
              <w:t xml:space="preserve"> szt.)</w:t>
            </w:r>
            <w:r w:rsidR="00BD70E8">
              <w:rPr>
                <w:rStyle w:val="czeindeksu"/>
                <w:noProof/>
              </w:rPr>
              <w:tab/>
            </w:r>
            <w:r w:rsidR="00A934EF">
              <w:rPr>
                <w:noProof/>
                <w:webHidden/>
              </w:rPr>
              <w:fldChar w:fldCharType="begin"/>
            </w:r>
            <w:r w:rsidR="00A934EF">
              <w:rPr>
                <w:noProof/>
                <w:webHidden/>
              </w:rPr>
              <w:instrText>PAGEREF _Toc125031390 \h</w:instrText>
            </w:r>
            <w:r w:rsidR="00A934EF">
              <w:rPr>
                <w:noProof/>
                <w:webHidden/>
              </w:rPr>
            </w:r>
            <w:r w:rsidR="00A934E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934EF">
              <w:rPr>
                <w:noProof/>
                <w:webHidden/>
              </w:rPr>
              <w:fldChar w:fldCharType="end"/>
            </w:r>
          </w:hyperlink>
        </w:p>
        <w:p w14:paraId="1AFE6FA2" w14:textId="17624332" w:rsidR="00A45403" w:rsidRDefault="00D02578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5031393">
            <w:r w:rsidR="00A934EF">
              <w:rPr>
                <w:rStyle w:val="czeindeksu"/>
                <w:noProof/>
                <w:webHidden/>
              </w:rPr>
              <w:t>2.</w:t>
            </w:r>
            <w:r w:rsidR="008B38B0">
              <w:rPr>
                <w:rStyle w:val="czeindeksu"/>
                <w:noProof/>
                <w:webHidden/>
              </w:rPr>
              <w:t>4</w:t>
            </w:r>
            <w:r w:rsidR="00A934EF">
              <w:rPr>
                <w:rStyle w:val="czeindeksu"/>
                <w:noProof/>
                <w:webHidden/>
              </w:rPr>
              <w:t>.</w:t>
            </w:r>
            <w:r w:rsidR="00A934EF">
              <w:rPr>
                <w:rStyle w:val="czeindeksu"/>
                <w:rFonts w:eastAsiaTheme="minorEastAsia"/>
                <w:noProof/>
                <w:lang w:eastAsia="pl-PL"/>
              </w:rPr>
              <w:tab/>
            </w:r>
            <w:r w:rsidR="00A934EF">
              <w:rPr>
                <w:rStyle w:val="czeindeksu"/>
                <w:noProof/>
              </w:rPr>
              <w:t>Zakup stacji roboczych z monitorami (</w:t>
            </w:r>
            <w:r w:rsidR="008B38B0">
              <w:rPr>
                <w:rStyle w:val="czeindeksu"/>
                <w:noProof/>
              </w:rPr>
              <w:t>8</w:t>
            </w:r>
            <w:r w:rsidR="00A934EF">
              <w:rPr>
                <w:rStyle w:val="czeindeksu"/>
                <w:noProof/>
              </w:rPr>
              <w:t xml:space="preserve"> szt.)</w:t>
            </w:r>
            <w:r w:rsidR="00BD70E8">
              <w:rPr>
                <w:rStyle w:val="czeindeksu"/>
                <w:noProof/>
              </w:rPr>
              <w:tab/>
            </w:r>
            <w:r w:rsidR="00A934EF">
              <w:rPr>
                <w:noProof/>
                <w:webHidden/>
              </w:rPr>
              <w:fldChar w:fldCharType="begin"/>
            </w:r>
            <w:r w:rsidR="00A934EF">
              <w:rPr>
                <w:noProof/>
                <w:webHidden/>
              </w:rPr>
              <w:instrText>PAGEREF _Toc125031393 \h</w:instrText>
            </w:r>
            <w:r w:rsidR="00A934EF">
              <w:rPr>
                <w:noProof/>
                <w:webHidden/>
              </w:rPr>
            </w:r>
            <w:r w:rsidR="00A934E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934EF">
              <w:rPr>
                <w:noProof/>
                <w:webHidden/>
              </w:rPr>
              <w:fldChar w:fldCharType="end"/>
            </w:r>
          </w:hyperlink>
        </w:p>
        <w:p w14:paraId="121AA5BF" w14:textId="77777777" w:rsidR="00A45403" w:rsidRDefault="00A934EF">
          <w:pPr>
            <w:spacing w:line="276" w:lineRule="auto"/>
          </w:pPr>
          <w:r>
            <w:fldChar w:fldCharType="end"/>
          </w:r>
        </w:p>
      </w:sdtContent>
    </w:sdt>
    <w:p w14:paraId="23553E18" w14:textId="77777777" w:rsidR="00A45403" w:rsidRDefault="00A934EF">
      <w:pPr>
        <w:spacing w:line="276" w:lineRule="auto"/>
        <w:rPr>
          <w:sz w:val="44"/>
          <w:szCs w:val="44"/>
        </w:rPr>
      </w:pPr>
      <w:r>
        <w:br w:type="page"/>
      </w:r>
    </w:p>
    <w:p w14:paraId="183BF0EB" w14:textId="77777777" w:rsidR="00A45403" w:rsidRDefault="00A934EF">
      <w:pPr>
        <w:pStyle w:val="Nagwek1"/>
        <w:numPr>
          <w:ilvl w:val="0"/>
          <w:numId w:val="1"/>
        </w:numPr>
        <w:spacing w:after="240" w:line="276" w:lineRule="auto"/>
      </w:pPr>
      <w:bookmarkStart w:id="1" w:name="_Toc125031386"/>
      <w:r>
        <w:lastRenderedPageBreak/>
        <w:t>Zestawienie ilościowe.</w:t>
      </w:r>
      <w:bookmarkEnd w:id="1"/>
    </w:p>
    <w:p w14:paraId="4E9624D0" w14:textId="77777777" w:rsidR="00A45403" w:rsidRDefault="00A934EF">
      <w:pPr>
        <w:spacing w:line="276" w:lineRule="auto"/>
        <w:jc w:val="both"/>
        <w:rPr>
          <w:rFonts w:cstheme="minorHAnsi"/>
        </w:rPr>
      </w:pPr>
      <w:r>
        <w:t xml:space="preserve">Część nr 1 – </w:t>
      </w:r>
      <w:r>
        <w:rPr>
          <w:rFonts w:cstheme="minorHAnsi"/>
        </w:rPr>
        <w:t>Dostawa sprzętu informatycznego i oprogramowania dla urzędu.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A45403" w14:paraId="3EE32CC0" w14:textId="77777777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10F174D" w14:textId="77777777" w:rsidR="00A45403" w:rsidRDefault="00A934EF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6AFDD9B5" w14:textId="77777777" w:rsidR="00A45403" w:rsidRDefault="00A934EF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2795F4F5" w14:textId="77777777" w:rsidR="00A45403" w:rsidRDefault="00A934EF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Ilość</w:t>
            </w:r>
          </w:p>
        </w:tc>
      </w:tr>
      <w:tr w:rsidR="00A45403" w14:paraId="5D3A7F30" w14:textId="77777777">
        <w:tc>
          <w:tcPr>
            <w:tcW w:w="480" w:type="dxa"/>
          </w:tcPr>
          <w:p w14:paraId="2C38A21C" w14:textId="77777777" w:rsidR="00A45403" w:rsidRDefault="00A934EF">
            <w:pPr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584" w:type="dxa"/>
            <w:vAlign w:val="bottom"/>
          </w:tcPr>
          <w:p w14:paraId="13AFD647" w14:textId="3B7E4507" w:rsidR="00A45403" w:rsidRDefault="00A934EF">
            <w:pPr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Zakup serwer</w:t>
            </w:r>
            <w:r w:rsidR="00E56EB9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 z oprogramowaniem serwerowym</w:t>
            </w:r>
          </w:p>
        </w:tc>
        <w:tc>
          <w:tcPr>
            <w:tcW w:w="2998" w:type="dxa"/>
            <w:vAlign w:val="bottom"/>
          </w:tcPr>
          <w:p w14:paraId="5BBC2DEB" w14:textId="504E03D5" w:rsidR="00A45403" w:rsidRDefault="00E56EB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szt.</w:t>
            </w:r>
          </w:p>
        </w:tc>
      </w:tr>
      <w:tr w:rsidR="00A45403" w14:paraId="28AFA9B5" w14:textId="77777777">
        <w:tc>
          <w:tcPr>
            <w:tcW w:w="480" w:type="dxa"/>
          </w:tcPr>
          <w:p w14:paraId="63DB0DBA" w14:textId="77777777" w:rsidR="00A45403" w:rsidRDefault="00A934EF">
            <w:pPr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584" w:type="dxa"/>
            <w:vAlign w:val="bottom"/>
          </w:tcPr>
          <w:p w14:paraId="65AA90FA" w14:textId="49076E12" w:rsidR="00A45403" w:rsidRDefault="00A934EF">
            <w:pPr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Zakup stacji roboczych z monitorami</w:t>
            </w:r>
          </w:p>
        </w:tc>
        <w:tc>
          <w:tcPr>
            <w:tcW w:w="2998" w:type="dxa"/>
            <w:vAlign w:val="bottom"/>
          </w:tcPr>
          <w:p w14:paraId="5B88C30D" w14:textId="01C92520" w:rsidR="00A45403" w:rsidRDefault="00E56EB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szt.</w:t>
            </w:r>
            <w:bookmarkStart w:id="2" w:name="_Hlk107149278"/>
            <w:bookmarkEnd w:id="2"/>
          </w:p>
        </w:tc>
      </w:tr>
    </w:tbl>
    <w:p w14:paraId="760E5260" w14:textId="77777777" w:rsidR="00A45403" w:rsidRDefault="00A45403">
      <w:pPr>
        <w:spacing w:line="276" w:lineRule="auto"/>
        <w:jc w:val="both"/>
      </w:pPr>
    </w:p>
    <w:p w14:paraId="2F92B09E" w14:textId="282B33F8" w:rsidR="00A45403" w:rsidRDefault="00A934EF">
      <w:pPr>
        <w:pStyle w:val="Nagwek1"/>
        <w:numPr>
          <w:ilvl w:val="0"/>
          <w:numId w:val="1"/>
        </w:numPr>
        <w:spacing w:line="276" w:lineRule="auto"/>
      </w:pPr>
      <w:bookmarkStart w:id="3" w:name="_Toc125031387"/>
      <w:r>
        <w:t>Przedmiot zamówienia.</w:t>
      </w:r>
      <w:bookmarkEnd w:id="3"/>
    </w:p>
    <w:p w14:paraId="298E5931" w14:textId="77777777" w:rsidR="00A45403" w:rsidRDefault="00A934EF">
      <w:pPr>
        <w:pStyle w:val="Nagwek1"/>
        <w:numPr>
          <w:ilvl w:val="1"/>
          <w:numId w:val="1"/>
        </w:numPr>
        <w:spacing w:after="240" w:line="276" w:lineRule="auto"/>
      </w:pPr>
      <w:bookmarkStart w:id="4" w:name="_Toc125031388"/>
      <w:r>
        <w:t>Wymagania ogólne w zakresie dostawy sprzętu.</w:t>
      </w:r>
      <w:bookmarkEnd w:id="4"/>
    </w:p>
    <w:p w14:paraId="550084B1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0FEF569E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6BDA967B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„end-of-support” producenta.</w:t>
      </w:r>
    </w:p>
    <w:p w14:paraId="3BCBD788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16185726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3ED3FF02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65EABE06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>Wykonawca jest odpowiedzialny za skonfigurowanie połączeń fizycznych, logicznych, podłączenie i skonfigurowanie urządzenia pozwalające na rozpoczęcie pracy oraz dostarczenie odpowiedniej ilości kabli zasilających, połączeniowych w celu przygotowania zamawianego sprzętu do działania.</w:t>
      </w:r>
    </w:p>
    <w:p w14:paraId="7988E543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13D02990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33D73448" w14:textId="77777777" w:rsidR="00A45403" w:rsidRDefault="00A934EF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</w:p>
    <w:p w14:paraId="613DC894" w14:textId="3DEC5A1C" w:rsidR="00E56EB9" w:rsidRDefault="006F69E7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Dla dostaw sprzętu informatycznego z systemem operacyjnym Zamawiający wymaga fabrycznie nowego systemu operacyjnego (nieużywanego nigdy wcześniej), w wersji z 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</w:t>
      </w:r>
      <w:r>
        <w:lastRenderedPageBreak/>
        <w:t>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61FD861F" w14:textId="77777777" w:rsidR="00A45403" w:rsidRDefault="00A934EF">
      <w:pPr>
        <w:pStyle w:val="Nagwek1"/>
        <w:numPr>
          <w:ilvl w:val="1"/>
          <w:numId w:val="1"/>
        </w:numPr>
        <w:spacing w:after="240" w:line="276" w:lineRule="auto"/>
      </w:pPr>
      <w:bookmarkStart w:id="5" w:name="_Toc125031389"/>
      <w:bookmarkStart w:id="6" w:name="_Toc95157232"/>
      <w:r>
        <w:t>Zasada równoważności rozwiązań.</w:t>
      </w:r>
      <w:bookmarkEnd w:id="5"/>
      <w:bookmarkEnd w:id="6"/>
    </w:p>
    <w:p w14:paraId="560F368A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20AC3FD3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0B194684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63B2E6A8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>Wykonawca zobligowany jest do wykazania, że oferowane rozwiązania równoważne spełnią zakładane wymagania minimalne. 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6147976B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>Brak określenia „minimum” oznacza wymaganie na poziomie minimalnym, a Wykonawca może zaoferować rozwiązanie o lepszych parametrach.</w:t>
      </w:r>
    </w:p>
    <w:p w14:paraId="1288BC4A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22AC2340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40D102DA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2D672C4E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lastRenderedPageBreak/>
        <w:t xml:space="preserve">W przypadku wskazania przez Zamawiającego określonych testów wydajności Zamawiający </w:t>
      </w:r>
      <w:r>
        <w:rPr>
          <w:rFonts w:cstheme="minorHAnsi"/>
          <w:lang w:eastAsia="pl-PL"/>
        </w:rPr>
        <w:t xml:space="preserve">zastrzega, iż w celu sprawdzenia poprawności przeprowadzonych testów może wezwać Wykonawcę do przedstawienia wskazanego przez Zamawiającego oprogramowania testującego wraz z testowanym urządzeniem. Wszystkie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stosowania </w:t>
      </w:r>
      <w:proofErr w:type="spellStart"/>
      <w:r>
        <w:rPr>
          <w:rFonts w:cstheme="minorHAnsi"/>
          <w:lang w:eastAsia="pl-PL"/>
        </w:rPr>
        <w:t>overclokingu</w:t>
      </w:r>
      <w:proofErr w:type="spellEnd"/>
      <w:r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 Zamawiający dopuszcza prowadzenie testów wydajnościowych w oparciu o dowolny system operacyjny zainstalowany na urządzeniu.</w:t>
      </w:r>
    </w:p>
    <w:p w14:paraId="6A1B6E45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>
        <w:rPr>
          <w:rFonts w:cstheme="minorHAnsi"/>
          <w:lang w:eastAsia="pl-PL"/>
        </w:rPr>
        <w:t xml:space="preserve">W przypadku użycia przez Wykonawcę równoważnych testów wydajności Zamawiający zastrzega, iż w celu sprawdzenia równoważności przeprowadzonych testów Wykonawca może zostać wezwany do dostarczenia Zamawiającemu wskazanego przez Zamawiającego oprogramowania testującego i równoważnego do niego oprogramowania testującego wraz z testowanym urządzeniem. Wszystkie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stosowania </w:t>
      </w:r>
      <w:proofErr w:type="spellStart"/>
      <w:r>
        <w:rPr>
          <w:rFonts w:cstheme="minorHAnsi"/>
          <w:lang w:eastAsia="pl-PL"/>
        </w:rPr>
        <w:t>overclokingu</w:t>
      </w:r>
      <w:proofErr w:type="spellEnd"/>
      <w:r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 Zamawiający dopuszcza prowadzenie testów wydajnościowych w oparciu o dowolny system operacyjny zainstalowany na urządzeniu.</w:t>
      </w:r>
    </w:p>
    <w:p w14:paraId="39624746" w14:textId="77777777" w:rsidR="00A45403" w:rsidRDefault="00A934EF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</w:t>
      </w:r>
      <w:r>
        <w:rPr>
          <w:rFonts w:cstheme="minorHAnsi"/>
          <w:lang w:eastAsia="pl-PL"/>
        </w:rPr>
        <w:lastRenderedPageBreak/>
        <w:t>opisywanym przez Zamawiającego, jest obowiązany wykazać, że oferowane przez niego dostawy spełniają wymagania określone przez Zamawiającego. W takiej sytuacji Zamawiający wymaga złożenia stosownych dokumentów uwiarygodniających te rozwiązania.</w:t>
      </w:r>
    </w:p>
    <w:p w14:paraId="0A552C17" w14:textId="2982E7F9" w:rsidR="00A45403" w:rsidRDefault="00A934EF">
      <w:pPr>
        <w:pStyle w:val="Nagwek1"/>
        <w:numPr>
          <w:ilvl w:val="1"/>
          <w:numId w:val="1"/>
        </w:numPr>
        <w:spacing w:after="240" w:line="276" w:lineRule="auto"/>
      </w:pPr>
      <w:bookmarkStart w:id="7" w:name="_Toc125031390"/>
      <w:r>
        <w:t>Zakup serwera z oprogramowaniem serwerowym (</w:t>
      </w:r>
      <w:r w:rsidR="00E56EB9">
        <w:t>1</w:t>
      </w:r>
      <w:r>
        <w:t xml:space="preserve"> szt.).</w:t>
      </w:r>
      <w:bookmarkEnd w:id="7"/>
    </w:p>
    <w:p w14:paraId="008911CD" w14:textId="77777777" w:rsidR="00A45403" w:rsidRDefault="00A934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Minimalne parametry techniczne urządzenia: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7247"/>
      </w:tblGrid>
      <w:tr w:rsidR="00F10FEC" w:rsidRPr="006019F9" w14:paraId="69F0F300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58ED4826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21F5B36C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Charakterystyka (wymagania minimalne)</w:t>
            </w:r>
          </w:p>
        </w:tc>
      </w:tr>
      <w:tr w:rsidR="00F10FEC" w:rsidRPr="006019F9" w14:paraId="63B3A80A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2CC0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B537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6019F9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 o wysokości max 1U z możliwością instalacji min. 10 dysków 2,5”</w:t>
            </w:r>
          </w:p>
          <w:p w14:paraId="6070D54C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Obudowa z możliwością wyposażenia w </w:t>
            </w:r>
            <w:r w:rsidRPr="006019F9">
              <w:rPr>
                <w:rFonts w:cstheme="minorHAnsi"/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F10FEC" w:rsidRPr="006019F9" w14:paraId="5C865586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62E4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CE2C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Płyta główna z możliwością zainstalowania do dwóch procesorów.</w:t>
            </w:r>
          </w:p>
          <w:p w14:paraId="3F6A45E0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Płyta główna powinna obsługiwać do 8TB pamięci RAM.</w:t>
            </w:r>
          </w:p>
          <w:p w14:paraId="6B077EAF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Płyta główna musi być zaprojektowana przez producenta serwera i oznaczona jego znakiem firmowym.</w:t>
            </w:r>
            <w:r w:rsidRPr="006019F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93F763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sz w:val="20"/>
                <w:szCs w:val="20"/>
              </w:rPr>
              <w:t>Możliwość obsługi procesorów 40 rdzeniowych</w:t>
            </w:r>
          </w:p>
        </w:tc>
      </w:tr>
      <w:tr w:rsidR="00F10FEC" w:rsidRPr="006019F9" w14:paraId="2F5F480A" w14:textId="77777777" w:rsidTr="00F10FEC"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D73D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05AC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019F9">
              <w:rPr>
                <w:rFonts w:cstheme="minorHAnsi"/>
                <w:bCs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F10FEC" w:rsidRPr="006019F9" w14:paraId="05BBAAA7" w14:textId="77777777" w:rsidTr="00F10FEC">
        <w:trPr>
          <w:trHeight w:val="7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7614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E449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Zainstalowany jeden procesor min. 16-rdzeniowy, min. 2.4GHz, klasy x86, dedykowany do pracy z zaoferowanym serwerem, umożliwiający osiągnięcie wyniku min. 231 w teście SPECrate2017_int_base, dostępnym na stronie www.spec.org dla konfiguracji dwuprocesorowej.</w:t>
            </w:r>
          </w:p>
        </w:tc>
      </w:tr>
      <w:tr w:rsidR="00F10FEC" w:rsidRPr="006019F9" w14:paraId="794694A6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6BE3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52D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Minimum 64GB DDR4 RDIMM 3200MT/s, na płycie głównej powinno znajdować się minimum 32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przeznaczone do instalacji pamięci. </w:t>
            </w:r>
          </w:p>
        </w:tc>
      </w:tr>
      <w:tr w:rsidR="00F10FEC" w:rsidRPr="006019F9" w14:paraId="7DD3DA7B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9453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CE8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Advanced ECC,</w:t>
            </w:r>
          </w:p>
          <w:p w14:paraId="1AEA386F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Memory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Page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Retire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,</w:t>
            </w:r>
          </w:p>
          <w:p w14:paraId="2683C03C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9F9">
              <w:rPr>
                <w:rFonts w:cstheme="minorHAnsi"/>
                <w:sz w:val="20"/>
                <w:szCs w:val="20"/>
              </w:rPr>
              <w:t>Fault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Resilient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Memory,</w:t>
            </w:r>
          </w:p>
          <w:p w14:paraId="27728355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Memory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Self-Healing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lub PPR,</w:t>
            </w:r>
          </w:p>
          <w:p w14:paraId="6F251CEE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9F9">
              <w:rPr>
                <w:rFonts w:cstheme="minorHAnsi"/>
                <w:sz w:val="20"/>
                <w:szCs w:val="20"/>
              </w:rPr>
              <w:t>Partial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Cache Line Sparing</w:t>
            </w:r>
          </w:p>
        </w:tc>
      </w:tr>
      <w:tr w:rsidR="00F10FEC" w:rsidRPr="006019F9" w14:paraId="0B5B97D7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2FC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296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Sprzętowy kontroler dyskowy, posiadający</w:t>
            </w:r>
          </w:p>
          <w:p w14:paraId="35E6EAEA" w14:textId="77777777" w:rsidR="00F10FEC" w:rsidRPr="006019F9" w:rsidRDefault="00F10FEC" w:rsidP="00F10FEC">
            <w:pPr>
              <w:pStyle w:val="Akapitzlist"/>
              <w:numPr>
                <w:ilvl w:val="1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Min. 8GB nieulotnej pamięci cache,</w:t>
            </w:r>
          </w:p>
          <w:p w14:paraId="76CEE7C0" w14:textId="77777777" w:rsidR="00F10FEC" w:rsidRPr="006019F9" w:rsidRDefault="00F10FEC" w:rsidP="00F10FEC">
            <w:pPr>
              <w:pStyle w:val="Akapitzlist"/>
              <w:numPr>
                <w:ilvl w:val="1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Możliwość konfiguracji poziomów RAID: 0, 1, 5, 6, 10, 50, 60.</w:t>
            </w:r>
          </w:p>
          <w:p w14:paraId="7A9D9B4B" w14:textId="77777777" w:rsidR="00F10FEC" w:rsidRPr="006019F9" w:rsidRDefault="00F10FEC" w:rsidP="00F10FEC">
            <w:pPr>
              <w:pStyle w:val="Akapitzlist"/>
              <w:numPr>
                <w:ilvl w:val="1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Wsparcie dla dysków </w:t>
            </w:r>
            <w:proofErr w:type="spellStart"/>
            <w:r w:rsidRPr="006019F9">
              <w:rPr>
                <w:rFonts w:cstheme="minorHAnsi"/>
                <w:color w:val="000000"/>
                <w:sz w:val="20"/>
                <w:szCs w:val="20"/>
              </w:rPr>
              <w:t>samoszyfrujących</w:t>
            </w:r>
            <w:proofErr w:type="spellEnd"/>
            <w:r w:rsidRPr="006019F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F10FEC" w:rsidRPr="006019F9" w14:paraId="225889DD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5DE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96B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6019F9">
              <w:rPr>
                <w:rFonts w:cstheme="minorHAnsi"/>
                <w:sz w:val="20"/>
                <w:szCs w:val="20"/>
                <w:lang w:val="de-DE"/>
              </w:rPr>
              <w:t>Zainstalowane</w:t>
            </w:r>
            <w:proofErr w:type="spellEnd"/>
            <w:r w:rsidRPr="006019F9">
              <w:rPr>
                <w:rFonts w:cstheme="minorHAnsi"/>
                <w:sz w:val="20"/>
                <w:szCs w:val="20"/>
                <w:lang w:val="de-DE"/>
              </w:rPr>
              <w:t>:</w:t>
            </w:r>
          </w:p>
          <w:p w14:paraId="1F0FDA8F" w14:textId="77777777" w:rsidR="00F10FEC" w:rsidRPr="006019F9" w:rsidRDefault="00F10FEC" w:rsidP="00F10FEC">
            <w:pPr>
              <w:pStyle w:val="Akapitzlist"/>
              <w:numPr>
                <w:ilvl w:val="1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6019F9">
              <w:rPr>
                <w:rFonts w:cstheme="minorHAnsi"/>
                <w:sz w:val="20"/>
                <w:szCs w:val="20"/>
                <w:lang w:val="de-DE"/>
              </w:rPr>
              <w:t xml:space="preserve">4 </w:t>
            </w:r>
            <w:proofErr w:type="spellStart"/>
            <w:r w:rsidRPr="00CD0386">
              <w:rPr>
                <w:rFonts w:cstheme="minorHAnsi"/>
                <w:sz w:val="20"/>
                <w:szCs w:val="20"/>
                <w:lang w:val="de-DE"/>
              </w:rPr>
              <w:t>dyski</w:t>
            </w:r>
            <w:proofErr w:type="spellEnd"/>
            <w:r w:rsidRPr="00CD0386">
              <w:rPr>
                <w:rFonts w:cstheme="minorHAnsi"/>
                <w:sz w:val="20"/>
                <w:szCs w:val="20"/>
                <w:lang w:val="de-DE"/>
              </w:rPr>
              <w:t xml:space="preserve"> SSD </w:t>
            </w:r>
            <w:proofErr w:type="spellStart"/>
            <w:r w:rsidRPr="00CD0386">
              <w:rPr>
                <w:rFonts w:cstheme="minorHAnsi"/>
                <w:sz w:val="20"/>
                <w:szCs w:val="20"/>
                <w:lang w:val="de-DE"/>
              </w:rPr>
              <w:t>vSAS</w:t>
            </w:r>
            <w:proofErr w:type="spellEnd"/>
            <w:r w:rsidRPr="00CD0386">
              <w:rPr>
                <w:rFonts w:cstheme="minorHAnsi"/>
                <w:sz w:val="20"/>
                <w:szCs w:val="20"/>
                <w:lang w:val="de-DE"/>
              </w:rPr>
              <w:t xml:space="preserve"> do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intensywnego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odczytu</w:t>
            </w:r>
            <w:proofErr w:type="spellEnd"/>
            <w:r w:rsidRPr="006019F9">
              <w:rPr>
                <w:rFonts w:cstheme="minorHAnsi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6019F9">
              <w:rPr>
                <w:rFonts w:cstheme="minorHAnsi"/>
                <w:sz w:val="20"/>
                <w:szCs w:val="20"/>
                <w:lang w:val="de-DE"/>
              </w:rPr>
              <w:t>pojemności</w:t>
            </w:r>
            <w:proofErr w:type="spellEnd"/>
            <w:r w:rsidRPr="006019F9">
              <w:rPr>
                <w:rFonts w:cstheme="minorHAnsi"/>
                <w:sz w:val="20"/>
                <w:szCs w:val="20"/>
                <w:lang w:val="de-DE"/>
              </w:rPr>
              <w:t xml:space="preserve"> min. 960GB, 2,5“ Hot-Plug.</w:t>
            </w:r>
          </w:p>
          <w:p w14:paraId="3E406DE0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14:paraId="48C4009E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dedykowanego modułu dla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F10FEC" w:rsidRPr="006019F9" w14:paraId="72457EE3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C4E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EF1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6019F9">
              <w:rPr>
                <w:rFonts w:cstheme="minorHAnsi"/>
                <w:sz w:val="20"/>
                <w:szCs w:val="20"/>
              </w:rPr>
              <w:t>Redundantne, Hot-Plug min. 1400W każdy.</w:t>
            </w:r>
          </w:p>
        </w:tc>
      </w:tr>
      <w:tr w:rsidR="00F10FEC" w:rsidRPr="006019F9" w14:paraId="26E6D26D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B469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1A59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 jeden slot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x16 generacji 4 </w:t>
            </w:r>
          </w:p>
        </w:tc>
      </w:tr>
      <w:tr w:rsidR="00F10FEC" w:rsidRPr="006019F9" w14:paraId="3BE4F2EF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7073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EE0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Wbudowane min. </w:t>
            </w: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 interfejsów sieciowych 1Gb Ethernet w standardzie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(porty nie mogą być osiągnięte poprzez karty w slotach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F10FEC" w:rsidRPr="006019F9" w14:paraId="20A6F895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0D7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019F9">
              <w:rPr>
                <w:rFonts w:cstheme="min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606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4x USB w tym przynajmniej 1x USB 3.0</w:t>
            </w:r>
          </w:p>
          <w:p w14:paraId="4A61AFED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2x VGA w tym jedno z przodu serwera</w:t>
            </w:r>
          </w:p>
        </w:tc>
      </w:tr>
      <w:tr w:rsidR="00F10FEC" w:rsidRPr="006019F9" w14:paraId="0BE364F9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BAB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A29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bCs/>
                <w:sz w:val="20"/>
                <w:szCs w:val="20"/>
              </w:rPr>
              <w:t xml:space="preserve">Serwer wyposażony w panel LCD umieszczony na froncie obudowy, umożliwiający wyświetlenie informacji o stanie procesora, pamięci, dysków, </w:t>
            </w:r>
            <w:proofErr w:type="spellStart"/>
            <w:r w:rsidRPr="006019F9">
              <w:rPr>
                <w:rFonts w:cstheme="minorHAnsi"/>
                <w:bCs/>
                <w:sz w:val="20"/>
                <w:szCs w:val="20"/>
              </w:rPr>
              <w:t>BIOS’u</w:t>
            </w:r>
            <w:proofErr w:type="spellEnd"/>
            <w:r w:rsidRPr="006019F9">
              <w:rPr>
                <w:rFonts w:cstheme="minorHAnsi"/>
                <w:bCs/>
                <w:sz w:val="20"/>
                <w:szCs w:val="20"/>
              </w:rPr>
              <w:t>, zasilaniu oraz temperaturze.</w:t>
            </w:r>
          </w:p>
        </w:tc>
      </w:tr>
      <w:tr w:rsidR="00F10FEC" w:rsidRPr="006019F9" w14:paraId="33885F56" w14:textId="77777777" w:rsidTr="00F10FEC">
        <w:trPr>
          <w:trHeight w:val="51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246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bCs/>
                <w:sz w:val="20"/>
                <w:szCs w:val="20"/>
              </w:rPr>
              <w:t>System operacyjny/System wirtualizacji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BA6" w14:textId="77777777" w:rsidR="00F10FEC" w:rsidRPr="006019F9" w:rsidRDefault="00F10FEC" w:rsidP="00F10FEC">
            <w:pPr>
              <w:pStyle w:val="Defaul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Microsoft Windows Server 2022 Standard (wraz z nośnikiem do </w:t>
            </w:r>
            <w:proofErr w:type="spellStart"/>
            <w:r w:rsidRPr="006019F9">
              <w:rPr>
                <w:rFonts w:asciiTheme="minorHAnsi" w:hAnsiTheme="minorHAnsi" w:cs="Segoe UI"/>
                <w:sz w:val="20"/>
                <w:szCs w:val="20"/>
              </w:rPr>
              <w:t>downgrade</w:t>
            </w:r>
            <w:proofErr w:type="spellEnd"/>
            <w:r w:rsidRPr="006019F9">
              <w:rPr>
                <w:rFonts w:asciiTheme="minorHAnsi" w:hAnsiTheme="minorHAnsi" w:cs="Segoe UI"/>
                <w:sz w:val="20"/>
                <w:szCs w:val="20"/>
              </w:rPr>
              <w:t>-u do wersji 2019)</w:t>
            </w:r>
          </w:p>
          <w:p w14:paraId="76D81F6F" w14:textId="77777777" w:rsidR="00F10FEC" w:rsidRPr="006019F9" w:rsidRDefault="00F10FEC" w:rsidP="00240D19">
            <w:pPr>
              <w:pStyle w:val="Default"/>
              <w:ind w:left="360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lub równoważny spełniający min. poniższe wymagania: </w:t>
            </w:r>
          </w:p>
          <w:p w14:paraId="5C3AE740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Licencja musi uprawniać do uruchamiania serwerowego systemu operacyjnego w środowisku fizycznym i dwóch wirtualnych środowiskach serwerowego systemu operacyjnego za pomocą wbudowanych mechanizmów wirtualizacji. </w:t>
            </w:r>
          </w:p>
          <w:p w14:paraId="5AC65AE4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9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Możliwość wykorzystywania 64 procesorów wirtualnych oraz 1TB pamięci RAM i dysku o pojemności min. 64TB przez każdy wirtualny serwerowy system operacyjny. </w:t>
            </w:r>
          </w:p>
          <w:p w14:paraId="0699B21A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9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6019F9">
              <w:rPr>
                <w:rFonts w:asciiTheme="minorHAnsi" w:hAnsiTheme="minorHAnsi" w:cs="Segoe UI"/>
                <w:sz w:val="20"/>
                <w:szCs w:val="20"/>
              </w:rPr>
              <w:t>hypervisor</w:t>
            </w:r>
            <w:proofErr w:type="spellEnd"/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) przez sieć Ethernet, bez konieczności stosowania dodatkowych mechanizmów współdzielenia pamięci. </w:t>
            </w:r>
          </w:p>
          <w:p w14:paraId="515237AE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9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Wsparcie (na umożliwiającym to sprzęcie) dodawania i wymiany pamięci RAM bez przerywania pracy. </w:t>
            </w:r>
          </w:p>
          <w:p w14:paraId="5A2EFCCE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9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Wsparcie (na umożliwiającym to sprzęcie) dodawania i wymiany procesorów bez przerywania pracy. </w:t>
            </w:r>
          </w:p>
          <w:p w14:paraId="57A54892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9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Automatyczna weryfikacja cyfrowych sygnatur sterowników w celu sprawdzenia czy sterownik przeszedł testy jakości przeprowadzone przez producenta systemu operacyjnego. </w:t>
            </w:r>
          </w:p>
          <w:p w14:paraId="7ADDEBCB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9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Możliwość dynamicznego obniżania poboru energii przez rdzenie procesorów niewykorzystywane w bieżącej pracy. </w:t>
            </w:r>
          </w:p>
          <w:p w14:paraId="2EABB406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9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Mechanizm ten musi uwzględniać specyfikę procesorów wyposażonych w mechanizmy </w:t>
            </w:r>
            <w:proofErr w:type="spellStart"/>
            <w:r w:rsidRPr="006019F9">
              <w:rPr>
                <w:rFonts w:asciiTheme="minorHAnsi" w:hAnsiTheme="minorHAnsi" w:cs="Segoe UI"/>
                <w:sz w:val="20"/>
                <w:szCs w:val="20"/>
              </w:rPr>
              <w:t>Hyper-Threading</w:t>
            </w:r>
            <w:proofErr w:type="spellEnd"/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; </w:t>
            </w:r>
          </w:p>
          <w:p w14:paraId="0C26059A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Wbudowany mechanizm klasyfikowania i indeksowania plików (dokumentów) w oparciu o ich zawartość. </w:t>
            </w:r>
          </w:p>
          <w:p w14:paraId="29B199FF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  <w:p w14:paraId="1D6D9631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Możliwość uruchamianie aplikacji internetowych wykorzystujących technologię ASP.NET. </w:t>
            </w:r>
          </w:p>
          <w:p w14:paraId="1027A561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Możliwość dystrybucji ruchu sieciowego HTTP pomiędzy kilka serwerów. </w:t>
            </w:r>
          </w:p>
          <w:p w14:paraId="5C0029F7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Wbudowana zapora internetowa (firewall) z obsługą definiowanych reguł dla ochrony połączeń internetowych i intranetowych. </w:t>
            </w:r>
          </w:p>
          <w:p w14:paraId="0D56DD9F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Zlokalizowane w języku polskim, co najmniej następujące elementy: menu, przeglądarka internetowa, pomoc, komunikaty systemowe. </w:t>
            </w:r>
          </w:p>
          <w:p w14:paraId="5880DE06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Możliwość zmiany języka interfejsu po zainstalowaniu systemu, dla co najmniej 2 języków poprzez wybór z listy dostępnych lokalizacji. </w:t>
            </w:r>
          </w:p>
          <w:p w14:paraId="62D26E09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6019F9">
              <w:rPr>
                <w:rFonts w:asciiTheme="minorHAnsi" w:hAnsiTheme="minorHAnsi" w:cs="Segoe UI"/>
                <w:sz w:val="20"/>
                <w:szCs w:val="20"/>
              </w:rPr>
              <w:t>Plug&amp;Play</w:t>
            </w:r>
            <w:proofErr w:type="spellEnd"/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). </w:t>
            </w:r>
          </w:p>
          <w:p w14:paraId="3DD431A7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Możliwość zdalnej konfiguracji, administrowania oraz aktualizowania systemu. </w:t>
            </w:r>
          </w:p>
          <w:p w14:paraId="10819A1B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06019F9">
              <w:rPr>
                <w:rFonts w:asciiTheme="minorHAnsi" w:hAnsiTheme="minorHAnsi" w:cs="Segoe UI"/>
                <w:sz w:val="20"/>
                <w:szCs w:val="20"/>
              </w:rPr>
              <w:t>Multipath</w:t>
            </w:r>
            <w:proofErr w:type="spellEnd"/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). </w:t>
            </w:r>
          </w:p>
          <w:p w14:paraId="5701A765" w14:textId="77777777" w:rsidR="00F10FEC" w:rsidRPr="006019F9" w:rsidRDefault="00F10FEC" w:rsidP="00F10FEC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Możliwość instalacji poprawek poprzez wgranie ich do obrazu instalacyjnego. </w:t>
            </w:r>
          </w:p>
          <w:p w14:paraId="3C340AA0" w14:textId="04202DC5" w:rsidR="00F10FEC" w:rsidRPr="00F375E6" w:rsidRDefault="00F10FEC" w:rsidP="00F375E6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56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t xml:space="preserve">Mechanizmy zdalnej administracji oraz mechanizmy (również działające zdalnie) administracji przez skrypty. </w:t>
            </w:r>
          </w:p>
        </w:tc>
      </w:tr>
      <w:tr w:rsidR="00F10FEC" w:rsidRPr="006019F9" w14:paraId="2AD4ECEA" w14:textId="77777777" w:rsidTr="00F10FEC">
        <w:trPr>
          <w:trHeight w:val="51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D76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19F9">
              <w:rPr>
                <w:rFonts w:cstheme="minorHAnsi"/>
                <w:b/>
                <w:bCs/>
                <w:sz w:val="20"/>
                <w:szCs w:val="20"/>
              </w:rPr>
              <w:t>Elementy montażowe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BD4" w14:textId="77777777" w:rsidR="00F10FEC" w:rsidRPr="006019F9" w:rsidRDefault="00F10FEC" w:rsidP="00F10FEC">
            <w:pPr>
              <w:pStyle w:val="Defaul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theme="minorHAnsi"/>
                <w:sz w:val="20"/>
                <w:szCs w:val="20"/>
              </w:rPr>
              <w:t xml:space="preserve">Komplet wysuwanych szyn umożliwiających montaż w szafie </w:t>
            </w:r>
            <w:proofErr w:type="spellStart"/>
            <w:r w:rsidRPr="006019F9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6019F9">
              <w:rPr>
                <w:rFonts w:asciiTheme="minorHAnsi" w:hAnsiTheme="minorHAnsi" w:cstheme="minorHAnsi"/>
                <w:sz w:val="20"/>
                <w:szCs w:val="20"/>
              </w:rPr>
              <w:t xml:space="preserve"> i wysuwanie serwera do celów serwisowych</w:t>
            </w:r>
          </w:p>
          <w:p w14:paraId="5E8EE430" w14:textId="77777777" w:rsidR="00F10FEC" w:rsidRPr="006019F9" w:rsidRDefault="00F10FEC" w:rsidP="00F10FEC">
            <w:pPr>
              <w:pStyle w:val="Defaul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6019F9">
              <w:rPr>
                <w:rFonts w:asciiTheme="minorHAnsi" w:hAnsiTheme="minorHAnsi" w:cs="Segoe UI"/>
                <w:sz w:val="20"/>
                <w:szCs w:val="20"/>
              </w:rPr>
              <w:lastRenderedPageBreak/>
              <w:t>Ramię (</w:t>
            </w:r>
            <w:proofErr w:type="spellStart"/>
            <w:r w:rsidRPr="006019F9">
              <w:rPr>
                <w:rFonts w:asciiTheme="minorHAnsi" w:hAnsiTheme="minorHAnsi" w:cs="Segoe UI"/>
                <w:sz w:val="20"/>
                <w:szCs w:val="20"/>
              </w:rPr>
              <w:t>organizer</w:t>
            </w:r>
            <w:proofErr w:type="spellEnd"/>
            <w:r w:rsidRPr="006019F9">
              <w:rPr>
                <w:rFonts w:asciiTheme="minorHAnsi" w:hAnsiTheme="minorHAnsi" w:cs="Segoe UI"/>
                <w:sz w:val="20"/>
                <w:szCs w:val="20"/>
              </w:rPr>
              <w:t>) do kabli ułatwiające wysuwanie serwera do celów serwisowych</w:t>
            </w:r>
          </w:p>
        </w:tc>
      </w:tr>
      <w:tr w:rsidR="00F10FEC" w:rsidRPr="006019F9" w14:paraId="2E8B14E4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0ED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6019F9">
              <w:rPr>
                <w:rFonts w:cstheme="minorHAnsi"/>
                <w:b/>
                <w:sz w:val="20"/>
                <w:szCs w:val="20"/>
                <w:lang w:val="de-DE"/>
              </w:rPr>
              <w:lastRenderedPageBreak/>
              <w:t>Video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EB8" w14:textId="77777777" w:rsidR="00F10FEC" w:rsidRPr="006019F9" w:rsidRDefault="00F10FEC" w:rsidP="00F10FEC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F10FEC" w:rsidRPr="006019F9" w14:paraId="4704BF73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45F9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E74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6019F9">
              <w:rPr>
                <w:rFonts w:cstheme="minorHAnsi"/>
                <w:color w:val="000000"/>
                <w:sz w:val="20"/>
                <w:szCs w:val="20"/>
              </w:rPr>
              <w:t>panela</w:t>
            </w:r>
            <w:proofErr w:type="spellEnd"/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 zamykana na klucz służąca do ochrony nieautoryzowanego dostępu do dysków twardych.</w:t>
            </w:r>
          </w:p>
          <w:p w14:paraId="4136F612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</w:t>
            </w:r>
          </w:p>
          <w:p w14:paraId="748AF7A3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BIOS ma możliwość przejścia do bezpiecznego trybu rozruchowego z możliwością zarządzania blokadą zasilania, panelem sterowania oraz zmianą hasła</w:t>
            </w:r>
          </w:p>
          <w:p w14:paraId="124B2606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Wbudowany czujnik otwarcia obudowy współpracujący z BIOS i kartą zarządzającą.</w:t>
            </w:r>
          </w:p>
          <w:p w14:paraId="67FE66C1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Moduł TPM 2.0 V3</w:t>
            </w:r>
          </w:p>
          <w:p w14:paraId="25B8EB42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42260118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F10FEC" w:rsidRPr="006019F9" w14:paraId="3A0909BF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6E6E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8A9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line="252" w:lineRule="auto"/>
              <w:jc w:val="both"/>
              <w:rPr>
                <w:sz w:val="20"/>
              </w:rPr>
            </w:pPr>
            <w:r w:rsidRPr="006019F9">
              <w:rPr>
                <w:sz w:val="20"/>
              </w:rPr>
              <w:t>Niezależna od zainstalowanego na serwerze systemu operacyjnego, karta zarządzająca, posiadająca dedykowany port Gigabit Ethernet RJ-45 i umożliwiająca:</w:t>
            </w:r>
          </w:p>
          <w:p w14:paraId="7D32A5CB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zdalny dostęp do graficznego interfejsu Web karty zarządzającej;</w:t>
            </w:r>
          </w:p>
          <w:p w14:paraId="1B0F6B1D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398CEF82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szyfrowane połączenie (TLS) oraz autentykacje i autoryzację użytkownika;</w:t>
            </w:r>
          </w:p>
          <w:p w14:paraId="6ECD1C00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podmontowania zdalnych wirtualnych napędów;</w:t>
            </w:r>
          </w:p>
          <w:p w14:paraId="4DB81AAB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wirtualną konsolę z dostępem do myszy, klawiatury;</w:t>
            </w:r>
          </w:p>
          <w:p w14:paraId="2AE3F6E7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wsparcie dla IPv6;</w:t>
            </w:r>
          </w:p>
          <w:p w14:paraId="0683BB29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Redfish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;</w:t>
            </w:r>
          </w:p>
          <w:p w14:paraId="06AFD310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2240C503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zdalnego ustawienia limitu poboru prądu przez konkretny serwer;</w:t>
            </w:r>
          </w:p>
          <w:p w14:paraId="29D2C069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integracja z Active Directory;</w:t>
            </w:r>
          </w:p>
          <w:p w14:paraId="152C3817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obsługi przez dwóch administratorów jednocześnie;</w:t>
            </w:r>
          </w:p>
          <w:p w14:paraId="5C7089D1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wsparcie dla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DNS;</w:t>
            </w:r>
          </w:p>
          <w:p w14:paraId="6464115B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6DFAC89E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48EF3934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1C7257A2" w14:textId="77777777" w:rsidR="00F10FEC" w:rsidRPr="006019F9" w:rsidRDefault="00F10FEC" w:rsidP="00240D19">
            <w:pPr>
              <w:spacing w:after="0"/>
              <w:ind w:left="108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sz w:val="20"/>
              </w:rPr>
              <w:t>oraz z możliwością rozszerzenia funkcjonalności o:</w:t>
            </w:r>
          </w:p>
          <w:p w14:paraId="6998B039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Wirtualny schowek ułatwiający korzystanie z konsoli zdalnej</w:t>
            </w:r>
          </w:p>
          <w:p w14:paraId="21AD7AC3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Przesyłanie danych telemetrycznych w czasie rzeczywistym</w:t>
            </w:r>
          </w:p>
          <w:p w14:paraId="174B4E94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Dostosowanie zarządzania temperaturą i przepływem powietrza w serwerze</w:t>
            </w:r>
          </w:p>
          <w:p w14:paraId="3F123F09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Automatyczna rejestracja certyfikatów (ACE)</w:t>
            </w:r>
          </w:p>
        </w:tc>
      </w:tr>
      <w:tr w:rsidR="00F10FEC" w:rsidRPr="006019F9" w14:paraId="662AE354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730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bCs/>
                <w:sz w:val="20"/>
                <w:szCs w:val="20"/>
              </w:rPr>
              <w:t>Oprogramowanie do zarządzania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4E7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zainstalowania oprogramowania producenta do zarządzania, spełniającego poniższe wymagania:</w:t>
            </w:r>
          </w:p>
          <w:p w14:paraId="7A84D8B0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Wsparcie dla serwerów, urządzeń sieciowych oraz pamięci masowych</w:t>
            </w:r>
          </w:p>
          <w:p w14:paraId="5579CFAC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integracja z Active Directory</w:t>
            </w:r>
          </w:p>
          <w:p w14:paraId="3D20DD84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zarządzania dostarczonymi serwerami bez udziału dedykowanego agenta</w:t>
            </w:r>
          </w:p>
          <w:p w14:paraId="30DED73D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lastRenderedPageBreak/>
              <w:t xml:space="preserve">Wsparcie dla protokołów SNMP, IPMI, Linux SSH,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Redfish</w:t>
            </w:r>
            <w:proofErr w:type="spellEnd"/>
          </w:p>
          <w:p w14:paraId="6FF4012B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uruchamiania procesu wykrywania urządzeń w oparciu o harmonogram</w:t>
            </w:r>
          </w:p>
          <w:p w14:paraId="7EDDCFCB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Szczegółowy opis wykrytych systemów oraz ich komponentów</w:t>
            </w:r>
          </w:p>
          <w:p w14:paraId="1E79A4A5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eksportu raportu do CSV, HTML, XLS, PDF</w:t>
            </w:r>
          </w:p>
          <w:p w14:paraId="3BAE1832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tworzenia własnych raportów w oparciu o wszystkie informacje zawarte w inwentarzu.</w:t>
            </w:r>
          </w:p>
          <w:p w14:paraId="20E3103B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Grupowanie urządzeń w oparciu o kryteria użytkownika</w:t>
            </w:r>
          </w:p>
          <w:p w14:paraId="41F267A6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, pozostałego czasu gwarancji</w:t>
            </w:r>
          </w:p>
          <w:p w14:paraId="0B7F1856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uruchamiania narzędzi zarządzających w poszczególnych urządzeniach</w:t>
            </w:r>
          </w:p>
          <w:p w14:paraId="25D5443B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Szybki podgląd stanu środowiska</w:t>
            </w:r>
          </w:p>
          <w:p w14:paraId="01A74CA0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Podsumowanie stanu dla każdego urządzenia</w:t>
            </w:r>
          </w:p>
          <w:p w14:paraId="0A334AA7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Szczegółowy status urządzenia/elementu/komponentu</w:t>
            </w:r>
          </w:p>
          <w:p w14:paraId="6CC3A8CE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Generowanie alertów przy zmianie stanu urządzenia.</w:t>
            </w:r>
          </w:p>
          <w:p w14:paraId="292FDEC3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Filtry raportów umożliwiające podgląd najważniejszych zdarzeń</w:t>
            </w:r>
          </w:p>
          <w:p w14:paraId="2C819AB6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Integracja z service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desk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producenta dostarczonej platformy sprzętowej</w:t>
            </w:r>
          </w:p>
          <w:p w14:paraId="0318F09E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przejęcia zdalnego pulpitu</w:t>
            </w:r>
          </w:p>
          <w:p w14:paraId="6ED38F39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podmontowania wirtualnego napędu</w:t>
            </w:r>
          </w:p>
          <w:p w14:paraId="452A75E5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Kreator umożliwiający dostosowanie akcji dla wybranych alertów</w:t>
            </w:r>
          </w:p>
          <w:p w14:paraId="08F9AA3C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importu plików MIB</w:t>
            </w:r>
          </w:p>
          <w:p w14:paraId="6D0483AE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Przesyłanie alertów „as-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” do innych konsol firm trzecich</w:t>
            </w:r>
          </w:p>
          <w:p w14:paraId="613C99C7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definiowania ról administratorów</w:t>
            </w:r>
          </w:p>
          <w:p w14:paraId="6CE452F6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zdalnej aktualizacji oprogramowania wewnętrznego serwerów</w:t>
            </w:r>
          </w:p>
          <w:p w14:paraId="0E4FA83F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Aktualizacja oparta o wybranie źródła bibliotek (lokalna, on-line producenta oferowanego rozwiązania)</w:t>
            </w:r>
          </w:p>
          <w:p w14:paraId="20F63C8D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instalacji oprogramowania wewnętrznego bez potrzeby instalacji agenta</w:t>
            </w:r>
          </w:p>
          <w:p w14:paraId="217DA186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14:paraId="6BAA6346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</w:t>
            </w:r>
          </w:p>
          <w:p w14:paraId="02AF6D38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tworzenia sprzętowej konfiguracji bazowej i na jej podstawie weryfikacji środowiska w celu wykrycia rozbieżności.</w:t>
            </w:r>
          </w:p>
          <w:p w14:paraId="1EFDA954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Wdrażanie serwerów, rozwiązań modularnych oraz przełączników sieciowych w oparciu o profile</w:t>
            </w:r>
          </w:p>
          <w:p w14:paraId="0455C6E6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Możliwość migracji ustawień serwera wraz z wirtualnymi adresami sieciowymi (MAC, WWN, IQN) między urządzeniami.</w:t>
            </w:r>
          </w:p>
          <w:p w14:paraId="69BC25B1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Tworzenie gotowych paczek informacji umożliwiających zdiagnozowanie awarii urządzenia przez serwis producenta.</w:t>
            </w:r>
          </w:p>
          <w:p w14:paraId="71FEE3B8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Zdalne uruchamianie diagnostyki serwera.</w:t>
            </w:r>
          </w:p>
          <w:p w14:paraId="5A7303AD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Dedykowana aplikacja na urządzenia mobilne integrująca się z wyżej opisanymi oprogramowaniem zarządzającym.</w:t>
            </w:r>
          </w:p>
          <w:p w14:paraId="0960EB2D" w14:textId="77777777" w:rsidR="00F10FEC" w:rsidRPr="006019F9" w:rsidRDefault="00F10FEC" w:rsidP="00F10FEC">
            <w:pPr>
              <w:pStyle w:val="Akapitzlist"/>
              <w:numPr>
                <w:ilvl w:val="1"/>
                <w:numId w:val="26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Oprogramowanie dostarczane jako wirtualny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appliance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dla KVM,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 i Hyper-V.</w:t>
            </w:r>
          </w:p>
        </w:tc>
      </w:tr>
      <w:tr w:rsidR="00F10FEC" w:rsidRPr="006019F9" w14:paraId="6F5A6AA6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062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19F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Wspierane systemy operacyjne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488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9F9">
              <w:rPr>
                <w:rFonts w:cstheme="minorHAnsi"/>
                <w:sz w:val="20"/>
                <w:szCs w:val="20"/>
              </w:rPr>
              <w:t>Canonical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®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Ubuntu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® Server LTS</w:t>
            </w:r>
          </w:p>
          <w:p w14:paraId="78B289CD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9F9">
              <w:rPr>
                <w:rFonts w:cstheme="minorHAnsi"/>
                <w:sz w:val="20"/>
                <w:szCs w:val="20"/>
              </w:rPr>
              <w:t>Citrix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®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Hypervisor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®</w:t>
            </w:r>
          </w:p>
          <w:p w14:paraId="745D7C2C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Microsoft® Windows Server® with Hyper-V</w:t>
            </w:r>
          </w:p>
          <w:p w14:paraId="4171AA2E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Red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Hat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® Enterprise Linux</w:t>
            </w:r>
          </w:p>
          <w:p w14:paraId="409A8CD7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SUSE® Linux Enterprise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server</w:t>
            </w:r>
            <w:proofErr w:type="spellEnd"/>
          </w:p>
          <w:p w14:paraId="0419DDB0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9F9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®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>®</w:t>
            </w:r>
          </w:p>
        </w:tc>
      </w:tr>
      <w:tr w:rsidR="00F10FEC" w:rsidRPr="006019F9" w14:paraId="4E811C26" w14:textId="77777777" w:rsidTr="00F10FE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79B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rFonts w:cstheme="minorHAns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553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Serwer musi być wyprodukowany zgodnie z normą ISO-9001:2015, ISO-50001 oraz ISO-14001</w:t>
            </w:r>
          </w:p>
          <w:p w14:paraId="31256046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>Serwer musi posiadać deklaracja CE.</w:t>
            </w:r>
          </w:p>
          <w:p w14:paraId="01EB1F39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8" w:history="1">
              <w:r w:rsidRPr="006019F9">
                <w:rPr>
                  <w:rStyle w:val="Hipercze"/>
                  <w:rFonts w:cstheme="minorHAnsi"/>
                  <w:sz w:val="20"/>
                  <w:szCs w:val="20"/>
                </w:rPr>
                <w:t>www.epeat.net</w:t>
              </w:r>
            </w:hyperlink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 potwierdzający spełnienie normy co najmniej </w:t>
            </w:r>
            <w:proofErr w:type="spellStart"/>
            <w:r w:rsidRPr="006019F9">
              <w:rPr>
                <w:rFonts w:cstheme="minorHAnsi"/>
                <w:color w:val="000000"/>
                <w:sz w:val="20"/>
                <w:szCs w:val="20"/>
              </w:rPr>
              <w:t>Epeat</w:t>
            </w:r>
            <w:proofErr w:type="spellEnd"/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9F9">
              <w:rPr>
                <w:rFonts w:cstheme="minorHAnsi"/>
                <w:color w:val="000000"/>
                <w:sz w:val="20"/>
                <w:szCs w:val="20"/>
              </w:rPr>
              <w:t>Bronze</w:t>
            </w:r>
            <w:proofErr w:type="spellEnd"/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 według normy wprowadzonej w 2019 roku - </w:t>
            </w:r>
            <w:r w:rsidRPr="006019F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Wykonawca złoży dokument potwierdzający spełnianie wymogu.</w:t>
            </w:r>
          </w:p>
          <w:p w14:paraId="34196D41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6019F9">
              <w:rPr>
                <w:rFonts w:cstheme="minorHAnsi"/>
                <w:color w:val="000000"/>
                <w:sz w:val="20"/>
                <w:szCs w:val="20"/>
              </w:rPr>
              <w:t>Catalog</w:t>
            </w:r>
            <w:proofErr w:type="spellEnd"/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6019F9">
              <w:rPr>
                <w:rFonts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6019F9">
              <w:rPr>
                <w:rFonts w:cstheme="minorHAnsi"/>
                <w:color w:val="000000"/>
                <w:sz w:val="20"/>
                <w:szCs w:val="20"/>
              </w:rPr>
              <w:t xml:space="preserve"> for Windows” dla systemów Microsoft Windows Server 2016, Microsoft Windows Server 2019, Microsoft Windows Server 2022.</w:t>
            </w:r>
          </w:p>
        </w:tc>
      </w:tr>
      <w:tr w:rsidR="00F10FEC" w:rsidRPr="006019F9" w14:paraId="4B0BBAA7" w14:textId="77777777" w:rsidTr="00F10FEC">
        <w:trPr>
          <w:trHeight w:val="98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BDDD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9BE2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sz w:val="20"/>
                <w:szCs w:val="20"/>
              </w:rPr>
            </w:pPr>
            <w:r w:rsidRPr="006019F9">
              <w:rPr>
                <w:sz w:val="20"/>
                <w:szCs w:val="20"/>
              </w:rPr>
              <w:t>Zamawiający wymaga dokumentacji w języku polskim lub angi</w:t>
            </w:r>
            <w:r w:rsidRPr="006019F9">
              <w:rPr>
                <w:i/>
                <w:sz w:val="20"/>
                <w:szCs w:val="20"/>
              </w:rPr>
              <w:t>e</w:t>
            </w:r>
            <w:r w:rsidRPr="006019F9">
              <w:rPr>
                <w:sz w:val="20"/>
                <w:szCs w:val="20"/>
              </w:rPr>
              <w:t>lskim.</w:t>
            </w:r>
          </w:p>
          <w:p w14:paraId="6CD1E359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F10FEC" w:rsidRPr="006019F9" w14:paraId="42E1C7AA" w14:textId="77777777" w:rsidTr="00F10FEC">
        <w:trPr>
          <w:trHeight w:val="2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31C" w14:textId="77777777" w:rsidR="00F10FEC" w:rsidRPr="006019F9" w:rsidRDefault="00F10FEC" w:rsidP="00240D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9F9"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B5DC" w14:textId="4FAC25A4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Gwarancji producenta: 3 lata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(36 miesięcy).</w:t>
            </w:r>
          </w:p>
          <w:p w14:paraId="090DBE13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6F4189D5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Zamawiający oczekuje możliwości zgłaszania zdarzeń serwisowych w trybie 24/7/365 następującymi kanałami: telefonicznie, przez Internet oraz z wykorzystaniem aplikacji.</w:t>
            </w:r>
          </w:p>
          <w:p w14:paraId="4051B3A7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</w:t>
            </w:r>
          </w:p>
          <w:p w14:paraId="1965F080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76C82860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Zamawiający wymaga pojedynczego punktu kontaktu dla całego rozwiązania producenta, w tym także sprzedanego oprogramowania.</w:t>
            </w:r>
          </w:p>
          <w:p w14:paraId="77C1EED2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65F3E98B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Zamawiający oczekuje możliwości samodzielnego kwalifikowania poziomu ważności naprawy.</w:t>
            </w:r>
          </w:p>
          <w:p w14:paraId="5953720E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mikrokodu</w:t>
            </w:r>
            <w:proofErr w:type="spellEnd"/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714B66E3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Zamawiający oczekuje nieodpłatnego udostępnienia narzędzi serwisowych i procesów wsparcia umożliwiających: Wykrywanie usterek sprzętowych z predykcją awarii.</w:t>
            </w:r>
          </w:p>
          <w:p w14:paraId="74B71091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rFonts w:eastAsia="Times New Roman" w:cstheme="minorHAnsi"/>
                <w:color w:val="000000"/>
                <w:sz w:val="20"/>
                <w:szCs w:val="20"/>
              </w:rPr>
              <w:t>Automatyczną diagnostykę i zdalne otwieranie zgłoszeń serwisowych.</w:t>
            </w:r>
          </w:p>
          <w:p w14:paraId="2E037F7E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sz w:val="20"/>
                <w:szCs w:val="20"/>
              </w:rPr>
            </w:pPr>
            <w:r w:rsidRPr="006019F9">
              <w:rPr>
                <w:sz w:val="20"/>
                <w:szCs w:val="20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573EBF24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9F9">
              <w:rPr>
                <w:sz w:val="20"/>
                <w:szCs w:val="20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1D37B507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7D288510" w14:textId="77777777" w:rsidR="00F10FEC" w:rsidRPr="006019F9" w:rsidRDefault="00F10FEC" w:rsidP="00240D19">
            <w:pPr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sz w:val="20"/>
                <w:szCs w:val="20"/>
              </w:rPr>
              <w:t>Możliwość rozszerzenia gwarancji o:</w:t>
            </w:r>
          </w:p>
          <w:p w14:paraId="1685A782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Wyznaczonego przez wykonawcę Opiekuna Technicznego Klienta, do którego obowiązków będzie należało: </w:t>
            </w:r>
          </w:p>
          <w:p w14:paraId="2077E0E6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Monitorowanie zdarzeń w obrębie infrastruktury </w:t>
            </w:r>
          </w:p>
          <w:p w14:paraId="31FB93A6" w14:textId="77777777" w:rsidR="00F10FEC" w:rsidRPr="006019F9" w:rsidRDefault="00F10FEC" w:rsidP="00F10FEC">
            <w:pPr>
              <w:pStyle w:val="Akapitzlist"/>
              <w:numPr>
                <w:ilvl w:val="1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Zarządzanie eskalacjami i współpraca z kierownikiem eskalacji</w:t>
            </w:r>
          </w:p>
          <w:p w14:paraId="1B5C14B5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 xml:space="preserve">Przygotowywanie kwartalnych zaleceń dotyczące konserwacji infrastruktury sprzętowej (BIOS,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019F9">
              <w:rPr>
                <w:rFonts w:cstheme="minorHAnsi"/>
                <w:sz w:val="20"/>
                <w:szCs w:val="20"/>
              </w:rPr>
              <w:t>patche</w:t>
            </w:r>
            <w:proofErr w:type="spellEnd"/>
            <w:r w:rsidRPr="006019F9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36932F95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Zdalne lub na miejscu wdrażanie poprawek - 2x w roku</w:t>
            </w:r>
          </w:p>
          <w:p w14:paraId="47953A13" w14:textId="77777777" w:rsidR="00F10FEC" w:rsidRPr="006019F9" w:rsidRDefault="00F10FEC" w:rsidP="00F10FE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52" w:lineRule="auto"/>
              <w:jc w:val="both"/>
              <w:rPr>
                <w:rFonts w:cstheme="minorHAnsi"/>
                <w:sz w:val="20"/>
                <w:szCs w:val="20"/>
              </w:rPr>
            </w:pPr>
            <w:r w:rsidRPr="006019F9">
              <w:rPr>
                <w:rFonts w:cstheme="minorHAnsi"/>
                <w:sz w:val="20"/>
                <w:szCs w:val="20"/>
              </w:rPr>
              <w:t>Raportowanie realizacji kontraktów serwisowych i wykorzystania zasobów sprzętowych (na żądanie)</w:t>
            </w:r>
          </w:p>
        </w:tc>
      </w:tr>
    </w:tbl>
    <w:p w14:paraId="199719A1" w14:textId="77777777" w:rsidR="00A45403" w:rsidRDefault="00A45403">
      <w:pPr>
        <w:spacing w:before="240" w:after="120" w:line="276" w:lineRule="auto"/>
        <w:ind w:right="72"/>
        <w:jc w:val="both"/>
        <w:rPr>
          <w:color w:val="000000" w:themeColor="text1"/>
        </w:rPr>
      </w:pPr>
    </w:p>
    <w:p w14:paraId="1F400FFB" w14:textId="47C3A099" w:rsidR="00A45403" w:rsidRDefault="00A934EF">
      <w:pPr>
        <w:pStyle w:val="Nagwek1"/>
        <w:numPr>
          <w:ilvl w:val="1"/>
          <w:numId w:val="1"/>
        </w:numPr>
        <w:spacing w:after="240" w:line="276" w:lineRule="auto"/>
      </w:pPr>
      <w:bookmarkStart w:id="8" w:name="_Toc125031393"/>
      <w:r>
        <w:t>Zakup stacji roboczych z monitorami (</w:t>
      </w:r>
      <w:r w:rsidR="00E56EB9">
        <w:t>8</w:t>
      </w:r>
      <w:r>
        <w:t xml:space="preserve"> szt.).</w:t>
      </w:r>
      <w:bookmarkEnd w:id="8"/>
    </w:p>
    <w:p w14:paraId="77B1DAE2" w14:textId="77777777" w:rsidR="00A45403" w:rsidRDefault="00A934EF">
      <w:pPr>
        <w:spacing w:before="240" w:line="276" w:lineRule="auto"/>
        <w:jc w:val="both"/>
      </w:pPr>
      <w:r>
        <w:t>Minimalne parametry techniczne stacji roboczych:</w:t>
      </w:r>
    </w:p>
    <w:p w14:paraId="7D2713F9" w14:textId="77777777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t>Zestaw komputerowy musi być przeznaczony do zastosowań biurowych.</w:t>
      </w:r>
    </w:p>
    <w:p w14:paraId="5F362BAB" w14:textId="77777777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Procesor wielordzeniowy zintegrowanym z układem graficznym osiągający w teście wydajności CPU </w:t>
      </w:r>
      <w:proofErr w:type="spellStart"/>
      <w:r>
        <w:rPr>
          <w:rFonts w:cs="Calibri"/>
          <w:color w:val="000000"/>
          <w:szCs w:val="18"/>
        </w:rPr>
        <w:t>PassMark</w:t>
      </w:r>
      <w:proofErr w:type="spellEnd"/>
      <w:r>
        <w:rPr>
          <w:rFonts w:cs="Calibri"/>
          <w:color w:val="000000"/>
          <w:szCs w:val="18"/>
        </w:rPr>
        <w:t xml:space="preserve"> Performance Test (https://www.cpubenchmark.net) z wynikiem aktualnym w okresie 30 dni przed terminem składania ofert co najmniej wynik 10 000 punktów. </w:t>
      </w:r>
      <w:r>
        <w:t>Zamawiający żąda przedłożenie dokumentu potwierdzającego spełnienie przez oferowany procesor żądanej przez Zamawiającego wydajności na etapie procedury odbiorowej.</w:t>
      </w:r>
    </w:p>
    <w:p w14:paraId="3C3634D6" w14:textId="67FD8BBD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Pamięć operacyjna min. </w:t>
      </w:r>
      <w:r w:rsidR="000735E5">
        <w:t>8</w:t>
      </w:r>
      <w:r>
        <w:t xml:space="preserve"> GB w najnowszej technologii oferowanej przez producenta komputera, przy czym komputer musi posiadać min. 1 niezajęte złącze do rozbudowy i obsługiwać </w:t>
      </w:r>
      <w:r w:rsidR="00B16C12">
        <w:t>min.</w:t>
      </w:r>
      <w:r>
        <w:t xml:space="preserve"> </w:t>
      </w:r>
      <w:r w:rsidR="000735E5">
        <w:t>16</w:t>
      </w:r>
      <w:r>
        <w:t>GB pamięci.</w:t>
      </w:r>
    </w:p>
    <w:p w14:paraId="0695B6EF" w14:textId="0F22D735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Pamięć masowa – dysk w technologii SSD </w:t>
      </w:r>
      <w:r w:rsidR="000735E5">
        <w:t xml:space="preserve">M.2 </w:t>
      </w:r>
      <w:proofErr w:type="spellStart"/>
      <w:r w:rsidR="000735E5">
        <w:t>NVMe</w:t>
      </w:r>
      <w:proofErr w:type="spellEnd"/>
      <w:r w:rsidR="000735E5">
        <w:t xml:space="preserve"> </w:t>
      </w:r>
      <w:proofErr w:type="spellStart"/>
      <w:r w:rsidR="000735E5">
        <w:t>PCIe</w:t>
      </w:r>
      <w:proofErr w:type="spellEnd"/>
      <w:r w:rsidR="000735E5">
        <w:t xml:space="preserve"> </w:t>
      </w:r>
      <w:r>
        <w:t>min. 250 GB.</w:t>
      </w:r>
    </w:p>
    <w:p w14:paraId="3897A35A" w14:textId="77777777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Karta graficzna zintegrowana z możliwością dynamicznego przydzielania pamięci w obrębie pamięci systemowej.</w:t>
      </w:r>
    </w:p>
    <w:p w14:paraId="2C6273D6" w14:textId="77777777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Zintegrowana karta dźwiękowa musi obsługiwać dźwięk 24bit HD.</w:t>
      </w:r>
    </w:p>
    <w:p w14:paraId="58029ECD" w14:textId="50D8B848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Obudowa musi zapewniać bezpośrednie podłączenie co najmniej dwóch urządzeń USB oraz mikrofonu.</w:t>
      </w:r>
    </w:p>
    <w:p w14:paraId="7792F1F1" w14:textId="21E5FD74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Komputer musi być wyposażony w zasilacz wewnętrzny </w:t>
      </w:r>
      <w:r>
        <w:t xml:space="preserve">o mocy maksymalnej nieprzekraczającej </w:t>
      </w:r>
      <w:r w:rsidR="008A58BE">
        <w:t>180</w:t>
      </w:r>
      <w:r>
        <w:t xml:space="preserve"> W</w:t>
      </w:r>
      <w:r>
        <w:rPr>
          <w:color w:val="000000"/>
          <w:szCs w:val="16"/>
        </w:rPr>
        <w:t>.</w:t>
      </w:r>
    </w:p>
    <w:p w14:paraId="5B5891BA" w14:textId="77777777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lastRenderedPageBreak/>
        <w:t>Moduł TPM2.0.</w:t>
      </w:r>
    </w:p>
    <w:p w14:paraId="6FDB6B0D" w14:textId="4A9586FC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Wyposażenie minimalne: nieusuwalne 1xDP lub 1xHDMI; nieusuwalne co najmniej 5 portów USB, w tym co najmniej 2 x USB 3.0 na panelu przednim komputera, napęd optyczny DVD-RW; klawiatura USB w układzie polski programisty i mysz przewodowa (dwuprzyciskowa, rolka/</w:t>
      </w:r>
      <w:proofErr w:type="spellStart"/>
      <w:r>
        <w:t>scroll</w:t>
      </w:r>
      <w:proofErr w:type="spellEnd"/>
      <w:r>
        <w:t xml:space="preserve"> jako trzeci przycisk); nośnik z systemem operacyjnym i sterownikami; głośnik, 1x wyjście słuchawkowe oraz 1x wejście mikrofonowe na panelu przednim obudowy (dopuszcza się jedno wspólne złącze słuchawkowo – mikrofonowe), karta sieciowa 10/100/1000 </w:t>
      </w:r>
      <w:proofErr w:type="spellStart"/>
      <w:r>
        <w:t>Mbit</w:t>
      </w:r>
      <w:proofErr w:type="spellEnd"/>
      <w:r>
        <w:t xml:space="preserve">/s Ethernet RJ 45 wspierająca obsługę </w:t>
      </w:r>
      <w:proofErr w:type="spellStart"/>
      <w:r>
        <w:t>WoL.</w:t>
      </w:r>
      <w:proofErr w:type="spellEnd"/>
    </w:p>
    <w:p w14:paraId="4FA6D3CC" w14:textId="77777777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Oferowany komputer musi zostać dostarczony z bezterminową licencją oprogramowania systemu operacyjnego klasy Microsoft Windows 11 Professional lub równoważny.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>
        <w:t>IPSec</w:t>
      </w:r>
      <w:proofErr w:type="spellEnd"/>
      <w:r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>
        <w:t>Plug&amp;Play</w:t>
      </w:r>
      <w:proofErr w:type="spellEnd"/>
      <w:r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>
        <w:t>downgrade</w:t>
      </w:r>
      <w:proofErr w:type="spellEnd"/>
      <w:r>
        <w:t>” do niższej wersji.</w:t>
      </w:r>
    </w:p>
    <w:p w14:paraId="70484921" w14:textId="77777777" w:rsidR="00A45403" w:rsidRDefault="00A934E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Każdy komputer musi zostać wyposażony w monitor o parametrach minimalnych:</w:t>
      </w:r>
    </w:p>
    <w:p w14:paraId="202A7146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t>Typ ekranu: ekran ciekłokrystaliczny LED IPS z matową matrycą min. 22 cale z antyrefleksyjną powłoką ekranu.</w:t>
      </w:r>
    </w:p>
    <w:p w14:paraId="17484EB1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t>Jasność: min. 250 cd/m2.</w:t>
      </w:r>
    </w:p>
    <w:p w14:paraId="4BFFA1FC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t>Kontrast: statyczny min. 1000:1.</w:t>
      </w:r>
    </w:p>
    <w:p w14:paraId="28F6178A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t>Kąty widzenia (pion/poziom): 178 stopni.</w:t>
      </w:r>
    </w:p>
    <w:p w14:paraId="03F1DE8E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t>Czas reakcji matrycy: maks. 5 ms.</w:t>
      </w:r>
    </w:p>
    <w:p w14:paraId="70F3A3C2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t>Rozdzielczość ekranu: min. 1920 x 1080 (</w:t>
      </w:r>
      <w:proofErr w:type="spellStart"/>
      <w:r>
        <w:t>FullHD</w:t>
      </w:r>
      <w:proofErr w:type="spellEnd"/>
      <w:r>
        <w:t>).</w:t>
      </w:r>
    </w:p>
    <w:p w14:paraId="4DDE2FD4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lastRenderedPageBreak/>
        <w:t>Format obrazu: 16:9.</w:t>
      </w:r>
    </w:p>
    <w:p w14:paraId="5FDDB6A6" w14:textId="77777777" w:rsidR="00A45403" w:rsidRDefault="00A934EF">
      <w:pPr>
        <w:pStyle w:val="Akapitzlist"/>
        <w:numPr>
          <w:ilvl w:val="1"/>
          <w:numId w:val="5"/>
        </w:numPr>
        <w:jc w:val="both"/>
      </w:pPr>
      <w:r>
        <w:t xml:space="preserve">Częstotliwość odświeżania ekranu: min. 60 </w:t>
      </w:r>
      <w:proofErr w:type="spellStart"/>
      <w:r>
        <w:t>Hz</w:t>
      </w:r>
      <w:proofErr w:type="spellEnd"/>
      <w:r>
        <w:t>.</w:t>
      </w:r>
    </w:p>
    <w:p w14:paraId="57B4E7F4" w14:textId="370F8D42" w:rsidR="00A45403" w:rsidRDefault="00A934EF">
      <w:pPr>
        <w:pStyle w:val="Akapitzlist"/>
        <w:numPr>
          <w:ilvl w:val="1"/>
          <w:numId w:val="5"/>
        </w:numPr>
        <w:jc w:val="both"/>
      </w:pPr>
      <w:r>
        <w:t>Łączność: min. 2 x HDMI (lub 1 x HDMI + 1 x DP), 1 x wyjście audio.</w:t>
      </w:r>
    </w:p>
    <w:p w14:paraId="523359D3" w14:textId="723B0BB0" w:rsidR="00A45403" w:rsidRDefault="00A934EF">
      <w:pPr>
        <w:pStyle w:val="Akapitzlist"/>
        <w:numPr>
          <w:ilvl w:val="1"/>
          <w:numId w:val="5"/>
        </w:numPr>
        <w:jc w:val="both"/>
      </w:pPr>
      <w:r>
        <w:t xml:space="preserve">Inne: regulacja kąta pochylenia, możliwość montażu </w:t>
      </w:r>
      <w:r w:rsidR="00B16C12">
        <w:t>w systemie</w:t>
      </w:r>
      <w:r>
        <w:t xml:space="preserve"> VESA</w:t>
      </w:r>
      <w:r w:rsidR="00B16C12">
        <w:t>.</w:t>
      </w:r>
    </w:p>
    <w:p w14:paraId="1709D9DB" w14:textId="77777777" w:rsidR="00A45403" w:rsidRDefault="00A934EF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monitora i jednostki centralnej opracował, wdrożył i certyfikował system zarządzania jakością; Certyfikat ISO 50001 lub inny równoważny dokument poświadczający, że producent monitora i jednostki centralnej posiada system zarządzania energią, zmniejszający zużycie energii, wpływy na środowisko i zwiększający rentowność; Deklaracja zgodności CE lub inny równoważny dokument poświadczający, ze oferowana jednostka centralna i monitor spełniają wszystkie zasadnicze wymagania zawarte </w:t>
      </w:r>
      <w:r>
        <w:rPr>
          <w:rStyle w:val="hgkelc"/>
        </w:rPr>
        <w:t>w poszczególnych dyrektywach nowego podejścia przewidujących oznakowanie CE</w:t>
      </w:r>
      <w:r>
        <w:t xml:space="preserve">;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jednostki centralnej i monitora lub innego dokumentu potwierdzającego spełnienie kryteriów środowiskowych w tym zgodności z dyrektywą </w:t>
      </w:r>
      <w:proofErr w:type="spellStart"/>
      <w:r>
        <w:t>RoHS</w:t>
      </w:r>
      <w:proofErr w:type="spellEnd"/>
      <w:r>
        <w:t xml:space="preserve"> Unii Europejskiej o eliminacji substancji niebezpiecznych. Zamawiający żąda przedłożenia dokumentów potwierdzających spełnienie przez oferowany monitor oraz jednostkę centralną i jego/ich producenta/producentów w zakresie określonym powyżej na etapie procedury odbiorowej.</w:t>
      </w:r>
    </w:p>
    <w:p w14:paraId="6FF7771B" w14:textId="77777777" w:rsidR="00A45403" w:rsidRDefault="00A934EF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>Gwarancja: min. 24 miesiące gwarancji producenta świadczona na miejscu u użytkownika końcowego na cały zestaw komputerowy.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p w14:paraId="03A12AC4" w14:textId="77777777" w:rsidR="00A45403" w:rsidRDefault="00A45403">
      <w:pPr>
        <w:spacing w:after="120" w:line="276" w:lineRule="auto"/>
        <w:ind w:right="72"/>
        <w:jc w:val="both"/>
      </w:pPr>
    </w:p>
    <w:sectPr w:rsidR="00A45403" w:rsidSect="00BD70E8">
      <w:footerReference w:type="default" r:id="rId9"/>
      <w:headerReference w:type="first" r:id="rId10"/>
      <w:pgSz w:w="11906" w:h="16838"/>
      <w:pgMar w:top="851" w:right="1417" w:bottom="1417" w:left="1417" w:header="34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F652" w14:textId="77777777" w:rsidR="00563A95" w:rsidRDefault="00563A95">
      <w:pPr>
        <w:spacing w:after="0" w:line="240" w:lineRule="auto"/>
      </w:pPr>
      <w:r>
        <w:separator/>
      </w:r>
    </w:p>
  </w:endnote>
  <w:endnote w:type="continuationSeparator" w:id="0">
    <w:p w14:paraId="5A723F32" w14:textId="77777777" w:rsidR="00563A95" w:rsidRDefault="0056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397440"/>
      <w:docPartObj>
        <w:docPartGallery w:val="Page Numbers (Bottom of Page)"/>
        <w:docPartUnique/>
      </w:docPartObj>
    </w:sdtPr>
    <w:sdtEndPr/>
    <w:sdtContent>
      <w:p w14:paraId="55704E45" w14:textId="77777777" w:rsidR="00A45403" w:rsidRDefault="00A934E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23</w:t>
        </w:r>
        <w:r>
          <w:fldChar w:fldCharType="end"/>
        </w:r>
      </w:p>
    </w:sdtContent>
  </w:sdt>
  <w:p w14:paraId="50778A47" w14:textId="77777777" w:rsidR="00A45403" w:rsidRDefault="00A45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BBD7" w14:textId="77777777" w:rsidR="00563A95" w:rsidRDefault="00563A95">
      <w:pPr>
        <w:spacing w:after="0" w:line="240" w:lineRule="auto"/>
      </w:pPr>
      <w:r>
        <w:separator/>
      </w:r>
    </w:p>
  </w:footnote>
  <w:footnote w:type="continuationSeparator" w:id="0">
    <w:p w14:paraId="6DBCE4CA" w14:textId="77777777" w:rsidR="00563A95" w:rsidRDefault="0056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5E1C" w14:textId="2E65A6A6" w:rsidR="00A45403" w:rsidRDefault="00D02578">
    <w:pPr>
      <w:pStyle w:val="Nagwek"/>
      <w:jc w:val="center"/>
    </w:pPr>
    <w:r>
      <w:rPr>
        <w:noProof/>
      </w:rPr>
      <w:drawing>
        <wp:inline distT="0" distB="0" distL="0" distR="0" wp14:anchorId="36EE9237" wp14:editId="4D7220EB">
          <wp:extent cx="5572125" cy="762000"/>
          <wp:effectExtent l="0" t="0" r="9525" b="0"/>
          <wp:docPr id="4479448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6A5B6" w14:textId="77777777" w:rsidR="00A45403" w:rsidRDefault="00A454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3D"/>
    <w:multiLevelType w:val="multilevel"/>
    <w:tmpl w:val="78E68A2C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2" w:hanging="180"/>
      </w:pPr>
    </w:lvl>
  </w:abstractNum>
  <w:abstractNum w:abstractNumId="1" w15:restartNumberingAfterBreak="0">
    <w:nsid w:val="10EE1DB7"/>
    <w:multiLevelType w:val="multilevel"/>
    <w:tmpl w:val="49523D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1663BC5"/>
    <w:multiLevelType w:val="multilevel"/>
    <w:tmpl w:val="631C90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2" w:hanging="180"/>
      </w:pPr>
    </w:lvl>
  </w:abstractNum>
  <w:abstractNum w:abstractNumId="3" w15:restartNumberingAfterBreak="0">
    <w:nsid w:val="16D467EE"/>
    <w:multiLevelType w:val="multilevel"/>
    <w:tmpl w:val="D2268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4" w15:restartNumberingAfterBreak="0">
    <w:nsid w:val="1B7503D7"/>
    <w:multiLevelType w:val="multilevel"/>
    <w:tmpl w:val="0916E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CD67C9A"/>
    <w:multiLevelType w:val="multilevel"/>
    <w:tmpl w:val="016E377E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2" w:hanging="180"/>
      </w:pPr>
    </w:lvl>
  </w:abstractNum>
  <w:abstractNum w:abstractNumId="6" w15:restartNumberingAfterBreak="0">
    <w:nsid w:val="1D3D6306"/>
    <w:multiLevelType w:val="multilevel"/>
    <w:tmpl w:val="713ECF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03C662F"/>
    <w:multiLevelType w:val="multilevel"/>
    <w:tmpl w:val="A606A94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212F3172"/>
    <w:multiLevelType w:val="multilevel"/>
    <w:tmpl w:val="1EC27F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1672F1B"/>
    <w:multiLevelType w:val="multilevel"/>
    <w:tmpl w:val="9E886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8050C19"/>
    <w:multiLevelType w:val="multilevel"/>
    <w:tmpl w:val="9C0617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2B8D71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D7274D1"/>
    <w:multiLevelType w:val="multilevel"/>
    <w:tmpl w:val="6B1CA14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BC1FF0"/>
    <w:multiLevelType w:val="multilevel"/>
    <w:tmpl w:val="C2F4B7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75A1AB2"/>
    <w:multiLevelType w:val="hybridMultilevel"/>
    <w:tmpl w:val="DB2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B64F6"/>
    <w:multiLevelType w:val="hybridMultilevel"/>
    <w:tmpl w:val="27F06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43101"/>
    <w:multiLevelType w:val="multilevel"/>
    <w:tmpl w:val="83942C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6901B8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68BB1A92"/>
    <w:multiLevelType w:val="multilevel"/>
    <w:tmpl w:val="FAE8538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61A06"/>
    <w:multiLevelType w:val="hybridMultilevel"/>
    <w:tmpl w:val="03A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E5FD8"/>
    <w:multiLevelType w:val="multilevel"/>
    <w:tmpl w:val="4AC6F0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7A9A39C6"/>
    <w:multiLevelType w:val="hybridMultilevel"/>
    <w:tmpl w:val="2B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2788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7D810DAF"/>
    <w:multiLevelType w:val="multilevel"/>
    <w:tmpl w:val="303CC4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856455311">
    <w:abstractNumId w:val="17"/>
  </w:num>
  <w:num w:numId="2" w16cid:durableId="317156497">
    <w:abstractNumId w:val="6"/>
  </w:num>
  <w:num w:numId="3" w16cid:durableId="1491096854">
    <w:abstractNumId w:val="12"/>
  </w:num>
  <w:num w:numId="4" w16cid:durableId="436291590">
    <w:abstractNumId w:val="24"/>
  </w:num>
  <w:num w:numId="5" w16cid:durableId="22832261">
    <w:abstractNumId w:val="21"/>
  </w:num>
  <w:num w:numId="6" w16cid:durableId="807824374">
    <w:abstractNumId w:val="11"/>
  </w:num>
  <w:num w:numId="7" w16cid:durableId="1382825357">
    <w:abstractNumId w:val="16"/>
  </w:num>
  <w:num w:numId="8" w16cid:durableId="1286742225">
    <w:abstractNumId w:val="0"/>
  </w:num>
  <w:num w:numId="9" w16cid:durableId="808590154">
    <w:abstractNumId w:val="5"/>
  </w:num>
  <w:num w:numId="10" w16cid:durableId="1410924889">
    <w:abstractNumId w:val="2"/>
  </w:num>
  <w:num w:numId="11" w16cid:durableId="2033141729">
    <w:abstractNumId w:val="3"/>
  </w:num>
  <w:num w:numId="12" w16cid:durableId="403987341">
    <w:abstractNumId w:val="10"/>
  </w:num>
  <w:num w:numId="13" w16cid:durableId="232014089">
    <w:abstractNumId w:val="18"/>
  </w:num>
  <w:num w:numId="14" w16cid:durableId="401686775">
    <w:abstractNumId w:val="1"/>
  </w:num>
  <w:num w:numId="15" w16cid:durableId="153298460">
    <w:abstractNumId w:val="13"/>
  </w:num>
  <w:num w:numId="16" w16cid:durableId="1916163856">
    <w:abstractNumId w:val="7"/>
  </w:num>
  <w:num w:numId="17" w16cid:durableId="1595241820">
    <w:abstractNumId w:val="9"/>
  </w:num>
  <w:num w:numId="18" w16cid:durableId="967324217">
    <w:abstractNumId w:val="8"/>
  </w:num>
  <w:num w:numId="19" w16cid:durableId="30767953">
    <w:abstractNumId w:val="23"/>
  </w:num>
  <w:num w:numId="20" w16cid:durableId="1167593257">
    <w:abstractNumId w:val="4"/>
  </w:num>
  <w:num w:numId="21" w16cid:durableId="484442619">
    <w:abstractNumId w:val="1"/>
    <w:lvlOverride w:ilvl="0">
      <w:startOverride w:val="1"/>
    </w:lvlOverride>
  </w:num>
  <w:num w:numId="22" w16cid:durableId="682123356">
    <w:abstractNumId w:val="13"/>
    <w:lvlOverride w:ilvl="0">
      <w:startOverride w:val="1"/>
    </w:lvlOverride>
  </w:num>
  <w:num w:numId="23" w16cid:durableId="1109542955">
    <w:abstractNumId w:val="7"/>
    <w:lvlOverride w:ilvl="0">
      <w:startOverride w:val="1"/>
    </w:lvlOverride>
  </w:num>
  <w:num w:numId="24" w16cid:durableId="1991395818">
    <w:abstractNumId w:val="9"/>
    <w:lvlOverride w:ilvl="0">
      <w:startOverride w:val="1"/>
    </w:lvlOverride>
  </w:num>
  <w:num w:numId="25" w16cid:durableId="26568256">
    <w:abstractNumId w:val="15"/>
  </w:num>
  <w:num w:numId="26" w16cid:durableId="1873494162">
    <w:abstractNumId w:val="19"/>
  </w:num>
  <w:num w:numId="27" w16cid:durableId="1793789083">
    <w:abstractNumId w:val="20"/>
  </w:num>
  <w:num w:numId="28" w16cid:durableId="894513683">
    <w:abstractNumId w:val="14"/>
  </w:num>
  <w:num w:numId="29" w16cid:durableId="10837205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03"/>
    <w:rsid w:val="000735E5"/>
    <w:rsid w:val="000A3B1B"/>
    <w:rsid w:val="00184D15"/>
    <w:rsid w:val="00563A95"/>
    <w:rsid w:val="006018B6"/>
    <w:rsid w:val="006F69E7"/>
    <w:rsid w:val="007B3C45"/>
    <w:rsid w:val="008A58BE"/>
    <w:rsid w:val="008B38B0"/>
    <w:rsid w:val="008E0AEB"/>
    <w:rsid w:val="00A45403"/>
    <w:rsid w:val="00A934EF"/>
    <w:rsid w:val="00AC727E"/>
    <w:rsid w:val="00B16C12"/>
    <w:rsid w:val="00BD70E8"/>
    <w:rsid w:val="00D02578"/>
    <w:rsid w:val="00E56EB9"/>
    <w:rsid w:val="00E63EC0"/>
    <w:rsid w:val="00F10FEC"/>
    <w:rsid w:val="00F3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171DAD"/>
  <w15:docId w15:val="{03F63E7D-D458-455B-A19F-3FE4279B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C2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45D9"/>
  </w:style>
  <w:style w:type="character" w:customStyle="1" w:styleId="StopkaZnak">
    <w:name w:val="Stopka Znak"/>
    <w:basedOn w:val="Domylnaczcionkaakapitu"/>
    <w:link w:val="Stopka"/>
    <w:uiPriority w:val="99"/>
    <w:qFormat/>
    <w:rsid w:val="00C145D9"/>
  </w:style>
  <w:style w:type="character" w:customStyle="1" w:styleId="PodtytuZnak">
    <w:name w:val="Podtytuł Znak"/>
    <w:basedOn w:val="Domylnaczcionkaakapitu"/>
    <w:link w:val="Podtytu"/>
    <w:uiPriority w:val="11"/>
    <w:qFormat/>
    <w:rsid w:val="00A46045"/>
    <w:rPr>
      <w:rFonts w:eastAsiaTheme="minorEastAsia"/>
      <w:color w:val="5A5A5A" w:themeColor="text1" w:themeTint="A5"/>
      <w:spacing w:val="15"/>
    </w:rPr>
  </w:style>
  <w:style w:type="character" w:customStyle="1" w:styleId="TytuZnak">
    <w:name w:val="Tytuł Znak"/>
    <w:basedOn w:val="Domylnaczcionkaakapitu"/>
    <w:link w:val="Tytu"/>
    <w:uiPriority w:val="10"/>
    <w:qFormat/>
    <w:rsid w:val="00A4604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313C2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character" w:customStyle="1" w:styleId="ct-span">
    <w:name w:val="ct-span"/>
    <w:basedOn w:val="Domylnaczcionkaakapitu"/>
    <w:qFormat/>
    <w:rsid w:val="00ED1876"/>
  </w:style>
  <w:style w:type="character" w:customStyle="1" w:styleId="hgkelc">
    <w:name w:val="hgkelc"/>
    <w:basedOn w:val="Domylnaczcionkaakapitu"/>
    <w:qFormat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43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433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43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33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B873D4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74D2C"/>
    <w:rPr>
      <w:color w:val="605E5C"/>
      <w:shd w:val="clear" w:color="auto" w:fill="E1DFDD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11A92"/>
    <w:rPr>
      <w:vertAlign w:val="superscript"/>
    </w:rPr>
  </w:style>
  <w:style w:type="character" w:customStyle="1" w:styleId="sc-cjsrbw">
    <w:name w:val="sc-cjsrbw"/>
    <w:basedOn w:val="Domylnaczcionkaakapitu"/>
    <w:qFormat/>
    <w:rsid w:val="00A373D7"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22E9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paragraph" w:customStyle="1" w:styleId="Default">
    <w:name w:val="Default"/>
    <w:qFormat/>
    <w:rsid w:val="0062434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A122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433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1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720D7D"/>
  </w:style>
  <w:style w:type="table" w:styleId="Tabela-Siatka">
    <w:name w:val="Table Grid"/>
    <w:basedOn w:val="Standardowy"/>
    <w:uiPriority w:val="39"/>
    <w:rsid w:val="00A4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422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ipercze">
    <w:name w:val="Hyperlink"/>
    <w:basedOn w:val="Domylnaczcionkaakapitu"/>
    <w:uiPriority w:val="99"/>
    <w:unhideWhenUsed/>
    <w:rsid w:val="00F1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8BB0-B315-40EF-BF08-C9D7C27A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4900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Bień</dc:creator>
  <dc:description/>
  <cp:lastModifiedBy>Elżbieta Kościelska</cp:lastModifiedBy>
  <cp:revision>4</cp:revision>
  <cp:lastPrinted>2023-08-03T09:24:00Z</cp:lastPrinted>
  <dcterms:created xsi:type="dcterms:W3CDTF">2023-08-03T07:56:00Z</dcterms:created>
  <dcterms:modified xsi:type="dcterms:W3CDTF">2023-08-03T09:29:00Z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