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D511FF" w:rsidRPr="00D511FF">
        <w:rPr>
          <w:rFonts w:ascii="Cambria" w:hAnsi="Cambria" w:cs="Arial"/>
          <w:b/>
          <w:bCs/>
          <w:sz w:val="24"/>
          <w:szCs w:val="24"/>
        </w:rPr>
        <w:t>Rozdzielenie kanalizacji ogólnospławnej w Głogowie Małopolskim - etap II w formule „zaprojektuj – wybudu</w:t>
      </w:r>
      <w:r w:rsidR="00D511FF">
        <w:rPr>
          <w:rFonts w:ascii="Cambria" w:hAnsi="Cambria" w:cs="Arial"/>
          <w:b/>
          <w:bCs/>
          <w:sz w:val="24"/>
          <w:szCs w:val="24"/>
        </w:rPr>
        <w:t>j” (znak sprawy: OR.271.5.2022)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  <w:bookmarkStart w:id="0" w:name="_GoBack"/>
      <w:bookmarkEnd w:id="0"/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7B47"/>
    <w:rsid w:val="007570FE"/>
    <w:rsid w:val="007A4CB0"/>
    <w:rsid w:val="009B580D"/>
    <w:rsid w:val="00AD07D1"/>
    <w:rsid w:val="00C33F18"/>
    <w:rsid w:val="00D511FF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2022-02-10T11:57:00Z</dcterms:created>
  <dcterms:modified xsi:type="dcterms:W3CDTF">2022-02-10T11:57:00Z</dcterms:modified>
</cp:coreProperties>
</file>