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2C705FE" w14:textId="77777777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2D8B7F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2023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130884A" w14:textId="48AA9D29" w:rsidR="00F268B6" w:rsidRPr="00E40CC0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Data ważności dostarczonych produktów leczniczych nie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44C9614B" w14:textId="4A2A1F37" w:rsidR="00F268B6" w:rsidRPr="00E40CC0" w:rsidRDefault="00E40CC0" w:rsidP="00E40CC0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eastAsia="Times New Roman" w:hAnsi="Arial"/>
          <w:sz w:val="20"/>
          <w:szCs w:val="20"/>
        </w:rPr>
        <w:br/>
      </w:r>
      <w:r w:rsidRPr="00E40CC0">
        <w:rPr>
          <w:rFonts w:ascii="Arial" w:eastAsia="Times New Roman" w:hAnsi="Arial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7CA64266" w14:textId="50877C05" w:rsidR="00F268B6" w:rsidRPr="00E40CC0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8DB6E27" w14:textId="3CF58B5E" w:rsidR="00E40CC0" w:rsidRDefault="00E40CC0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Cs/>
          <w:sz w:val="20"/>
          <w:szCs w:val="20"/>
        </w:rPr>
      </w:pPr>
      <w:r w:rsidRPr="00E40CC0">
        <w:rPr>
          <w:rFonts w:ascii="Arial" w:hAnsi="Arial"/>
          <w:bCs/>
          <w:sz w:val="20"/>
          <w:szCs w:val="20"/>
        </w:rPr>
        <w:t>W ramach niniejszej umowy</w:t>
      </w:r>
      <w:r>
        <w:rPr>
          <w:rFonts w:ascii="Arial" w:hAnsi="Arial"/>
          <w:bCs/>
          <w:sz w:val="20"/>
          <w:szCs w:val="20"/>
        </w:rPr>
        <w:t xml:space="preserve"> Zamawiający ma prawo do zamówienia produktu leczniczego </w:t>
      </w:r>
      <w:r w:rsidR="0036515B"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 xml:space="preserve">w ramach danego pakietu, w większej lub mniejszej ilości niż wskazana w formularzu asortymentowo-cenowym, z tym zastrzeżeniem, że całkowita wartość zamówień produktu leczniczego nie może przekroczyć kwoty określonej w </w:t>
      </w:r>
      <w:r w:rsidRPr="00E40CC0">
        <w:rPr>
          <w:rFonts w:ascii="Arial" w:hAnsi="Arial"/>
          <w:bCs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3 ust. 1, dla tego pakietu.</w:t>
      </w:r>
    </w:p>
    <w:p w14:paraId="498F49BA" w14:textId="04383871" w:rsidR="00D93B0D" w:rsidRPr="00D93B0D" w:rsidRDefault="00D93B0D" w:rsidP="00D93B0D">
      <w:pPr>
        <w:numPr>
          <w:ilvl w:val="0"/>
          <w:numId w:val="2"/>
        </w:numPr>
        <w:tabs>
          <w:tab w:val="left" w:pos="709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B06FB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B06FB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114E4030" w14:textId="77777777" w:rsidR="00F268B6" w:rsidRPr="003A4D03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A4D03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201321B" w14:textId="77777777" w:rsidR="00F268B6" w:rsidRPr="003A4D03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A4D03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6E5EFEDA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4D63F2F8" w14:textId="0853A36E" w:rsidR="00F268B6" w:rsidRDefault="006325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Warunkiem zmiany dostarczonego produktu, o której mowa w ust. </w:t>
      </w:r>
      <w:r w:rsidR="00D93B0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jest uprzednie, pisemne zaakceptowanie równoważnego produktu przez Kierownika Apteki Zamawiającego.</w:t>
      </w:r>
    </w:p>
    <w:p w14:paraId="2D71E25B" w14:textId="77777777" w:rsidR="00D93B0D" w:rsidRDefault="00D93B0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BB1576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E16E6F7" w14:textId="6A5D0A6A" w:rsidR="00D93B0D" w:rsidRDefault="00D93B0D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6314E02A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01E2109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EB9A064" w14:textId="77777777" w:rsid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D6BA87B" w14:textId="77777777" w:rsidR="00D93B0D" w:rsidRPr="00D93B0D" w:rsidRDefault="00D93B0D" w:rsidP="00D93B0D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13FA611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3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A323C5D" w14:textId="077561A2" w:rsidR="00F268B6" w:rsidRP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2DE07DB" w14:textId="77777777" w:rsidR="005356A7" w:rsidRDefault="005356A7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07D4FF6C" w14:textId="4E1125A5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19C45503" w14:textId="22F4848C" w:rsidR="00E62909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>niedostarczone produkty lecznicze, tożsame co do nazwy międzynarodowej  substancji leczniczej oraz sposobu podania. W takim przypadku Wykonawca zobowiązany będzie do zwrotu 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  <w:r w:rsidR="00E62909"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 w:rsidR="00E62909">
        <w:rPr>
          <w:rFonts w:ascii="Arial" w:hAnsi="Arial" w:cs="Arial"/>
          <w:sz w:val="20"/>
          <w:szCs w:val="20"/>
        </w:rPr>
        <w:br/>
      </w:r>
      <w:r w:rsidR="00CC07A6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7F9407E2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F6A3DA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423CC8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77777777" w:rsidR="00E62909" w:rsidRDefault="00E62909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A1A5885" w14:textId="78B72629" w:rsidR="00F268B6" w:rsidRDefault="00E62909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2030057C" w14:textId="77777777" w:rsidR="00E62909" w:rsidRDefault="00E6290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253FEB3B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59994A71" w14:textId="77777777" w:rsidR="00F268B6" w:rsidRDefault="006325B4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1C5BAC17" w14:textId="77777777" w:rsidR="00F268B6" w:rsidRDefault="00F268B6" w:rsidP="00E62909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03E5A1E9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6AAF7F6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</w:p>
    <w:p w14:paraId="77F77619" w14:textId="7A7F0625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1" w:name="_Hlk143244296"/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804270">
        <w:rPr>
          <w:rFonts w:ascii="Arial" w:eastAsia="Times New Roman" w:hAnsi="Arial"/>
          <w:spacing w:val="-2"/>
          <w:sz w:val="20"/>
          <w:szCs w:val="20"/>
          <w:lang w:eastAsia="ar-SA"/>
        </w:rPr>
        <w:t>20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274B55" w:rsidRPr="00274B5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="00274B55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bookmarkEnd w:id="1"/>
    <w:p w14:paraId="6B7AA633" w14:textId="207F3875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w ramach danego pakietu</w:t>
      </w:r>
      <w:r>
        <w:rPr>
          <w:rFonts w:ascii="Arial" w:hAnsi="Arial" w:cs="Arial"/>
          <w:sz w:val="20"/>
          <w:szCs w:val="20"/>
        </w:rPr>
        <w:t xml:space="preserve"> nie może przekroczyć 30% wynagrodzenia netto określonego w § 3 ust. 1 niniejszej umowy dla danego pakietu.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B46DBF3" w14:textId="72D67A25" w:rsidR="00F268B6" w:rsidRDefault="00274B55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A666948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45AEB519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6ECC24A" w14:textId="08D2D7EC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</w:t>
      </w:r>
    </w:p>
    <w:p w14:paraId="23E67763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</w:p>
    <w:p w14:paraId="5B7ED705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zabezpieczenia jej zapłaty (lub jej zaspokojenia), oraz dochodzenia przez ww. osobę trzecią </w:t>
      </w:r>
    </w:p>
    <w:p w14:paraId="3C72184F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37A2DB01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28A328C2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63AB3F60" w14:textId="77777777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Cs/>
          <w:sz w:val="20"/>
          <w:szCs w:val="20"/>
        </w:rPr>
      </w:pP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1F9B7CA4" w14:textId="77777777" w:rsidR="00DA0658" w:rsidRDefault="00DA0658" w:rsidP="00DA0658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2B096257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42C6D907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tj. od </w:t>
      </w:r>
      <w:r w:rsidR="00804270"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 xml:space="preserve"> r. do </w:t>
      </w:r>
      <w:r w:rsidR="00804270">
        <w:rPr>
          <w:rFonts w:ascii="Arial" w:hAnsi="Arial"/>
          <w:sz w:val="20"/>
          <w:szCs w:val="20"/>
        </w:rPr>
        <w:t>…………… r.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8E0EEFC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4B24285" w14:textId="77777777" w:rsidR="00B523B9" w:rsidRDefault="00B523B9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sz w:val="20"/>
          <w:szCs w:val="20"/>
        </w:rPr>
      </w:pPr>
    </w:p>
    <w:p w14:paraId="3E3EE0E0" w14:textId="44F006F3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7FA5B747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1375207F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F6C6BCD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4D704BC6" w14:textId="77777777" w:rsidR="00DA0658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6817BC86" w14:textId="77777777" w:rsidR="00DA0658" w:rsidRPr="00E038DA" w:rsidRDefault="00DA0658" w:rsidP="00DA065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71A85976" w14:textId="77777777" w:rsidR="00DA0658" w:rsidRPr="00BA75AD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</w:t>
      </w:r>
    </w:p>
    <w:p w14:paraId="627CFC93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6FF28537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5ED8BD0" w14:textId="77777777" w:rsidR="00DA0658" w:rsidRDefault="00DA0658" w:rsidP="00DA0658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C5D089B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C86A195" w14:textId="77777777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51975B7" w14:textId="081FF1A9" w:rsidR="00DA0658" w:rsidRDefault="00DA0658" w:rsidP="00DA0658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CC5CE6F" w14:textId="77777777" w:rsidR="00DA0658" w:rsidRDefault="00DA0658" w:rsidP="00DA0658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88ABF75" w14:textId="7750BCA0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7E995587" w14:textId="77777777" w:rsidR="00DA0658" w:rsidRDefault="00DA0658" w:rsidP="00DA0658">
      <w:pPr>
        <w:spacing w:line="276" w:lineRule="auto"/>
        <w:ind w:left="466"/>
        <w:jc w:val="both"/>
        <w:rPr>
          <w:rFonts w:ascii="Arial" w:eastAsia="Calibri" w:hAnsi="Arial"/>
          <w:sz w:val="20"/>
          <w:szCs w:val="20"/>
        </w:rPr>
      </w:pPr>
    </w:p>
    <w:p w14:paraId="2FEDD9ED" w14:textId="77777777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11AD88EF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496AF391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</w:p>
    <w:p w14:paraId="270EEB1A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025E0DBB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3D23" w14:textId="77777777" w:rsidR="00F268B6" w:rsidRDefault="006325B4">
      <w:r>
        <w:separator/>
      </w:r>
    </w:p>
  </w:endnote>
  <w:endnote w:type="continuationSeparator" w:id="0">
    <w:p w14:paraId="19F82CA3" w14:textId="77777777" w:rsidR="00F268B6" w:rsidRDefault="006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3D1C" w14:textId="77777777" w:rsidR="00F268B6" w:rsidRDefault="006325B4">
      <w:r>
        <w:separator/>
      </w:r>
    </w:p>
  </w:footnote>
  <w:footnote w:type="continuationSeparator" w:id="0">
    <w:p w14:paraId="70644580" w14:textId="77777777" w:rsidR="00F268B6" w:rsidRDefault="006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8A5" w14:textId="77777777" w:rsidR="00F268B6" w:rsidRDefault="004F0C2C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3"/>
  </w:num>
  <w:num w:numId="7" w16cid:durableId="414789931">
    <w:abstractNumId w:val="10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4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2"/>
  </w:num>
  <w:num w:numId="17" w16cid:durableId="56822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70D7"/>
    <w:rsid w:val="001D59A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2568"/>
    <w:rsid w:val="00A93EA1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25B4EDA8-EB8A-44F8-8037-345BDDDAA4B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7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24</cp:revision>
  <cp:lastPrinted>2023-09-19T08:38:00Z</cp:lastPrinted>
  <dcterms:created xsi:type="dcterms:W3CDTF">2022-02-11T09:38:00Z</dcterms:created>
  <dcterms:modified xsi:type="dcterms:W3CDTF">2023-09-19T08:44:00Z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