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pn: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Budowa miasteczka ruchu drogowego w m. Redzikowo – dz. 1/22. </w:t>
        <w:br/>
        <w:t>Znak sprawy: ZP.271.15.2021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(nazwa (firma) i dokładny adres podmiotu oddającego Wykonawcy do dyspozycji zasoby na zasadach określonych </w:t>
        <w:br/>
        <w:t xml:space="preserve">w art.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20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określonych </w:t>
        <w:br/>
        <w:t>w art. 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...........................................................................................................................................................................… ..........................................................................................................................................………………….....…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 w:ascii="Times New Roman" w:hAnsi="Times New Roman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rFonts w:ascii="Times New Roman" w:hAnsi="Times New Roman"/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LibreOffice/6.4.4.2$Windows_X86_64 LibreOffice_project/3d775be2011f3886db32dfd395a6a6d1ca2630ff</Application>
  <Pages>2</Pages>
  <Words>222</Words>
  <Characters>2574</Characters>
  <CharactersWithSpaces>2774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2021-05-25T12:16:19Z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