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433EFC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  <w:r w:rsidR="00053C39">
              <w:rPr>
                <w:rFonts w:ascii="Times New Roman" w:hAnsi="Times New Roman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9F4795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2ED94974" w14:textId="3BBAFD32" w:rsidR="00AD265E" w:rsidRPr="00053C39" w:rsidRDefault="00260333" w:rsidP="00053C3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t>w</w:t>
            </w:r>
            <w:r w:rsidRPr="004027B7">
              <w:t xml:space="preserve"> postępowaniu o udzielenie zamówienia publicznego prowadzonego w trybie </w:t>
            </w:r>
            <w:r w:rsidRPr="00053C39">
              <w:t>p</w:t>
            </w:r>
            <w:r w:rsidR="00181210" w:rsidRPr="00053C39">
              <w:t>odstawowym</w:t>
            </w:r>
            <w:r w:rsidR="00181210">
              <w:t xml:space="preserve"> </w:t>
            </w:r>
            <w:r w:rsidRPr="004027B7">
              <w:rPr>
                <w:color w:val="000000"/>
              </w:rPr>
              <w:t xml:space="preserve">zgodnie z ustawą z dnia </w:t>
            </w:r>
            <w:r w:rsidR="00433EFC">
              <w:rPr>
                <w:color w:val="000000"/>
              </w:rPr>
              <w:t>11 września 2019</w:t>
            </w:r>
            <w:r w:rsidRPr="004027B7">
              <w:rPr>
                <w:color w:val="000000"/>
              </w:rPr>
              <w:t xml:space="preserve"> </w:t>
            </w:r>
            <w:r w:rsidR="00C461FF">
              <w:rPr>
                <w:color w:val="000000"/>
              </w:rPr>
              <w:t>r. Pr</w:t>
            </w:r>
            <w:r w:rsidR="00C461FF" w:rsidRPr="00C76C42">
              <w:rPr>
                <w:color w:val="000000"/>
              </w:rPr>
              <w:t xml:space="preserve">awo zamówień publicznych pn.: </w:t>
            </w:r>
            <w:r w:rsidR="00AD265E" w:rsidRPr="00C76C42">
              <w:rPr>
                <w:b/>
                <w:bCs/>
                <w:color w:val="000000"/>
              </w:rPr>
              <w:t>„</w:t>
            </w:r>
            <w:bookmarkStart w:id="0" w:name="_Hlk120106292"/>
            <w:r w:rsidR="00053C39" w:rsidRPr="00053C39">
              <w:rPr>
                <w:b/>
                <w:bCs/>
                <w:color w:val="000000"/>
              </w:rPr>
              <w:t>Zakup dodatkowej licencji oraz wsparcia systemów monitoringu i audytu Exchange Reporter Plus i ADAudit Plus</w:t>
            </w:r>
            <w:bookmarkEnd w:id="0"/>
            <w:r w:rsidR="00267B7B">
              <w:rPr>
                <w:b/>
                <w:bCs/>
                <w:color w:val="000000"/>
              </w:rPr>
              <w:t>”</w:t>
            </w:r>
            <w:r w:rsidR="00053C39">
              <w:rPr>
                <w:b/>
                <w:bCs/>
                <w:color w:val="000000"/>
              </w:rPr>
              <w:t xml:space="preserve"> </w:t>
            </w:r>
            <w:r w:rsidRPr="00C76C42">
              <w:rPr>
                <w:b/>
              </w:rPr>
              <w:t xml:space="preserve">(zn. spr. </w:t>
            </w:r>
            <w:r w:rsidR="0020472F" w:rsidRPr="00C76C42">
              <w:rPr>
                <w:b/>
                <w:bCs/>
              </w:rPr>
              <w:t>DZ.2</w:t>
            </w:r>
            <w:r w:rsidR="00466E32" w:rsidRPr="00C76C42">
              <w:rPr>
                <w:b/>
                <w:bCs/>
              </w:rPr>
              <w:t>70</w:t>
            </w:r>
            <w:r w:rsidR="00053C39">
              <w:rPr>
                <w:b/>
                <w:bCs/>
              </w:rPr>
              <w:t>.65</w:t>
            </w:r>
            <w:r w:rsidR="0014637B" w:rsidRPr="00C76C42">
              <w:rPr>
                <w:b/>
                <w:bCs/>
              </w:rPr>
              <w:t>.</w:t>
            </w:r>
            <w:r w:rsidR="00F949EE" w:rsidRPr="00C76C42">
              <w:rPr>
                <w:b/>
                <w:bCs/>
              </w:rPr>
              <w:t>202</w:t>
            </w:r>
            <w:r w:rsidR="00053C39">
              <w:rPr>
                <w:b/>
                <w:bCs/>
              </w:rPr>
              <w:t>3</w:t>
            </w:r>
            <w:r w:rsidRPr="00C76C42">
              <w:rPr>
                <w:b/>
              </w:rPr>
              <w:t>)</w:t>
            </w:r>
          </w:p>
        </w:tc>
      </w:tr>
      <w:tr w:rsidR="004027B7" w:rsidRPr="009F4795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F265DC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6A430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F265DC">
              <w:rPr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Default="006C0785" w:rsidP="00F315FD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6A4305" w:rsidRPr="009F4795" w14:paraId="49DF4EF1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539B7FBA" w:rsidR="006A4305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9F4795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F265DC" w:rsidRDefault="00053C39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  <w:p w14:paraId="4C3ED75B" w14:textId="34057EE5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 w:rsidR="00053C39">
              <w:rPr>
                <w:sz w:val="22"/>
                <w:szCs w:val="22"/>
              </w:rPr>
              <w:br/>
            </w:r>
            <w:r w:rsidR="00053C39"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992B2B" w:rsidRPr="009F4795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F265DC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9F4795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CC7E8B">
              <w:rPr>
                <w:sz w:val="18"/>
                <w:szCs w:val="18"/>
              </w:rPr>
              <w:t>* niepotrzebne skreślić</w:t>
            </w:r>
          </w:p>
          <w:p w14:paraId="7E4C4BD6" w14:textId="506C7DD7" w:rsidR="00053C39" w:rsidRPr="005A0C95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</w:tc>
      </w:tr>
      <w:tr w:rsidR="00F315FD" w:rsidRPr="009F4795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F265DC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F265DC">
              <w:rPr>
                <w:b/>
                <w:sz w:val="22"/>
                <w:szCs w:val="22"/>
              </w:rPr>
              <w:t xml:space="preserve"> będzie stanowiła Załącznik nr 2</w:t>
            </w:r>
            <w:r w:rsidRPr="00F265DC">
              <w:rPr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F265DC">
              <w:rPr>
                <w:rFonts w:eastAsia="Calibri"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</w:p>
          <w:p w14:paraId="5BAD5D8B" w14:textId="77777777" w:rsidR="00F315FD" w:rsidRPr="00F265DC" w:rsidRDefault="00F315FD" w:rsidP="00F315FD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7777777" w:rsidR="00F315FD" w:rsidRDefault="00F315FD" w:rsidP="00F315F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Łączna cena ofertowa brutto wyrażona w złotych (PLN):</w:t>
                  </w:r>
                </w:p>
                <w:p w14:paraId="24EA8A4B" w14:textId="6E718BC5" w:rsidR="00B835C7" w:rsidRPr="00F265DC" w:rsidRDefault="00B835C7" w:rsidP="00F315F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(Tabela A + Tabela B)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69151E32" w:rsidR="00F315FD" w:rsidRPr="00CC789D" w:rsidRDefault="00F315FD" w:rsidP="00F315FD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Default="002C100A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2A8FE106" w:rsidR="00076A35" w:rsidRDefault="00076A35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Formularz cenowy licencji i </w:t>
            </w:r>
            <w:r w:rsidR="00DB4FD6" w:rsidRPr="00F265DC">
              <w:rPr>
                <w:b/>
                <w:sz w:val="22"/>
                <w:szCs w:val="22"/>
              </w:rPr>
              <w:t>wsparć:</w:t>
            </w:r>
          </w:p>
          <w:p w14:paraId="6CB86EA1" w14:textId="10357CA5" w:rsidR="00435464" w:rsidRPr="00F265DC" w:rsidRDefault="00435464" w:rsidP="00B835C7">
            <w:pPr>
              <w:pStyle w:val="Akapitzlist"/>
              <w:spacing w:after="40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A: zamówienie obligatoryjne.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543"/>
              <w:gridCol w:w="1419"/>
              <w:gridCol w:w="992"/>
              <w:gridCol w:w="1417"/>
              <w:gridCol w:w="1381"/>
            </w:tblGrid>
            <w:tr w:rsidR="002C100A" w:rsidRPr="00F265DC" w14:paraId="1E809694" w14:textId="77777777" w:rsidTr="001D2B57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A55630" w:rsidRPr="00267B7B" w:rsidRDefault="00A55630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l</w:t>
                  </w:r>
                  <w:r w:rsidR="00267B7B" w:rsidRPr="00267B7B">
                    <w:rPr>
                      <w:b/>
                      <w:sz w:val="20"/>
                      <w:szCs w:val="20"/>
                    </w:rPr>
                    <w:t>.</w:t>
                  </w:r>
                  <w:r w:rsidRPr="00267B7B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267B7B" w:rsidRDefault="00A55630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  <w:vAlign w:val="center"/>
                </w:tcPr>
                <w:p w14:paraId="39F60DD4" w14:textId="402D00B8" w:rsidR="00A55630" w:rsidRPr="00267B7B" w:rsidRDefault="00267B7B" w:rsidP="00267B7B">
                  <w:pPr>
                    <w:spacing w:after="40"/>
                    <w:ind w:left="-106" w:firstLine="2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Nazwa produktu </w:t>
                  </w:r>
                  <w:r>
                    <w:rPr>
                      <w:b/>
                      <w:sz w:val="20"/>
                      <w:szCs w:val="20"/>
                    </w:rPr>
                    <w:br/>
                  </w:r>
                  <w:r>
                    <w:rPr>
                      <w:i/>
                      <w:sz w:val="20"/>
                      <w:szCs w:val="20"/>
                    </w:rPr>
                    <w:t>(wypełnia wykonawca, j</w:t>
                  </w:r>
                  <w:r w:rsidR="00A55630" w:rsidRPr="00267B7B">
                    <w:rPr>
                      <w:i/>
                      <w:sz w:val="20"/>
                      <w:szCs w:val="20"/>
                    </w:rPr>
                    <w:t>eżeli dotyczy)</w:t>
                  </w:r>
                  <w:r w:rsidR="00552E09" w:rsidRPr="00267B7B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267B7B" w:rsidRDefault="00A55630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Liczba</w:t>
                  </w:r>
                </w:p>
                <w:p w14:paraId="32C43F05" w14:textId="3E68F6D7" w:rsidR="00A55630" w:rsidRPr="00267B7B" w:rsidRDefault="00A55630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A55630" w:rsidRPr="00267B7B" w:rsidRDefault="00053C39" w:rsidP="00267B7B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Cena jednostk.</w:t>
                  </w:r>
                  <w:r w:rsidR="00267B7B">
                    <w:rPr>
                      <w:b/>
                      <w:sz w:val="20"/>
                      <w:szCs w:val="20"/>
                    </w:rPr>
                    <w:br/>
                  </w:r>
                  <w:r w:rsidR="00A55630" w:rsidRPr="00267B7B">
                    <w:rPr>
                      <w:b/>
                      <w:sz w:val="20"/>
                      <w:szCs w:val="20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7804269" w14:textId="5DD7EB51" w:rsidR="00A55630" w:rsidRPr="00267B7B" w:rsidRDefault="00A55630" w:rsidP="00267B7B">
                  <w:pPr>
                    <w:spacing w:after="40"/>
                    <w:ind w:hanging="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Łączna cena</w:t>
                  </w:r>
                  <w:r w:rsidR="00267B7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67B7B">
                    <w:rPr>
                      <w:b/>
                      <w:sz w:val="20"/>
                      <w:szCs w:val="20"/>
                    </w:rPr>
                    <w:t>[zł brutto]</w:t>
                  </w:r>
                  <w:r w:rsidR="00267B7B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67B7B">
                    <w:rPr>
                      <w:b/>
                      <w:sz w:val="20"/>
                      <w:szCs w:val="20"/>
                    </w:rPr>
                    <w:br/>
                  </w:r>
                  <w:r w:rsidRPr="00267B7B">
                    <w:rPr>
                      <w:b/>
                      <w:sz w:val="20"/>
                      <w:szCs w:val="20"/>
                    </w:rPr>
                    <w:t>(D x E)</w:t>
                  </w:r>
                </w:p>
              </w:tc>
            </w:tr>
            <w:tr w:rsidR="002C100A" w:rsidRPr="00F265DC" w14:paraId="086EC552" w14:textId="77777777" w:rsidTr="001D2B57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267B7B" w:rsidRDefault="00A55630" w:rsidP="0048377F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267B7B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</w:tcPr>
                <w:p w14:paraId="74AEF49A" w14:textId="60C634B3" w:rsidR="00A55630" w:rsidRPr="00267B7B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267B7B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267B7B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267B7B" w:rsidRDefault="00A55630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802D83" w:rsidRPr="00F265DC" w14:paraId="196A78C2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802D83" w:rsidRPr="00802D83" w:rsidRDefault="00802D83" w:rsidP="00802D83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0C394053" w14:textId="41522193" w:rsidR="00802D83" w:rsidRPr="00267B7B" w:rsidRDefault="00802D83" w:rsidP="00802D83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267B7B">
                    <w:rPr>
                      <w:sz w:val="22"/>
                      <w:szCs w:val="22"/>
                    </w:rPr>
                    <w:t>Dostawa licencji na kontrolery domeny w ManageEngine ADAudit Plus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2331D7CD" w14:textId="54CC6A1B" w:rsidR="00802D83" w:rsidRPr="00267B7B" w:rsidRDefault="00802D83" w:rsidP="00802D83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B6563EE" w14:textId="5837DAD3" w:rsidR="00802D83" w:rsidRPr="00267B7B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267B7B">
                    <w:rPr>
                      <w:sz w:val="22"/>
                      <w:szCs w:val="22"/>
                    </w:rPr>
                    <w:t>1</w:t>
                  </w:r>
                  <w:r w:rsidR="00435464">
                    <w:rPr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B768A4" w14:textId="44C927DB" w:rsidR="00802D83" w:rsidRPr="00267B7B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3053C99E" w14:textId="740AE5D4" w:rsidR="00802D83" w:rsidRPr="00F265DC" w:rsidRDefault="00802D83" w:rsidP="00802D83">
                  <w:pPr>
                    <w:spacing w:after="40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802D83" w:rsidRPr="00F265DC" w14:paraId="363C0B5A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4A77375" w14:textId="7C3D8D77" w:rsidR="00802D83" w:rsidRPr="00802D83" w:rsidRDefault="00802D83" w:rsidP="00802D83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47052632" w14:textId="44ABB76F" w:rsidR="00802D83" w:rsidRPr="00267B7B" w:rsidRDefault="00802D83" w:rsidP="00802D83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267B7B">
                    <w:rPr>
                      <w:sz w:val="22"/>
                      <w:szCs w:val="22"/>
                    </w:rPr>
                    <w:t xml:space="preserve">Zapewnienie 36 miesięcznego wsparcia producenta </w:t>
                  </w:r>
                  <w:r>
                    <w:rPr>
                      <w:sz w:val="22"/>
                      <w:szCs w:val="22"/>
                    </w:rPr>
                    <w:t xml:space="preserve">dla posiadanych przez PGL LP </w:t>
                  </w:r>
                  <w:r w:rsidRPr="00267B7B">
                    <w:rPr>
                      <w:sz w:val="22"/>
                      <w:szCs w:val="22"/>
                    </w:rPr>
                    <w:t>26 szt. licencji na kontrolery domeny i 5 szt. licencji na serwery członkowskie w ManageEngine ADAudit Plus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45ACC7CF" w14:textId="63D263DF" w:rsidR="00802D83" w:rsidRPr="00267B7B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B972C13" w14:textId="1139B8BB" w:rsidR="00802D83" w:rsidRPr="00267B7B" w:rsidRDefault="00EE1896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 m-cy</w:t>
                  </w:r>
                </w:p>
              </w:tc>
              <w:tc>
                <w:tcPr>
                  <w:tcW w:w="1417" w:type="dxa"/>
                  <w:vAlign w:val="center"/>
                </w:tcPr>
                <w:p w14:paraId="61829B8F" w14:textId="4D2A6749" w:rsidR="00802D83" w:rsidRPr="00F265DC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7888E166" w14:textId="6EC93A9A" w:rsidR="00802D83" w:rsidRPr="00F265DC" w:rsidRDefault="00802D83" w:rsidP="00802D83">
                  <w:pPr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802D83" w:rsidRPr="00F265DC" w14:paraId="748C4CEA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388C5AEE" w14:textId="01B09CF5" w:rsidR="00802D83" w:rsidRPr="00802D83" w:rsidRDefault="00802D83" w:rsidP="00802D83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7B893120" w14:textId="2545AD2A" w:rsidR="00802D83" w:rsidRPr="00267B7B" w:rsidRDefault="00802D83" w:rsidP="00802D83">
                  <w:pPr>
                    <w:spacing w:after="40"/>
                    <w:rPr>
                      <w:sz w:val="22"/>
                      <w:szCs w:val="22"/>
                    </w:rPr>
                  </w:pPr>
                  <w:r w:rsidRPr="00267B7B">
                    <w:rPr>
                      <w:sz w:val="22"/>
                      <w:szCs w:val="22"/>
                    </w:rPr>
                    <w:t>Zapewnienie 36 miesięcznego wsparcia producenta dla dostarczanych licencji w Man</w:t>
                  </w:r>
                  <w:r w:rsidR="00435464">
                    <w:rPr>
                      <w:sz w:val="22"/>
                      <w:szCs w:val="22"/>
                    </w:rPr>
                    <w:t>ageEngine ADAudit Plus, o której</w:t>
                  </w:r>
                  <w:r w:rsidRPr="00267B7B">
                    <w:rPr>
                      <w:sz w:val="22"/>
                      <w:szCs w:val="22"/>
                    </w:rPr>
                    <w:t xml:space="preserve"> mowa w pkt 1</w:t>
                  </w:r>
                </w:p>
              </w:tc>
              <w:tc>
                <w:tcPr>
                  <w:tcW w:w="1419" w:type="dxa"/>
                  <w:shd w:val="clear" w:color="auto" w:fill="auto"/>
                  <w:vAlign w:val="bottom"/>
                </w:tcPr>
                <w:p w14:paraId="37896BE1" w14:textId="761A518B" w:rsidR="00802D83" w:rsidRPr="00053C39" w:rsidRDefault="00802D83" w:rsidP="00802D83">
                  <w:pPr>
                    <w:spacing w:after="40"/>
                    <w:ind w:left="317" w:hanging="317"/>
                    <w:jc w:val="center"/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92EA291" w14:textId="06CE2CAE" w:rsidR="00802D83" w:rsidRPr="00802D83" w:rsidRDefault="00EE1896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 m-cy</w:t>
                  </w:r>
                </w:p>
              </w:tc>
              <w:tc>
                <w:tcPr>
                  <w:tcW w:w="1417" w:type="dxa"/>
                  <w:vAlign w:val="bottom"/>
                </w:tcPr>
                <w:p w14:paraId="6D1F7DF3" w14:textId="5441F1A0" w:rsidR="00802D83" w:rsidRPr="00F265DC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bottom"/>
                </w:tcPr>
                <w:p w14:paraId="4AE955C5" w14:textId="00DF659D" w:rsidR="00802D83" w:rsidRPr="00F265DC" w:rsidRDefault="00802D83" w:rsidP="00802D83">
                  <w:pPr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802D83" w:rsidRPr="00F265DC" w14:paraId="4D5A382E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56FB1DB" w14:textId="3C63FE05" w:rsidR="00802D83" w:rsidRPr="00802D83" w:rsidRDefault="00802D83" w:rsidP="00802D83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6906FA58" w14:textId="51F9A3FD" w:rsidR="00802D83" w:rsidRPr="00053C39" w:rsidRDefault="00802D83" w:rsidP="00802D83">
                  <w:pPr>
                    <w:spacing w:after="40"/>
                    <w:rPr>
                      <w:b/>
                      <w:color w:val="FF0000"/>
                      <w:sz w:val="22"/>
                      <w:szCs w:val="22"/>
                      <w:highlight w:val="cyan"/>
                    </w:rPr>
                  </w:pPr>
                  <w:r w:rsidRPr="00267B7B">
                    <w:rPr>
                      <w:sz w:val="22"/>
                      <w:szCs w:val="22"/>
                    </w:rPr>
                    <w:t>Zapewnienie 36 miesięcznego wsparcia producenta dla posiadanych prz</w:t>
                  </w:r>
                  <w:r w:rsidR="00435464">
                    <w:rPr>
                      <w:sz w:val="22"/>
                      <w:szCs w:val="22"/>
                    </w:rPr>
                    <w:t>ez PGL LP  27</w:t>
                  </w:r>
                  <w:r>
                    <w:rPr>
                      <w:sz w:val="22"/>
                      <w:szCs w:val="22"/>
                    </w:rPr>
                    <w:t xml:space="preserve">000 szt. licencji </w:t>
                  </w:r>
                  <w:r w:rsidRPr="00267B7B">
                    <w:rPr>
                      <w:sz w:val="22"/>
                      <w:szCs w:val="22"/>
                    </w:rPr>
                    <w:t>ManageEngine Exchange Reporter Plus</w:t>
                  </w:r>
                </w:p>
              </w:tc>
              <w:tc>
                <w:tcPr>
                  <w:tcW w:w="1419" w:type="dxa"/>
                  <w:shd w:val="clear" w:color="auto" w:fill="auto"/>
                  <w:vAlign w:val="bottom"/>
                </w:tcPr>
                <w:p w14:paraId="45025745" w14:textId="12D00C6E" w:rsidR="00802D83" w:rsidRPr="00053C39" w:rsidRDefault="00802D83" w:rsidP="00802D83">
                  <w:pPr>
                    <w:spacing w:after="40"/>
                    <w:ind w:left="317" w:hanging="317"/>
                    <w:jc w:val="center"/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4BBEEF5D" w14:textId="2A08C798" w:rsidR="00802D83" w:rsidRPr="00802D83" w:rsidRDefault="00EE1896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 m-cy</w:t>
                  </w:r>
                </w:p>
              </w:tc>
              <w:tc>
                <w:tcPr>
                  <w:tcW w:w="1417" w:type="dxa"/>
                  <w:vAlign w:val="bottom"/>
                </w:tcPr>
                <w:p w14:paraId="76F1A41D" w14:textId="1549ED63" w:rsidR="00802D83" w:rsidRPr="00F265DC" w:rsidRDefault="00802D83" w:rsidP="00802D8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bottom"/>
                </w:tcPr>
                <w:p w14:paraId="48FA8201" w14:textId="5024AF07" w:rsidR="00802D83" w:rsidRPr="00F265DC" w:rsidRDefault="00802D83" w:rsidP="00802D83">
                  <w:pPr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435464" w:rsidRPr="00F265DC" w14:paraId="5DF86676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EBABCCA" w14:textId="7C42208F" w:rsidR="00435464" w:rsidRPr="00802D83" w:rsidRDefault="00435464" w:rsidP="00435464">
                  <w:pPr>
                    <w:spacing w:after="4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4CE966BA" w14:textId="0328EA26" w:rsidR="00435464" w:rsidRPr="00267B7B" w:rsidRDefault="00435464" w:rsidP="00435464">
                  <w:pPr>
                    <w:spacing w:after="40"/>
                    <w:rPr>
                      <w:sz w:val="22"/>
                      <w:szCs w:val="22"/>
                    </w:rPr>
                  </w:pPr>
                  <w:r w:rsidRPr="00267B7B">
                    <w:rPr>
                      <w:sz w:val="22"/>
                      <w:szCs w:val="22"/>
                    </w:rPr>
                    <w:t xml:space="preserve">Zapewnienie 36 miesięcznego wsparcia dla użytkowników systemu ManageEngine ADAudit Plus oraz ManageEngine Exchange Reporter Plus </w:t>
                  </w:r>
                  <w:r>
                    <w:rPr>
                      <w:sz w:val="22"/>
                      <w:szCs w:val="22"/>
                    </w:rPr>
                    <w:t>przez Wykonawcę</w:t>
                  </w:r>
                </w:p>
              </w:tc>
              <w:tc>
                <w:tcPr>
                  <w:tcW w:w="1419" w:type="dxa"/>
                  <w:shd w:val="clear" w:color="auto" w:fill="auto"/>
                  <w:vAlign w:val="bottom"/>
                </w:tcPr>
                <w:p w14:paraId="3116C324" w14:textId="7EBFB51E" w:rsidR="00435464" w:rsidRDefault="00435464" w:rsidP="00435464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1490030" w14:textId="52594AAD" w:rsidR="00435464" w:rsidRPr="00802D83" w:rsidRDefault="00EE1896" w:rsidP="008247C3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 m-cy</w:t>
                  </w:r>
                </w:p>
              </w:tc>
              <w:tc>
                <w:tcPr>
                  <w:tcW w:w="1417" w:type="dxa"/>
                  <w:vAlign w:val="bottom"/>
                </w:tcPr>
                <w:p w14:paraId="78990F8B" w14:textId="221B4F3B" w:rsidR="00435464" w:rsidRPr="00137286" w:rsidRDefault="00435464" w:rsidP="00435464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bottom"/>
                </w:tcPr>
                <w:p w14:paraId="22F64D18" w14:textId="0CBB4E9F" w:rsidR="00435464" w:rsidRPr="00137286" w:rsidRDefault="00435464" w:rsidP="00435464">
                  <w:pPr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435464" w:rsidRPr="00F265DC" w14:paraId="4E63CBCA" w14:textId="77777777" w:rsidTr="00267B7B">
              <w:trPr>
                <w:trHeight w:val="583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310B7D74" w14:textId="77777777" w:rsidR="00435464" w:rsidRPr="00F265DC" w:rsidRDefault="00435464" w:rsidP="00435464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71" w:type="dxa"/>
                  <w:gridSpan w:val="4"/>
                  <w:shd w:val="clear" w:color="auto" w:fill="D9D9D9" w:themeFill="background1" w:themeFillShade="D9"/>
                </w:tcPr>
                <w:p w14:paraId="20D8964C" w14:textId="1CDF1747" w:rsidR="00435464" w:rsidRPr="00F265DC" w:rsidRDefault="00435464" w:rsidP="00435464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RAZEM [zł brutto]</w:t>
                  </w:r>
                  <w:r w:rsidRPr="00F265DC">
                    <w:rPr>
                      <w:sz w:val="22"/>
                      <w:szCs w:val="22"/>
                    </w:rPr>
                    <w:t>:</w:t>
                  </w:r>
                </w:p>
                <w:p w14:paraId="300A9C34" w14:textId="477A0DF6" w:rsidR="00435464" w:rsidRPr="00F265DC" w:rsidRDefault="00435464" w:rsidP="00435464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(1+2+3+4+5)</w:t>
                  </w:r>
                </w:p>
              </w:tc>
              <w:tc>
                <w:tcPr>
                  <w:tcW w:w="1381" w:type="dxa"/>
                </w:tcPr>
                <w:p w14:paraId="22175261" w14:textId="77777777" w:rsidR="00435464" w:rsidRPr="00F265DC" w:rsidRDefault="00435464" w:rsidP="00435464">
                  <w:pPr>
                    <w:spacing w:after="40"/>
                    <w:ind w:left="317" w:hanging="317"/>
                    <w:jc w:val="both"/>
                    <w:rPr>
                      <w:sz w:val="22"/>
                      <w:szCs w:val="22"/>
                    </w:rPr>
                  </w:pPr>
                </w:p>
                <w:p w14:paraId="2D4F184B" w14:textId="66505858" w:rsidR="00435464" w:rsidRPr="00F265DC" w:rsidRDefault="00435464" w:rsidP="00435464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28BB3669" w14:textId="77777777" w:rsidR="001D2B57" w:rsidRDefault="001D2B57" w:rsidP="001D2B57">
            <w:pPr>
              <w:pStyle w:val="Akapitzlist"/>
              <w:spacing w:after="40"/>
              <w:ind w:left="0"/>
              <w:jc w:val="both"/>
              <w:rPr>
                <w:b/>
                <w:sz w:val="22"/>
                <w:szCs w:val="22"/>
              </w:rPr>
            </w:pPr>
          </w:p>
          <w:p w14:paraId="72232A98" w14:textId="1D7B92CB" w:rsidR="00894A00" w:rsidRDefault="00435464" w:rsidP="001D2B57">
            <w:pPr>
              <w:pStyle w:val="Akapitzlist"/>
              <w:spacing w:after="40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Tabela B: zamówienie w ramach „prawa opcji”</w:t>
            </w:r>
          </w:p>
          <w:tbl>
            <w:tblPr>
              <w:tblW w:w="9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4533"/>
              <w:gridCol w:w="1276"/>
              <w:gridCol w:w="1418"/>
              <w:gridCol w:w="1417"/>
            </w:tblGrid>
            <w:tr w:rsidR="00EE1896" w:rsidRPr="00267B7B" w14:paraId="7130AA9E" w14:textId="77777777" w:rsidTr="00EE1896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D29CA75" w14:textId="77777777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1748A04E" w14:textId="77777777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583A93D8" w14:textId="1FCD34A6" w:rsidR="00EE1896" w:rsidRPr="00B43A3D" w:rsidRDefault="00EE1896" w:rsidP="00EE1896">
                  <w:pPr>
                    <w:spacing w:after="40"/>
                    <w:ind w:left="-106" w:firstLine="2"/>
                    <w:jc w:val="center"/>
                    <w:rPr>
                      <w:i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sz w:val="20"/>
                      <w:szCs w:val="20"/>
                    </w:rPr>
                    <w:t>JM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66231FC9" w14:textId="06138F46" w:rsidR="00EE1896" w:rsidRPr="00267B7B" w:rsidRDefault="00C24C35" w:rsidP="00C24C35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Cena jednostk.</w:t>
                  </w:r>
                  <w:r w:rsidR="00EE1896">
                    <w:rPr>
                      <w:b/>
                      <w:sz w:val="20"/>
                      <w:szCs w:val="20"/>
                    </w:rPr>
                    <w:br/>
                  </w:r>
                  <w:r w:rsidR="00EE1896" w:rsidRPr="00267B7B">
                    <w:rPr>
                      <w:b/>
                      <w:sz w:val="20"/>
                      <w:szCs w:val="20"/>
                    </w:rPr>
                    <w:t>[zł brutto]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6C875A0D" w14:textId="53553517" w:rsidR="00EE1896" w:rsidRPr="00267B7B" w:rsidRDefault="00EE1896" w:rsidP="00EE1896">
                  <w:pPr>
                    <w:spacing w:after="40"/>
                    <w:ind w:left="33" w:hanging="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Łączna cena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67B7B">
                    <w:rPr>
                      <w:b/>
                      <w:sz w:val="20"/>
                      <w:szCs w:val="20"/>
                    </w:rPr>
                    <w:t>[zł brutto]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br/>
                  </w:r>
                  <w:r w:rsidRPr="00267B7B">
                    <w:rPr>
                      <w:b/>
                      <w:sz w:val="20"/>
                      <w:szCs w:val="20"/>
                    </w:rPr>
                    <w:t>(D x E)</w:t>
                  </w:r>
                </w:p>
              </w:tc>
            </w:tr>
            <w:tr w:rsidR="00EE1896" w:rsidRPr="00267B7B" w14:paraId="2FD896FB" w14:textId="77777777" w:rsidTr="00EE1896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30E687B" w14:textId="77777777" w:rsidR="00EE1896" w:rsidRPr="00267B7B" w:rsidRDefault="00EE1896" w:rsidP="00EE1896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0ACB24E8" w14:textId="77777777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2E539340" w14:textId="3BD9AE24" w:rsidR="00EE1896" w:rsidRPr="00B43A3D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  <w:highlight w:val="yellow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5744D637" w14:textId="28FA5D9E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06DADF44" w14:textId="27E63544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7B7B">
                    <w:rPr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EE1896" w:rsidRPr="00F265DC" w14:paraId="6BA21030" w14:textId="77777777" w:rsidTr="00EE1896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324F241" w14:textId="77777777" w:rsidR="00EE1896" w:rsidRPr="00802D83" w:rsidRDefault="00EE1896" w:rsidP="00EE1896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5B6E5DA3" w14:textId="104FBE45" w:rsidR="00EE1896" w:rsidRPr="00267B7B" w:rsidRDefault="00EE1896" w:rsidP="00EE189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>
                    <w:rPr>
                      <w:sz w:val="22"/>
                      <w:szCs w:val="22"/>
                    </w:rPr>
                    <w:t xml:space="preserve">Dostawa licencji </w:t>
                  </w:r>
                  <w:r w:rsidRPr="00B835C7">
                    <w:rPr>
                      <w:sz w:val="22"/>
                      <w:szCs w:val="22"/>
                    </w:rPr>
                    <w:t>tenan</w:t>
                  </w:r>
                  <w:r>
                    <w:rPr>
                      <w:sz w:val="22"/>
                      <w:szCs w:val="22"/>
                    </w:rPr>
                    <w:t>ta do Azure AD dla ADAudit Plus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40B0EA2" w14:textId="2E64AD22" w:rsidR="00EE1896" w:rsidRPr="00B43A3D" w:rsidRDefault="00EE1896" w:rsidP="00EE1896">
                  <w:pPr>
                    <w:spacing w:after="40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267B7B"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273D1D38" w14:textId="6752ABCB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417" w:type="dxa"/>
                  <w:vAlign w:val="center"/>
                </w:tcPr>
                <w:p w14:paraId="6E96A1F1" w14:textId="69957EA8" w:rsidR="00EE1896" w:rsidRPr="00267B7B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EE1896" w:rsidRPr="00F265DC" w14:paraId="4A9E3345" w14:textId="77777777" w:rsidTr="00844657">
              <w:trPr>
                <w:trHeight w:val="8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354029D" w14:textId="77777777" w:rsidR="00EE1896" w:rsidRPr="00802D83" w:rsidRDefault="00EE1896" w:rsidP="00EE1896">
                  <w:pPr>
                    <w:spacing w:after="40"/>
                    <w:rPr>
                      <w:sz w:val="22"/>
                      <w:szCs w:val="22"/>
                    </w:rPr>
                  </w:pPr>
                  <w:r w:rsidRPr="00802D83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08F52093" w14:textId="4C1D200F" w:rsidR="00EE1896" w:rsidRPr="00267B7B" w:rsidRDefault="00EE1896" w:rsidP="00EE1896">
                  <w:pPr>
                    <w:spacing w:after="40"/>
                    <w:rPr>
                      <w:b/>
                      <w:sz w:val="22"/>
                      <w:szCs w:val="22"/>
                      <w:highlight w:val="cyan"/>
                    </w:rPr>
                  </w:pPr>
                  <w:r w:rsidRPr="00B835C7">
                    <w:rPr>
                      <w:sz w:val="22"/>
                      <w:szCs w:val="22"/>
                    </w:rPr>
                    <w:t xml:space="preserve">Zapewnienie </w:t>
                  </w:r>
                  <w:r>
                    <w:rPr>
                      <w:sz w:val="22"/>
                      <w:szCs w:val="22"/>
                    </w:rPr>
                    <w:t xml:space="preserve">maksymalnie </w:t>
                  </w:r>
                  <w:r w:rsidR="00844657">
                    <w:rPr>
                      <w:sz w:val="22"/>
                      <w:szCs w:val="22"/>
                    </w:rPr>
                    <w:t xml:space="preserve">36 miesięcznego </w:t>
                  </w:r>
                  <w:r w:rsidRPr="00B835C7">
                    <w:rPr>
                      <w:sz w:val="22"/>
                      <w:szCs w:val="22"/>
                    </w:rPr>
                    <w:t>wsparcia producenta dla dostarczonych licenc</w:t>
                  </w:r>
                  <w:r>
                    <w:rPr>
                      <w:sz w:val="22"/>
                      <w:szCs w:val="22"/>
                    </w:rPr>
                    <w:t>ji tenanta do Azure AD dla ADAudit Plus.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EEF4B38" w14:textId="296CDCA4" w:rsidR="00EE1896" w:rsidRPr="00EE1896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>
                    <w:rPr>
                      <w:sz w:val="22"/>
                      <w:szCs w:val="22"/>
                    </w:rPr>
                    <w:t>36 m-cy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7D257670" w14:textId="080C6919" w:rsidR="00EE1896" w:rsidRPr="00267B7B" w:rsidRDefault="00EE1896" w:rsidP="00EE1896">
                  <w:pPr>
                    <w:spacing w:after="40"/>
                    <w:ind w:left="32" w:hanging="76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13D9163" w14:textId="5F288B91" w:rsidR="00EE1896" w:rsidRPr="00F265DC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 w:rsidRPr="00137286">
                    <w:rPr>
                      <w:sz w:val="22"/>
                      <w:szCs w:val="22"/>
                    </w:rPr>
                    <w:t>………….</w:t>
                  </w:r>
                </w:p>
              </w:tc>
            </w:tr>
            <w:tr w:rsidR="00EE1896" w:rsidRPr="00F265DC" w14:paraId="1FAA849F" w14:textId="77777777" w:rsidTr="00844657">
              <w:trPr>
                <w:trHeight w:val="840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3109E22C" w14:textId="1B72EB9B" w:rsidR="00EE1896" w:rsidRPr="00802D83" w:rsidRDefault="00EE1896" w:rsidP="00EE1896">
                  <w:pPr>
                    <w:spacing w:after="4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63367C63" w14:textId="5F6273CC" w:rsidR="00EE1896" w:rsidRPr="00B835C7" w:rsidRDefault="00EE1896" w:rsidP="00EE1896">
                  <w:pPr>
                    <w:spacing w:after="40"/>
                    <w:rPr>
                      <w:sz w:val="22"/>
                      <w:szCs w:val="22"/>
                    </w:rPr>
                  </w:pPr>
                  <w:r w:rsidRPr="00EE1896">
                    <w:rPr>
                      <w:sz w:val="22"/>
                      <w:szCs w:val="22"/>
                    </w:rPr>
                    <w:t xml:space="preserve">Zapewnienie maksymalnie 36 miesięcznego wsparcia Wykonawcy dla zakupionej licencji określonej w pkt </w:t>
                  </w:r>
                  <w:r w:rsidRPr="00B96A00">
                    <w:rPr>
                      <w:sz w:val="22"/>
                      <w:szCs w:val="22"/>
                    </w:rPr>
                    <w:t>1</w:t>
                  </w:r>
                  <w:r w:rsidRPr="00EE1896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C4EC9F7" w14:textId="0D7DD3CF" w:rsidR="00EE1896" w:rsidRPr="00EE1896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  <w:r w:rsidRPr="00EE1896">
                    <w:rPr>
                      <w:sz w:val="22"/>
                      <w:szCs w:val="22"/>
                    </w:rPr>
                    <w:t>36</w:t>
                  </w:r>
                  <w:r>
                    <w:rPr>
                      <w:sz w:val="22"/>
                      <w:szCs w:val="22"/>
                    </w:rPr>
                    <w:t xml:space="preserve"> m-cy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  <w:vAlign w:val="center"/>
                </w:tcPr>
                <w:p w14:paraId="35A6E711" w14:textId="7746F0A4" w:rsidR="00EE1896" w:rsidRDefault="00EE1896" w:rsidP="00EE1896">
                  <w:pPr>
                    <w:spacing w:after="40"/>
                    <w:ind w:left="32" w:hanging="76"/>
                    <w:jc w:val="center"/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417" w:type="dxa"/>
                  <w:vAlign w:val="center"/>
                </w:tcPr>
                <w:p w14:paraId="0466804F" w14:textId="77777777" w:rsidR="00844657" w:rsidRDefault="00844657" w:rsidP="00EE189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78AC8F3" w14:textId="1D9F5402" w:rsidR="00EE1896" w:rsidRDefault="00EE1896" w:rsidP="00EE189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…………..</w:t>
                  </w:r>
                </w:p>
                <w:p w14:paraId="5EFB44F3" w14:textId="7FE7C4BC" w:rsidR="00EE1896" w:rsidRPr="00137286" w:rsidRDefault="00EE1896" w:rsidP="00EE1896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E1896" w:rsidRPr="00F265DC" w14:paraId="35FE0C8F" w14:textId="77777777" w:rsidTr="00EE1896">
              <w:trPr>
                <w:trHeight w:val="701"/>
              </w:trPr>
              <w:tc>
                <w:tcPr>
                  <w:tcW w:w="7689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3C836A3D" w14:textId="77777777" w:rsidR="00EE1896" w:rsidRPr="00F265DC" w:rsidRDefault="00EE1896" w:rsidP="00EE1896">
                  <w:pPr>
                    <w:spacing w:after="40"/>
                    <w:ind w:left="317" w:hanging="317"/>
                    <w:jc w:val="right"/>
                    <w:rPr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RAZEM [zł brutto]</w:t>
                  </w:r>
                  <w:r w:rsidRPr="00F265DC">
                    <w:rPr>
                      <w:sz w:val="22"/>
                      <w:szCs w:val="22"/>
                    </w:rPr>
                    <w:t>:</w:t>
                  </w:r>
                </w:p>
                <w:p w14:paraId="4798F8FD" w14:textId="50824FF7" w:rsidR="00EE1896" w:rsidRDefault="00EE1896" w:rsidP="00EE1896">
                  <w:pPr>
                    <w:spacing w:after="40"/>
                    <w:ind w:left="32" w:hanging="76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(1+2+3)</w:t>
                  </w:r>
                </w:p>
              </w:tc>
              <w:tc>
                <w:tcPr>
                  <w:tcW w:w="1417" w:type="dxa"/>
                  <w:vAlign w:val="center"/>
                </w:tcPr>
                <w:p w14:paraId="5294EABC" w14:textId="52DB5466" w:rsidR="00EE1896" w:rsidRPr="00EE1896" w:rsidRDefault="00EE1896" w:rsidP="00EE189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E1896">
                    <w:rPr>
                      <w:b/>
                      <w:sz w:val="22"/>
                      <w:szCs w:val="22"/>
                    </w:rPr>
                    <w:t>…………...</w:t>
                  </w:r>
                </w:p>
              </w:tc>
            </w:tr>
          </w:tbl>
          <w:p w14:paraId="1033A52A" w14:textId="4DCE81EE" w:rsidR="00B96A00" w:rsidRPr="00C24C35" w:rsidRDefault="00B43A3D" w:rsidP="00B96A00">
            <w:pPr>
              <w:pStyle w:val="Akapitzlist"/>
              <w:spacing w:before="80" w:after="40" w:line="276" w:lineRule="auto"/>
              <w:ind w:left="31"/>
              <w:contextualSpacing/>
              <w:jc w:val="both"/>
              <w:rPr>
                <w:i/>
                <w:sz w:val="20"/>
                <w:szCs w:val="20"/>
              </w:rPr>
            </w:pPr>
            <w:r w:rsidRPr="00C24C35">
              <w:rPr>
                <w:b/>
                <w:i/>
                <w:sz w:val="20"/>
                <w:szCs w:val="20"/>
              </w:rPr>
              <w:t xml:space="preserve">*** </w:t>
            </w:r>
            <w:r w:rsidR="00B96A00" w:rsidRPr="00C24C35">
              <w:rPr>
                <w:i/>
                <w:sz w:val="20"/>
                <w:szCs w:val="20"/>
              </w:rPr>
              <w:t>Zamówienie w ramach „prawa opcji” będzie realizowane od dnia dostarczenia</w:t>
            </w:r>
            <w:r w:rsidR="00844657" w:rsidRPr="00C24C35">
              <w:rPr>
                <w:i/>
                <w:sz w:val="20"/>
                <w:szCs w:val="20"/>
              </w:rPr>
              <w:t xml:space="preserve"> zamówienia w ramach „prawa opcji”</w:t>
            </w:r>
            <w:r w:rsidR="00B96A00" w:rsidRPr="00C24C35">
              <w:rPr>
                <w:i/>
                <w:sz w:val="20"/>
                <w:szCs w:val="20"/>
              </w:rPr>
              <w:t xml:space="preserve"> do dnia zakończenia świadczenia usługi zamówienia obligatoryjnego.</w:t>
            </w:r>
          </w:p>
          <w:p w14:paraId="065B7922" w14:textId="77777777" w:rsidR="00844657" w:rsidRPr="00844657" w:rsidRDefault="00844657" w:rsidP="00C24C35">
            <w:pPr>
              <w:pStyle w:val="Akapitzlist"/>
              <w:spacing w:before="80"/>
              <w:ind w:left="28"/>
              <w:contextualSpacing/>
              <w:jc w:val="both"/>
              <w:rPr>
                <w:i/>
                <w:highlight w:val="yellow"/>
              </w:rPr>
            </w:pPr>
          </w:p>
          <w:p w14:paraId="658DD65A" w14:textId="1B67A49F" w:rsidR="00076A35" w:rsidRPr="00F265DC" w:rsidRDefault="00521661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Formularz terminu dostawy</w:t>
            </w:r>
            <w:r w:rsidR="00DB4FD6" w:rsidRPr="00F265DC">
              <w:rPr>
                <w:b/>
                <w:sz w:val="22"/>
                <w:szCs w:val="22"/>
              </w:rPr>
              <w:t xml:space="preserve"> licencji</w:t>
            </w:r>
            <w:r w:rsidRPr="00F265DC">
              <w:rPr>
                <w:b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F315FD" w:rsidRPr="00EA6144" w14:paraId="21375491" w14:textId="77777777" w:rsidTr="00C24C35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0D652FF6" w14:textId="7777777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DEDAE1B" w14:textId="31306707" w:rsidR="00F315FD" w:rsidRPr="00F265DC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OFEROWANY TERMIN DOSTAWY *</w:t>
                  </w:r>
                  <w:r w:rsidR="00B43A3D">
                    <w:rPr>
                      <w:b/>
                      <w:sz w:val="22"/>
                      <w:szCs w:val="22"/>
                    </w:rPr>
                    <w:t>*</w:t>
                  </w:r>
                  <w:r w:rsidRPr="00F265DC">
                    <w:rPr>
                      <w:b/>
                      <w:sz w:val="22"/>
                      <w:szCs w:val="22"/>
                    </w:rPr>
                    <w:t xml:space="preserve">* </w:t>
                  </w:r>
                </w:p>
                <w:p w14:paraId="223D356D" w14:textId="6571BCD8" w:rsidR="00F315FD" w:rsidRPr="00C24C35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24C35">
                    <w:rPr>
                      <w:sz w:val="22"/>
                      <w:szCs w:val="22"/>
                    </w:rPr>
                    <w:t>(§ 3 ust. 2 pkt 1)</w:t>
                  </w:r>
                  <w:r w:rsidR="00C627C5" w:rsidRPr="00C24C35">
                    <w:rPr>
                      <w:sz w:val="22"/>
                      <w:szCs w:val="22"/>
                    </w:rPr>
                    <w:t xml:space="preserve"> </w:t>
                  </w:r>
                  <w:r w:rsidR="00C24C35" w:rsidRPr="00C24C35">
                    <w:rPr>
                      <w:sz w:val="22"/>
                      <w:szCs w:val="22"/>
                    </w:rPr>
                    <w:t xml:space="preserve">oraz § 3 ust. 2  pkt 3) lit. a) </w:t>
                  </w:r>
                  <w:r w:rsidR="00C627C5" w:rsidRPr="00C24C35">
                    <w:rPr>
                      <w:sz w:val="22"/>
                      <w:szCs w:val="22"/>
                    </w:rPr>
                    <w:t>Projektu</w:t>
                  </w:r>
                  <w:r w:rsidRPr="00C24C35">
                    <w:rPr>
                      <w:sz w:val="22"/>
                      <w:szCs w:val="22"/>
                    </w:rPr>
                    <w:t xml:space="preserve"> Umowy)</w:t>
                  </w:r>
                  <w:r w:rsidRPr="00C24C35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315FD" w:rsidRPr="009E0D8A" w14:paraId="7BC81391" w14:textId="77777777" w:rsidTr="00C24C35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2B3FA77" w14:textId="739AAC64" w:rsidR="00F315FD" w:rsidRPr="00F265DC" w:rsidRDefault="00DB4FD6" w:rsidP="00F315FD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F265DC">
                    <w:rPr>
                      <w:b/>
                      <w:sz w:val="22"/>
                      <w:szCs w:val="22"/>
                    </w:rPr>
                    <w:t>Oferujemy termin realizacji dostawy licencji oraz dokumentów potwierdzających ich dostawę</w:t>
                  </w:r>
                  <w:r w:rsidR="00E635F5" w:rsidRPr="00F265DC">
                    <w:rPr>
                      <w:b/>
                      <w:sz w:val="22"/>
                      <w:szCs w:val="22"/>
                    </w:rPr>
                    <w:t xml:space="preserve"> i wykupienie usług wsparć</w:t>
                  </w:r>
                </w:p>
              </w:tc>
              <w:tc>
                <w:tcPr>
                  <w:tcW w:w="4560" w:type="dxa"/>
                  <w:vAlign w:val="center"/>
                </w:tcPr>
                <w:p w14:paraId="2D9CA57C" w14:textId="77777777" w:rsidR="00B3429B" w:rsidRPr="00F265DC" w:rsidRDefault="00B3429B" w:rsidP="00B3429B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6D85625B" w14:textId="05B242DB" w:rsidR="00F315FD" w:rsidRPr="00F265DC" w:rsidRDefault="00C24C35" w:rsidP="00B3429B">
                  <w:pPr>
                    <w:spacing w:after="40"/>
                    <w:ind w:left="317" w:hanging="31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..</w:t>
                  </w:r>
                  <w:r w:rsidR="00F315FD" w:rsidRPr="00F265DC">
                    <w:rPr>
                      <w:b/>
                      <w:sz w:val="22"/>
                      <w:szCs w:val="22"/>
                    </w:rPr>
                    <w:t>…</w:t>
                  </w:r>
                  <w:r w:rsidR="00F315FD" w:rsidRPr="00F265DC">
                    <w:rPr>
                      <w:sz w:val="22"/>
                      <w:szCs w:val="22"/>
                    </w:rPr>
                    <w:t xml:space="preserve"> dni </w:t>
                  </w:r>
                  <w:r w:rsidR="00DB4FD6" w:rsidRPr="00F265DC">
                    <w:rPr>
                      <w:sz w:val="22"/>
                      <w:szCs w:val="22"/>
                    </w:rPr>
                    <w:t>roboczych</w:t>
                  </w:r>
                  <w:r w:rsidR="00F315FD" w:rsidRPr="00F265DC">
                    <w:rPr>
                      <w:sz w:val="22"/>
                      <w:szCs w:val="22"/>
                    </w:rPr>
                    <w:t xml:space="preserve"> od dnia zawarcia Umowy</w:t>
                  </w:r>
                </w:p>
                <w:p w14:paraId="311B34DF" w14:textId="77777777" w:rsidR="00F315FD" w:rsidRPr="00F265DC" w:rsidRDefault="00F315FD" w:rsidP="00F315FD">
                  <w:pPr>
                    <w:spacing w:after="40"/>
                    <w:ind w:left="317" w:hanging="317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5A3A998" w14:textId="77777777" w:rsidR="00F315FD" w:rsidRPr="009E0D8A" w:rsidRDefault="00F315FD" w:rsidP="005B7B48">
            <w:pPr>
              <w:ind w:left="34"/>
              <w:jc w:val="both"/>
              <w:rPr>
                <w:i/>
              </w:rPr>
            </w:pPr>
          </w:p>
          <w:p w14:paraId="32AE193E" w14:textId="759BC8C9" w:rsidR="00F315FD" w:rsidRDefault="00F315FD" w:rsidP="00A25C05">
            <w:pPr>
              <w:spacing w:afterLines="60" w:after="144" w:line="276" w:lineRule="auto"/>
              <w:ind w:left="173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DB4FD6">
              <w:rPr>
                <w:i/>
                <w:sz w:val="20"/>
                <w:szCs w:val="20"/>
              </w:rPr>
              <w:t>*</w:t>
            </w:r>
            <w:r w:rsidR="00B43A3D">
              <w:rPr>
                <w:i/>
                <w:sz w:val="20"/>
                <w:szCs w:val="20"/>
              </w:rPr>
              <w:t>*</w:t>
            </w:r>
            <w:r w:rsidRPr="00DB4FD6">
              <w:rPr>
                <w:i/>
                <w:sz w:val="20"/>
                <w:szCs w:val="20"/>
              </w:rPr>
              <w:t xml:space="preserve">* </w:t>
            </w:r>
            <w:r w:rsidR="00DB4FD6" w:rsidRPr="00DB4FD6">
              <w:rPr>
                <w:i/>
                <w:sz w:val="20"/>
                <w:szCs w:val="20"/>
              </w:rPr>
              <w:t xml:space="preserve">Wykonawca </w:t>
            </w:r>
            <w:r w:rsidR="00A25C05" w:rsidRPr="00A25C05">
              <w:rPr>
                <w:i/>
                <w:sz w:val="20"/>
                <w:szCs w:val="20"/>
              </w:rPr>
              <w:t>może podać jeden z terminów: do 3 roboczych lub od 4 do 7 dni roboczych od dnia zawarcia Umowy. Wykonawca może wskazać w formularzu oferty tylko jeden z powyższych terminów. Brak deklaracji w ofercie będzie uznany przez Zamawiającego jako termin dostawy od 4 do 7 dni roboczych. W przypadku zaoferowania terminu dłuższego niż 7 dni roboczych, będzie skutkować odrzuceniem oferty na podstawie art. 226 ust. 1 pkt 5) ustawy Pzp. Wskazane terminy w ofercie będą obowiązywać Wykonawcę przy realizacji zamówienia.</w:t>
            </w:r>
            <w:r w:rsidR="00A25C05">
              <w:rPr>
                <w:i/>
                <w:sz w:val="20"/>
                <w:szCs w:val="20"/>
              </w:rPr>
              <w:t xml:space="preserve">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DB4FD6" w:rsidRPr="00B835C7">
              <w:rPr>
                <w:b/>
                <w:i/>
                <w:sz w:val="20"/>
                <w:szCs w:val="20"/>
                <w:u w:val="single"/>
              </w:rPr>
              <w:t>wynosi 1</w:t>
            </w:r>
            <w:r w:rsidRPr="00B835C7">
              <w:rPr>
                <w:b/>
                <w:i/>
                <w:sz w:val="20"/>
                <w:szCs w:val="20"/>
                <w:u w:val="single"/>
              </w:rPr>
              <w:t>0%, Wyk</w:t>
            </w:r>
            <w:r w:rsidR="00DB4FD6" w:rsidRPr="00B835C7">
              <w:rPr>
                <w:b/>
                <w:i/>
                <w:sz w:val="20"/>
                <w:szCs w:val="20"/>
                <w:u w:val="single"/>
              </w:rPr>
              <w:t>onawca może zdobyć maksymalnie 1</w:t>
            </w:r>
            <w:r w:rsidRPr="00B835C7">
              <w:rPr>
                <w:b/>
                <w:i/>
                <w:sz w:val="20"/>
                <w:szCs w:val="20"/>
                <w:u w:val="single"/>
              </w:rPr>
              <w:t>0 pkt. Opis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 obliczenia wyniku pkt dla tego kryteriów zaw</w:t>
            </w:r>
            <w:r w:rsidR="006C0785" w:rsidRPr="00DB4FD6">
              <w:rPr>
                <w:b/>
                <w:i/>
                <w:sz w:val="20"/>
                <w:szCs w:val="20"/>
                <w:u w:val="single"/>
              </w:rPr>
              <w:t>iera S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5C0B1E03" w14:textId="77777777" w:rsidR="00DB4FD6" w:rsidRDefault="00DB4FD6" w:rsidP="001D2B57">
            <w:pPr>
              <w:ind w:left="318" w:hanging="318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318B45AA" w14:textId="72C393B9" w:rsidR="00DB4FD6" w:rsidRPr="00B835C7" w:rsidRDefault="00B835C7" w:rsidP="00DB4FD6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b/>
                <w:sz w:val="22"/>
                <w:szCs w:val="22"/>
              </w:rPr>
            </w:pPr>
            <w:r w:rsidRPr="00B835C7">
              <w:rPr>
                <w:b/>
                <w:sz w:val="22"/>
                <w:szCs w:val="22"/>
              </w:rPr>
              <w:t>Zapewnienie asysty technicznej: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5"/>
              <w:gridCol w:w="5833"/>
            </w:tblGrid>
            <w:tr w:rsidR="00DB4FD6" w:rsidRPr="00B835C7" w14:paraId="3248F741" w14:textId="77777777" w:rsidTr="001D2B57">
              <w:trPr>
                <w:trHeight w:val="421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46FC45CD" w14:textId="77777777" w:rsidR="00DB4FD6" w:rsidRPr="00B835C7" w:rsidRDefault="00DB4FD6" w:rsidP="00DB4FD6">
                  <w:pPr>
                    <w:spacing w:after="40"/>
                    <w:ind w:left="317" w:hanging="3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833" w:type="dxa"/>
                  <w:vAlign w:val="center"/>
                </w:tcPr>
                <w:p w14:paraId="685F7CF0" w14:textId="2461DB3A" w:rsidR="00DB4FD6" w:rsidRPr="00B835C7" w:rsidRDefault="00B835C7" w:rsidP="00E635F5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 xml:space="preserve">Oferujemy zapewnienie asysty technicznej </w:t>
                  </w:r>
                  <w:r w:rsidR="00B43A3D">
                    <w:rPr>
                      <w:b/>
                      <w:sz w:val="22"/>
                      <w:szCs w:val="22"/>
                    </w:rPr>
                    <w:br/>
                  </w:r>
                  <w:r w:rsidRPr="00B835C7">
                    <w:rPr>
                      <w:b/>
                      <w:sz w:val="22"/>
                      <w:szCs w:val="22"/>
                    </w:rPr>
                    <w:t>w wymiarze</w:t>
                  </w:r>
                  <w:r>
                    <w:rPr>
                      <w:b/>
                      <w:sz w:val="22"/>
                      <w:szCs w:val="22"/>
                    </w:rPr>
                    <w:t>*</w:t>
                  </w:r>
                  <w:r w:rsidR="00B43A3D">
                    <w:rPr>
                      <w:b/>
                      <w:sz w:val="22"/>
                      <w:szCs w:val="22"/>
                    </w:rPr>
                    <w:t>*</w:t>
                  </w:r>
                  <w:r>
                    <w:rPr>
                      <w:b/>
                      <w:sz w:val="22"/>
                      <w:szCs w:val="22"/>
                    </w:rPr>
                    <w:t>**</w:t>
                  </w:r>
                  <w:r w:rsidRPr="00B835C7">
                    <w:rPr>
                      <w:b/>
                      <w:sz w:val="22"/>
                      <w:szCs w:val="22"/>
                    </w:rPr>
                    <w:t>:</w:t>
                  </w:r>
                  <w:r w:rsidR="0033121F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33121F" w:rsidRPr="0033121F">
                    <w:rPr>
                      <w:sz w:val="22"/>
                      <w:szCs w:val="22"/>
                    </w:rPr>
                    <w:t>(§ 3 ust. 2 pkt 4 Projektu Umowy)</w:t>
                  </w:r>
                </w:p>
              </w:tc>
            </w:tr>
            <w:tr w:rsidR="00DB4FD6" w:rsidRPr="00B835C7" w14:paraId="6AB8F17A" w14:textId="77777777" w:rsidTr="001D2B57">
              <w:trPr>
                <w:trHeight w:val="555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344239F4" w14:textId="24C94CDB" w:rsidR="00DB4FD6" w:rsidRPr="00B835C7" w:rsidRDefault="00B835C7" w:rsidP="00B835C7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0 godzin zegarowych</w:t>
                  </w:r>
                </w:p>
              </w:tc>
              <w:tc>
                <w:tcPr>
                  <w:tcW w:w="5833" w:type="dxa"/>
                  <w:vAlign w:val="center"/>
                </w:tcPr>
                <w:p w14:paraId="5B0505B6" w14:textId="163282C5" w:rsidR="00DB4FD6" w:rsidRPr="00B835C7" w:rsidRDefault="00DB4FD6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  <w:tr w:rsidR="00B835C7" w:rsidRPr="00B835C7" w14:paraId="12B289E2" w14:textId="77777777" w:rsidTr="001D2B57">
              <w:trPr>
                <w:trHeight w:val="557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6398B6DE" w14:textId="5519F2C8" w:rsidR="00B835C7" w:rsidRPr="00B835C7" w:rsidRDefault="00B835C7" w:rsidP="00B835C7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16 godzin zegarowych</w:t>
                  </w:r>
                </w:p>
              </w:tc>
              <w:tc>
                <w:tcPr>
                  <w:tcW w:w="5833" w:type="dxa"/>
                  <w:vAlign w:val="center"/>
                </w:tcPr>
                <w:p w14:paraId="74AC57D5" w14:textId="77777777" w:rsidR="00B835C7" w:rsidRPr="00B835C7" w:rsidRDefault="00B835C7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  <w:tr w:rsidR="00B835C7" w:rsidRPr="009E0D8A" w14:paraId="0E28D449" w14:textId="77777777" w:rsidTr="001D2B57">
              <w:trPr>
                <w:trHeight w:val="551"/>
              </w:trPr>
              <w:tc>
                <w:tcPr>
                  <w:tcW w:w="3155" w:type="dxa"/>
                  <w:shd w:val="pct10" w:color="auto" w:fill="auto"/>
                  <w:vAlign w:val="center"/>
                </w:tcPr>
                <w:p w14:paraId="6D645BC1" w14:textId="28C389C1" w:rsidR="00B835C7" w:rsidRPr="00B835C7" w:rsidRDefault="00B835C7" w:rsidP="00B835C7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 w:rsidRPr="00B835C7">
                    <w:rPr>
                      <w:b/>
                      <w:sz w:val="22"/>
                      <w:szCs w:val="22"/>
                    </w:rPr>
                    <w:t>32 godziny zegarowe</w:t>
                  </w:r>
                </w:p>
              </w:tc>
              <w:tc>
                <w:tcPr>
                  <w:tcW w:w="5833" w:type="dxa"/>
                  <w:vAlign w:val="center"/>
                </w:tcPr>
                <w:p w14:paraId="3E20DF71" w14:textId="77777777" w:rsidR="00B835C7" w:rsidRPr="00B835C7" w:rsidRDefault="00B835C7" w:rsidP="001D2B57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</w:p>
              </w:tc>
            </w:tr>
          </w:tbl>
          <w:p w14:paraId="45349DD2" w14:textId="77777777" w:rsidR="00A25C05" w:rsidRDefault="00B3429B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  <w:r w:rsidRPr="001D2B57">
              <w:rPr>
                <w:b/>
                <w:i/>
                <w:sz w:val="20"/>
                <w:szCs w:val="20"/>
              </w:rPr>
              <w:t>**</w:t>
            </w:r>
            <w:r w:rsidR="00B43A3D">
              <w:rPr>
                <w:b/>
                <w:i/>
                <w:sz w:val="20"/>
                <w:szCs w:val="20"/>
              </w:rPr>
              <w:t>*</w:t>
            </w:r>
            <w:r w:rsidRPr="001D2B57">
              <w:rPr>
                <w:b/>
                <w:i/>
                <w:sz w:val="20"/>
                <w:szCs w:val="20"/>
              </w:rPr>
              <w:t xml:space="preserve">* </w:t>
            </w:r>
            <w:r w:rsidR="00B835C7" w:rsidRPr="001D2B57">
              <w:rPr>
                <w:b/>
                <w:i/>
                <w:sz w:val="20"/>
                <w:szCs w:val="20"/>
              </w:rPr>
              <w:t>TAK – zapewniam, NIE – nie zapewniam</w:t>
            </w:r>
            <w:r w:rsidR="001D2B57">
              <w:rPr>
                <w:i/>
                <w:sz w:val="20"/>
                <w:szCs w:val="20"/>
              </w:rPr>
              <w:t xml:space="preserve">. </w:t>
            </w:r>
          </w:p>
          <w:p w14:paraId="761BDD1B" w14:textId="77103E58" w:rsidR="00F315FD" w:rsidRPr="001D2B57" w:rsidRDefault="00B835C7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  <w:r w:rsidRPr="00B835C7">
              <w:rPr>
                <w:i/>
                <w:sz w:val="20"/>
                <w:szCs w:val="20"/>
              </w:rPr>
              <w:t xml:space="preserve">Wykonawca może podać jeden z terminów: 0, 16 lub 32 godziny zegarowe. W przypadku gdy Wykonawca nie poda żadnego terminu lub wskaże 0 godzin zegarowych Zamawiający przyzna ofercie 0 pkt. W przypadku zaoferowania terminu 32 godzin zegarowych Zamawiający przyzna ofercie 30 pkt. W przypadku wskazania przez Wykonawcę terminu 16 godzin zegarowych Zamawiający przyzna ofercie 10 pkt. Wskazane terminy będą obowiązywać wykonawcę przy realizacji zamówienia. </w:t>
            </w:r>
            <w:r w:rsidRPr="001D2B57">
              <w:rPr>
                <w:b/>
                <w:i/>
                <w:sz w:val="20"/>
                <w:szCs w:val="20"/>
                <w:u w:val="single"/>
              </w:rPr>
              <w:t>W</w:t>
            </w:r>
            <w:r w:rsidR="00B3429B" w:rsidRPr="001D2B57">
              <w:rPr>
                <w:b/>
                <w:i/>
                <w:sz w:val="20"/>
                <w:szCs w:val="20"/>
                <w:u w:val="single"/>
              </w:rPr>
              <w:t>a</w:t>
            </w:r>
            <w:r w:rsidR="00B3429B" w:rsidRPr="00B835C7">
              <w:rPr>
                <w:b/>
                <w:i/>
                <w:sz w:val="20"/>
                <w:szCs w:val="20"/>
                <w:u w:val="single"/>
              </w:rPr>
              <w:t>ga przedmiotowego kryterium wynosi 30%, Wykonawca może zdobyć maksymalnie 30 pkt. Opis obliczenia wyniku pkt dla tego kryteriów zawiera SWZ.</w:t>
            </w:r>
          </w:p>
        </w:tc>
      </w:tr>
      <w:tr w:rsidR="00F315FD" w:rsidRPr="009F4795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amówienie zostanie zrealizow</w:t>
            </w:r>
            <w:r w:rsidR="006C0785">
              <w:t>ane w terminach określonych w S</w:t>
            </w:r>
            <w:r w:rsidRPr="00355FCA">
              <w:t>WZ</w:t>
            </w:r>
            <w:r w:rsidR="00196C1A">
              <w:t>, ofercie</w:t>
            </w:r>
            <w:r w:rsidRPr="00355FCA">
              <w:t xml:space="preserve"> oraz </w:t>
            </w:r>
            <w:r>
              <w:t>w</w:t>
            </w:r>
            <w:r w:rsidR="00D21A19">
              <w:t xml:space="preserve"> projekcie</w:t>
            </w:r>
            <w:r w:rsidRPr="00355FCA">
              <w:t xml:space="preserve"> umowy;</w:t>
            </w:r>
          </w:p>
          <w:p w14:paraId="2313E051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W</w:t>
            </w:r>
            <w:r w:rsidRPr="00355FCA">
              <w:t xml:space="preserve"> cenie naszej oferty zostały uwzględnione wszystkie koszty wykonania zamówienia;</w:t>
            </w:r>
          </w:p>
          <w:p w14:paraId="4C9159AB" w14:textId="11B048B5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Z</w:t>
            </w:r>
            <w:r w:rsidRPr="00355FCA">
              <w:t>apoznaliś</w:t>
            </w:r>
            <w:r w:rsidR="006C0785">
              <w:t>my się ze Specyfikacją</w:t>
            </w:r>
            <w:r w:rsidR="00D21A19">
              <w:t xml:space="preserve"> Warunków Zamówienia oraz projektem</w:t>
            </w:r>
            <w:r w:rsidRPr="00355FCA">
              <w:t xml:space="preserve"> umowy i nie wnosimy do nich zastrzeżeń oraz przyjmujemy warunki w nich zawarte;</w:t>
            </w:r>
          </w:p>
          <w:p w14:paraId="7F29D194" w14:textId="77777777" w:rsidR="00F315FD" w:rsidRPr="00355FCA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</w:pPr>
            <w:r>
              <w:t>U</w:t>
            </w:r>
            <w:r w:rsidRPr="00355FCA">
              <w:t xml:space="preserve">ważamy się za związanych niniejszą ofertą na okres </w:t>
            </w:r>
            <w:r>
              <w:rPr>
                <w:b/>
              </w:rPr>
              <w:t>30</w:t>
            </w:r>
            <w:r w:rsidRPr="00355FCA">
              <w:rPr>
                <w:b/>
              </w:rPr>
              <w:t xml:space="preserve"> dni</w:t>
            </w:r>
            <w:r w:rsidRPr="00355FCA">
              <w:t xml:space="preserve"> licząc od dnia otwarcia ofert (włącznie z tym dniem);</w:t>
            </w:r>
          </w:p>
          <w:p w14:paraId="025A2084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W</w:t>
            </w:r>
            <w:r w:rsidRPr="00355FCA">
              <w:t>adium</w:t>
            </w:r>
            <w:r>
              <w:t xml:space="preserve"> </w:t>
            </w:r>
            <w:r w:rsidRPr="00355FCA">
              <w:t>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>
              <w:t>Oświadczamy, że wybór oferty:</w:t>
            </w:r>
          </w:p>
          <w:p w14:paraId="0BE24D61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03BF3259" w14:textId="77777777" w:rsidR="00F315FD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58FB24F9" w14:textId="77777777" w:rsidR="00F315FD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35C6377B" w14:textId="77777777" w:rsidR="00F315FD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104B270E" w14:textId="77777777" w:rsidR="00F315FD" w:rsidRPr="00665EA8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355FCA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55FCA" w:rsidRDefault="00F315FD" w:rsidP="00894A00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F315FD" w:rsidRPr="00E37F70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</w:t>
            </w:r>
            <w:r w:rsidRPr="00BE49E3">
              <w:t xml:space="preserve">obowiązujemy się do zawarcia umowy w miejscu i terminie </w:t>
            </w:r>
            <w:r>
              <w:t>wyznaczonym przez Zamawiającego,</w:t>
            </w:r>
          </w:p>
          <w:p w14:paraId="7936B6AA" w14:textId="1D108D3C" w:rsidR="00F315FD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Zobowiązujemy się do przygotowania wszystkich niezbędnych załączników do umowy,</w:t>
            </w:r>
            <w:r w:rsidR="006C0785">
              <w:t xml:space="preserve"> zgodnie z postanowieniami S</w:t>
            </w:r>
            <w:r w:rsidR="00D21A19">
              <w:t>WZ i Projektu</w:t>
            </w:r>
            <w:r>
              <w:t xml:space="preserve"> Umowy,</w:t>
            </w:r>
          </w:p>
          <w:p w14:paraId="430A8168" w14:textId="77777777" w:rsidR="00F315FD" w:rsidRPr="00BE49E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</w:pPr>
            <w:r>
              <w:t>O</w:t>
            </w:r>
            <w:r w:rsidRPr="00BE49E3">
              <w:t xml:space="preserve">sobą upoważnioną do kontaktów z Zamawiającym w sprawach dotyczących realizacji umowy jest </w:t>
            </w:r>
            <w:r>
              <w:t xml:space="preserve">(Koordynator Umowy  ze strony Wykonawcy): </w:t>
            </w:r>
            <w:r w:rsidRPr="00BE49E3">
              <w:t>............................................</w:t>
            </w:r>
          </w:p>
          <w:p w14:paraId="0513511F" w14:textId="77777777" w:rsidR="00F315FD" w:rsidRPr="00355FCA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1B1562F" w14:textId="77777777" w:rsidR="001D2B57" w:rsidRDefault="001D2B57" w:rsidP="00F315FD">
            <w:pPr>
              <w:pStyle w:val="Akapitzlist"/>
              <w:spacing w:after="40"/>
              <w:ind w:left="459"/>
              <w:contextualSpacing/>
            </w:pPr>
          </w:p>
          <w:p w14:paraId="28B6CCD5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5F72E660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0F337F40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156C11EE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5BC45CD9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79C295E3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58A9E875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49CC56DD" w14:textId="77777777" w:rsidR="00C24C35" w:rsidRDefault="00C24C35" w:rsidP="00F315FD">
            <w:pPr>
              <w:pStyle w:val="Akapitzlist"/>
              <w:spacing w:after="40"/>
              <w:ind w:left="459"/>
              <w:contextualSpacing/>
            </w:pPr>
          </w:p>
          <w:p w14:paraId="2FAEEA28" w14:textId="5EBE68EE" w:rsidR="00C24C35" w:rsidRPr="006A41DD" w:rsidRDefault="00C24C35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BE49E3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F315FD" w:rsidRPr="00E37F70" w14:paraId="30492E30" w14:textId="77777777" w:rsidTr="000F4496">
        <w:trPr>
          <w:trHeight w:val="323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Default="00F315FD" w:rsidP="001D2B57">
            <w:pPr>
              <w:jc w:val="both"/>
              <w:rPr>
                <w:i/>
                <w:sz w:val="18"/>
                <w:szCs w:val="18"/>
              </w:rPr>
            </w:pPr>
            <w:r w:rsidRPr="00C24C35">
              <w:t>Nie polegamy na podmiotach trzecich * / polegamy na podmiotach trzecich w celu wykazania spełniania warunku udziału w postępowaniu*</w:t>
            </w:r>
            <w:r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Pr="006A41DD">
              <w:rPr>
                <w:i/>
                <w:sz w:val="18"/>
                <w:szCs w:val="18"/>
              </w:rPr>
              <w:t xml:space="preserve"> należy </w:t>
            </w:r>
            <w:r>
              <w:rPr>
                <w:i/>
                <w:sz w:val="18"/>
                <w:szCs w:val="18"/>
              </w:rPr>
              <w:t>podać dane podmiotu trzeciego oraz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C24C35" w:rsidRDefault="00F315FD" w:rsidP="00F315FD">
                  <w:pPr>
                    <w:pStyle w:val="Akapitzlist"/>
                    <w:spacing w:after="40"/>
                    <w:ind w:left="0"/>
                  </w:pPr>
                  <w:r w:rsidRPr="00C24C35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C24C35">
                    <w:t>Nazwa podwykonawcy oraz podstawa korzystania z podwykonawstwa</w:t>
                  </w:r>
                  <w:r>
                    <w:t xml:space="preserve">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C24C35" w:rsidRDefault="00F315FD" w:rsidP="00F315FD">
                  <w:pPr>
                    <w:pStyle w:val="Akapitzlist"/>
                    <w:spacing w:after="40"/>
                    <w:ind w:left="0"/>
                  </w:pPr>
                  <w:r w:rsidRPr="00C24C35"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BE49E3" w:rsidRDefault="00F315FD" w:rsidP="00D21A19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6A41DD" w:rsidRDefault="00894A00" w:rsidP="000F4496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F315FD" w:rsidRPr="00E37F70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Default="00F315FD" w:rsidP="00894A00">
            <w:pPr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Pr="006A41DD">
              <w:rPr>
                <w:sz w:val="18"/>
                <w:szCs w:val="18"/>
              </w:rPr>
              <w:t>(* 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>
              <w:rPr>
                <w:i/>
                <w:sz w:val="18"/>
                <w:szCs w:val="18"/>
              </w:rPr>
              <w:t>podać dane podmiotu trzeciego oraz na wezwanie Zamawiającego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Default="00F315FD" w:rsidP="00F315FD">
            <w:pPr>
              <w:spacing w:line="360" w:lineRule="auto"/>
              <w:jc w:val="both"/>
              <w:rPr>
                <w:b/>
              </w:rPr>
            </w:pPr>
          </w:p>
        </w:tc>
      </w:tr>
      <w:tr w:rsidR="00F315FD" w:rsidRPr="00E37F70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1D2B57" w:rsidRDefault="00F315FD" w:rsidP="001D2B57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14:paraId="2D81E0B5" w14:textId="77777777" w:rsidTr="00E23B93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1C916A1" w14:textId="4A61F806" w:rsidR="00F315FD" w:rsidRPr="006A41D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</w:p>
        </w:tc>
        <w:tc>
          <w:tcPr>
            <w:tcW w:w="8791" w:type="dxa"/>
            <w:gridSpan w:val="6"/>
            <w:shd w:val="pct10" w:color="auto" w:fill="auto"/>
          </w:tcPr>
          <w:p w14:paraId="4A760A9C" w14:textId="77777777" w:rsidR="00F315FD" w:rsidRPr="006A41DD" w:rsidRDefault="00F315FD" w:rsidP="00F315F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F315FD" w:rsidRPr="00E37F70" w14:paraId="79A23F7D" w14:textId="77777777" w:rsidTr="00E23B93">
        <w:trPr>
          <w:trHeight w:val="1403"/>
        </w:trPr>
        <w:tc>
          <w:tcPr>
            <w:tcW w:w="9356" w:type="dxa"/>
            <w:gridSpan w:val="8"/>
          </w:tcPr>
          <w:p w14:paraId="24BB909C" w14:textId="77777777" w:rsidR="00F315FD" w:rsidRPr="006A41DD" w:rsidRDefault="00F315FD" w:rsidP="001D2B57">
            <w:pPr>
              <w:jc w:val="both"/>
            </w:pPr>
            <w:r w:rsidRPr="006A41DD">
              <w:t>Integralną część oferty stanowią następujące dokumenty:</w:t>
            </w:r>
          </w:p>
          <w:p w14:paraId="4AA76D83" w14:textId="77777777" w:rsidR="00F315FD" w:rsidRPr="006A41DD" w:rsidRDefault="00F315FD" w:rsidP="001D2B57">
            <w:pPr>
              <w:numPr>
                <w:ilvl w:val="0"/>
                <w:numId w:val="6"/>
              </w:numPr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14212750" w14:textId="77777777" w:rsidR="00F315FD" w:rsidRPr="006A41DD" w:rsidRDefault="00F315FD" w:rsidP="001D2B57">
            <w:pPr>
              <w:numPr>
                <w:ilvl w:val="0"/>
                <w:numId w:val="6"/>
              </w:numPr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6EDF10B" w14:textId="77777777" w:rsidR="00F315FD" w:rsidRDefault="00F315FD" w:rsidP="001D2B57">
            <w:pPr>
              <w:numPr>
                <w:ilvl w:val="0"/>
                <w:numId w:val="6"/>
              </w:numPr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014509B1" w14:textId="77777777" w:rsidR="00F315FD" w:rsidRDefault="00F315FD" w:rsidP="001D2B57">
            <w:pPr>
              <w:numPr>
                <w:ilvl w:val="0"/>
                <w:numId w:val="6"/>
              </w:numPr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509184D8" w14:textId="77777777" w:rsidR="00F315FD" w:rsidRPr="006A41DD" w:rsidRDefault="00F315FD" w:rsidP="001D2B57">
            <w:pPr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14:paraId="606A8EB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252C3D2E" w:rsidR="00260333" w:rsidRPr="00C24C35" w:rsidRDefault="009912B1" w:rsidP="001D2B57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C24C35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0F4496" w:rsidRPr="00C24C35">
              <w:rPr>
                <w:b/>
                <w:sz w:val="22"/>
                <w:szCs w:val="22"/>
              </w:rPr>
              <w:t>z 2022</w:t>
            </w:r>
            <w:r w:rsidRPr="00C24C35">
              <w:rPr>
                <w:b/>
                <w:sz w:val="22"/>
                <w:szCs w:val="22"/>
              </w:rPr>
              <w:t xml:space="preserve">, poz. </w:t>
            </w:r>
            <w:r w:rsidR="000F4496" w:rsidRPr="00C24C35">
              <w:rPr>
                <w:b/>
                <w:sz w:val="22"/>
                <w:szCs w:val="22"/>
              </w:rPr>
              <w:t>1138</w:t>
            </w:r>
            <w:r w:rsidR="00196C1A">
              <w:rPr>
                <w:b/>
                <w:sz w:val="22"/>
                <w:szCs w:val="22"/>
              </w:rPr>
              <w:t xml:space="preserve"> ze zm.</w:t>
            </w:r>
            <w:r w:rsidRPr="00C24C35">
              <w:rPr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p w14:paraId="06C05B57" w14:textId="0876ABD4" w:rsidR="00FB200D" w:rsidRPr="00A946E7" w:rsidRDefault="00F315FD" w:rsidP="00293447">
      <w:pPr>
        <w:spacing w:line="360" w:lineRule="auto"/>
        <w:jc w:val="both"/>
        <w:rPr>
          <w:u w:val="single"/>
        </w:rPr>
      </w:pPr>
      <w:r w:rsidRPr="00F315FD">
        <w:rPr>
          <w:b/>
          <w:i/>
          <w:sz w:val="20"/>
          <w:szCs w:val="20"/>
          <w:u w:val="single"/>
        </w:rPr>
        <w:t xml:space="preserve">UWAGA: Ofertę należy podpisać </w:t>
      </w:r>
      <w:r w:rsidR="006C0785">
        <w:rPr>
          <w:b/>
          <w:i/>
          <w:sz w:val="20"/>
          <w:szCs w:val="20"/>
          <w:u w:val="single"/>
        </w:rPr>
        <w:t xml:space="preserve">podpisem zaufanym lub osobistym lub </w:t>
      </w:r>
      <w:r w:rsidRPr="00F315FD">
        <w:rPr>
          <w:b/>
          <w:i/>
          <w:sz w:val="20"/>
          <w:szCs w:val="20"/>
          <w:u w:val="single"/>
        </w:rPr>
        <w:t>kwalifikowanym podpi</w:t>
      </w:r>
      <w:r w:rsidR="00B64D82">
        <w:rPr>
          <w:b/>
          <w:i/>
          <w:sz w:val="20"/>
          <w:szCs w:val="20"/>
          <w:u w:val="single"/>
        </w:rPr>
        <w:t>sem elektronicznym Wykonawcy/</w:t>
      </w:r>
      <w:r w:rsidRPr="00F315FD">
        <w:rPr>
          <w:b/>
          <w:i/>
          <w:sz w:val="20"/>
          <w:szCs w:val="20"/>
          <w:u w:val="single"/>
        </w:rPr>
        <w:t>osoby upoważni</w:t>
      </w:r>
      <w:r w:rsidR="00B64D82">
        <w:rPr>
          <w:b/>
          <w:i/>
          <w:sz w:val="20"/>
          <w:szCs w:val="20"/>
          <w:u w:val="single"/>
        </w:rPr>
        <w:t>o</w:t>
      </w:r>
      <w:r w:rsidRPr="00F315FD">
        <w:rPr>
          <w:b/>
          <w:i/>
          <w:sz w:val="20"/>
          <w:szCs w:val="20"/>
          <w:u w:val="single"/>
        </w:rPr>
        <w:t>nej zgo</w:t>
      </w:r>
      <w:r w:rsidR="006C0785">
        <w:rPr>
          <w:b/>
          <w:i/>
          <w:sz w:val="20"/>
          <w:szCs w:val="20"/>
          <w:u w:val="single"/>
        </w:rPr>
        <w:t>d</w:t>
      </w:r>
      <w:bookmarkStart w:id="1" w:name="_GoBack"/>
      <w:bookmarkEnd w:id="1"/>
      <w:r w:rsidR="006C0785">
        <w:rPr>
          <w:b/>
          <w:i/>
          <w:sz w:val="20"/>
          <w:szCs w:val="20"/>
          <w:u w:val="single"/>
        </w:rPr>
        <w:t>nie z wytycznymi zawartymi w S</w:t>
      </w:r>
      <w:r w:rsidRPr="00F315FD">
        <w:rPr>
          <w:b/>
          <w:i/>
          <w:sz w:val="20"/>
          <w:szCs w:val="20"/>
          <w:u w:val="single"/>
        </w:rPr>
        <w:t xml:space="preserve">WZ </w:t>
      </w:r>
    </w:p>
    <w:sectPr w:rsidR="00FB200D" w:rsidRPr="00A946E7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A0DA2" w16cex:dateUtc="2023-06-06T17:55:00Z"/>
  <w16cex:commentExtensible w16cex:durableId="282A0E1C" w16cex:dateUtc="2023-06-06T1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668361" w16cid:durableId="282A0DA2"/>
  <w16cid:commentId w16cid:paraId="340BDBD5" w16cid:durableId="282A0E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4F5C4ABC" w14:textId="72010073" w:rsidR="00552E09" w:rsidRDefault="00552E09" w:rsidP="00552E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6F187E27" w:rsidR="004027B7" w:rsidRPr="00894A00" w:rsidRDefault="004027B7" w:rsidP="004027B7">
    <w:pPr>
      <w:pStyle w:val="Nagwek"/>
      <w:jc w:val="center"/>
    </w:pPr>
    <w:r w:rsidRPr="00C76C42">
      <w:t xml:space="preserve">zn. spr. </w:t>
    </w:r>
    <w:r w:rsidR="00B0707C" w:rsidRPr="00C76C42">
      <w:t>DZ.270</w:t>
    </w:r>
    <w:r w:rsidR="00053C39">
      <w:t>.65</w:t>
    </w:r>
    <w:r w:rsidR="00F949EE" w:rsidRPr="00C76C42">
      <w:t>.202</w:t>
    </w:r>
    <w:r w:rsidR="00053C3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3A0B-794C-4ABA-BE60-A75F0483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5</Pages>
  <Words>1656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43</cp:revision>
  <cp:lastPrinted>2020-11-23T09:06:00Z</cp:lastPrinted>
  <dcterms:created xsi:type="dcterms:W3CDTF">2021-11-18T14:02:00Z</dcterms:created>
  <dcterms:modified xsi:type="dcterms:W3CDTF">2023-06-07T10:48:00Z</dcterms:modified>
</cp:coreProperties>
</file>