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AE7C1F" w:rsidRDefault="006524D6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E7C1F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39E10085" w14:textId="0041E4F2" w:rsidR="00D23BA3" w:rsidRDefault="00D23BA3" w:rsidP="001F79C8">
      <w:pPr>
        <w:pStyle w:val="Nagwek1"/>
        <w:rPr>
          <w:color w:val="FF0000"/>
        </w:rPr>
      </w:pPr>
      <w:r w:rsidRPr="005D7141">
        <w:rPr>
          <w:color w:val="FF0000"/>
        </w:rPr>
        <w:t>MODYFIKACJA w punkcie 1 podpunkt</w:t>
      </w:r>
      <w:r>
        <w:rPr>
          <w:color w:val="FF0000"/>
        </w:rPr>
        <w:t xml:space="preserve"> </w:t>
      </w:r>
      <w:r>
        <w:rPr>
          <w:color w:val="FF0000"/>
        </w:rPr>
        <w:t>I: 26, 27 i 28.</w:t>
      </w:r>
      <w:bookmarkStart w:id="0" w:name="_GoBack"/>
      <w:bookmarkEnd w:id="0"/>
    </w:p>
    <w:p w14:paraId="41358847" w14:textId="07DDC83C" w:rsidR="0095537D" w:rsidRPr="00AE7C1F" w:rsidRDefault="006524D6" w:rsidP="001F79C8">
      <w:pPr>
        <w:pStyle w:val="Nagwek1"/>
      </w:pPr>
      <w:r w:rsidRPr="00AE7C1F">
        <w:t>OPIS PR</w:t>
      </w:r>
      <w:r w:rsidR="00E97857">
        <w:t>ZEDMIOTU ZAMÓWIENIA – część nr 2</w:t>
      </w:r>
    </w:p>
    <w:p w14:paraId="78F5D68C" w14:textId="3664DFFF" w:rsidR="00AE7C1F" w:rsidRPr="007B09D7" w:rsidRDefault="0058275E" w:rsidP="00AE7C1F">
      <w:pPr>
        <w:spacing w:line="360" w:lineRule="auto"/>
        <w:rPr>
          <w:rFonts w:ascii="Calibri" w:hAnsi="Calibri" w:cs="Calibri"/>
          <w:b/>
          <w:color w:val="0070C0"/>
          <w:sz w:val="24"/>
          <w:szCs w:val="24"/>
        </w:rPr>
      </w:pPr>
      <w:r w:rsidRPr="00AE7C1F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AE7C1F">
        <w:rPr>
          <w:rFonts w:ascii="Calibri" w:hAnsi="Calibri" w:cs="Calibri"/>
          <w:bCs/>
          <w:sz w:val="24"/>
          <w:szCs w:val="24"/>
        </w:rPr>
        <w:t>do</w:t>
      </w:r>
      <w:r w:rsidR="00AE7C1F">
        <w:rPr>
          <w:rFonts w:ascii="Calibri" w:hAnsi="Calibri" w:cs="Calibri"/>
          <w:bCs/>
          <w:sz w:val="24"/>
          <w:szCs w:val="24"/>
        </w:rPr>
        <w:t>:</w:t>
      </w:r>
    </w:p>
    <w:p w14:paraId="236CED79" w14:textId="78AFA76A" w:rsidR="00AE7C1F" w:rsidRPr="00AE7C1F" w:rsidRDefault="00AE7C1F" w:rsidP="00AE7C1F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E7C1F">
        <w:rPr>
          <w:rFonts w:asciiTheme="minorHAnsi" w:hAnsiTheme="minorHAnsi" w:cstheme="minorHAnsi"/>
          <w:b/>
          <w:sz w:val="24"/>
          <w:szCs w:val="24"/>
        </w:rPr>
        <w:t>Zakład Chemii Leków UMB</w:t>
      </w:r>
    </w:p>
    <w:p w14:paraId="21596403" w14:textId="77C0563F" w:rsidR="0095537D" w:rsidRPr="00AE7C1F" w:rsidRDefault="00AE7C1F" w:rsidP="001E13B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Zestaw do Western </w:t>
      </w:r>
      <w:proofErr w:type="spellStart"/>
      <w:r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>Blot</w:t>
      </w:r>
      <w:proofErr w:type="spellEnd"/>
      <w:r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wraz z systemem do wizualizacji</w:t>
      </w:r>
      <w:r w:rsidR="0058275E"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490600"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– 1 </w:t>
      </w:r>
      <w:r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>szt.</w:t>
      </w:r>
    </w:p>
    <w:p w14:paraId="7D5E9E61" w14:textId="77777777" w:rsidR="00BF4E8F" w:rsidRPr="00AE7C1F" w:rsidRDefault="00BF4E8F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E7C1F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AE7C1F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AE7C1F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E7C1F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AE7C1F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AE7C1F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E7C1F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AE7C1F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AE7C1F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E7C1F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AE7C1F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44CC0A5E" w:rsidR="00187B9D" w:rsidRDefault="00187B9D" w:rsidP="004074C0">
      <w:pPr>
        <w:tabs>
          <w:tab w:val="right" w:leader="dot" w:pos="9639"/>
        </w:tabs>
        <w:spacing w:after="24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E7C1F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69323B">
        <w:rPr>
          <w:rFonts w:asciiTheme="minorHAnsi" w:hAnsiTheme="minorHAnsi" w:cstheme="minorHAnsi"/>
          <w:b/>
          <w:sz w:val="24"/>
          <w:szCs w:val="24"/>
        </w:rPr>
        <w:t>2023</w:t>
      </w:r>
      <w:r w:rsidR="00753844">
        <w:rPr>
          <w:rFonts w:asciiTheme="minorHAnsi" w:hAnsiTheme="minorHAnsi" w:cstheme="minorHAnsi"/>
          <w:b/>
          <w:sz w:val="24"/>
          <w:szCs w:val="24"/>
        </w:rPr>
        <w:t xml:space="preserve"> r</w:t>
      </w:r>
    </w:p>
    <w:p w14:paraId="1667F6F9" w14:textId="5C0C3A0D" w:rsidR="00A54A74" w:rsidRPr="00AE7C1F" w:rsidRDefault="00A54A74" w:rsidP="004074C0">
      <w:pPr>
        <w:tabs>
          <w:tab w:val="right" w:leader="dot" w:pos="9639"/>
        </w:tabs>
        <w:spacing w:after="24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54A74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4074C0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A54A7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A54A74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58B366AE" w:rsidR="00187B9D" w:rsidRPr="00AE7C1F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AE7C1F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AE7C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7C1F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4105E8" w:rsidRDefault="00A86417" w:rsidP="001F79C8">
      <w:pPr>
        <w:pStyle w:val="Nagwek2"/>
      </w:pPr>
      <w:r w:rsidRPr="004105E8">
        <w:t>WYMAGANIA TECHNICZNE, UŻYTKOWE I FUNKCJONALNE</w:t>
      </w:r>
    </w:p>
    <w:p w14:paraId="1F084476" w14:textId="77777777" w:rsidR="00730974" w:rsidRPr="004105E8" w:rsidRDefault="00730974" w:rsidP="00E83971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Urządzenie do obrazowania i analizy żeli oraz western blotów,</w:t>
      </w:r>
    </w:p>
    <w:p w14:paraId="0C24D7BF" w14:textId="01C4539F" w:rsidR="00730974" w:rsidRPr="004105E8" w:rsidRDefault="00730974" w:rsidP="00730974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Wykrywanie chemiluminescencji, ogólna dokumentacjach żeli z zastosowaniem technologii typu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Stain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Free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oraz tradycyjnych barwników,</w:t>
      </w:r>
    </w:p>
    <w:p w14:paraId="2FC7CCF2" w14:textId="61683C2F" w:rsidR="00730974" w:rsidRPr="004105E8" w:rsidRDefault="00730974" w:rsidP="00730974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Technologia zapewniająca wydajną, spójną elektroforezę i blotting z możliwością szybkiej oceny elektroforezy i jakości transferu oraz przeprowadzenia całkowitej normalizacji białek,</w:t>
      </w:r>
    </w:p>
    <w:p w14:paraId="1F04BAE1" w14:textId="1B3733B8" w:rsidR="00073F37" w:rsidRPr="004105E8" w:rsidRDefault="00073F37" w:rsidP="00730974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M</w:t>
      </w:r>
      <w:r w:rsidR="00E379E5" w:rsidRPr="004105E8">
        <w:rPr>
          <w:rFonts w:asciiTheme="minorHAnsi" w:hAnsiTheme="minorHAnsi" w:cstheme="minorHAnsi"/>
          <w:sz w:val="24"/>
          <w:szCs w:val="24"/>
        </w:rPr>
        <w:t>ożliwość analizy żeli agarozowych i polikaryloamidowych j</w:t>
      </w:r>
      <w:r w:rsidRPr="004105E8">
        <w:rPr>
          <w:rFonts w:asciiTheme="minorHAnsi" w:hAnsiTheme="minorHAnsi" w:cstheme="minorHAnsi"/>
          <w:sz w:val="24"/>
          <w:szCs w:val="24"/>
        </w:rPr>
        <w:t>ak i blotów w jednym systemie,</w:t>
      </w:r>
    </w:p>
    <w:p w14:paraId="5B19C4AC" w14:textId="77777777" w:rsidR="00073F37" w:rsidRPr="004105E8" w:rsidRDefault="00073F37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F</w:t>
      </w:r>
      <w:r w:rsidR="00E379E5" w:rsidRPr="004105E8">
        <w:rPr>
          <w:rFonts w:asciiTheme="minorHAnsi" w:hAnsiTheme="minorHAnsi" w:cstheme="minorHAnsi"/>
          <w:sz w:val="24"/>
          <w:szCs w:val="24"/>
        </w:rPr>
        <w:t>unkcje obejmują automatyczny wybór optymalnego ź</w:t>
      </w:r>
      <w:r w:rsidRPr="004105E8">
        <w:rPr>
          <w:rFonts w:asciiTheme="minorHAnsi" w:hAnsiTheme="minorHAnsi" w:cstheme="minorHAnsi"/>
          <w:sz w:val="24"/>
          <w:szCs w:val="24"/>
        </w:rPr>
        <w:t>ródła światła według aplikacji,</w:t>
      </w:r>
    </w:p>
    <w:p w14:paraId="6EBC1C99" w14:textId="77777777" w:rsidR="00073F37" w:rsidRPr="004105E8" w:rsidRDefault="00073F37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A</w:t>
      </w:r>
      <w:r w:rsidR="00E379E5" w:rsidRPr="004105E8">
        <w:rPr>
          <w:rFonts w:asciiTheme="minorHAnsi" w:hAnsiTheme="minorHAnsi" w:cstheme="minorHAnsi"/>
          <w:sz w:val="24"/>
          <w:szCs w:val="24"/>
        </w:rPr>
        <w:t>ut</w:t>
      </w:r>
      <w:r w:rsidRPr="004105E8">
        <w:rPr>
          <w:rFonts w:asciiTheme="minorHAnsi" w:hAnsiTheme="minorHAnsi" w:cstheme="minorHAnsi"/>
          <w:sz w:val="24"/>
          <w:szCs w:val="24"/>
        </w:rPr>
        <w:t>omatyczne ustawianie ostrości,</w:t>
      </w:r>
    </w:p>
    <w:p w14:paraId="42EA8609" w14:textId="77777777" w:rsidR="00073F37" w:rsidRPr="004105E8" w:rsidRDefault="00073F37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Automatyczna ekspozycja</w:t>
      </w:r>
      <w:r w:rsidR="00E379E5" w:rsidRPr="004105E8">
        <w:rPr>
          <w:rFonts w:asciiTheme="minorHAnsi" w:hAnsiTheme="minorHAnsi" w:cstheme="minorHAnsi"/>
          <w:sz w:val="24"/>
          <w:szCs w:val="24"/>
        </w:rPr>
        <w:t xml:space="preserve"> i funkcje podglądu zapewniają</w:t>
      </w:r>
      <w:r w:rsidRPr="004105E8">
        <w:rPr>
          <w:rFonts w:asciiTheme="minorHAnsi" w:hAnsiTheme="minorHAnsi" w:cstheme="minorHAnsi"/>
          <w:sz w:val="24"/>
          <w:szCs w:val="24"/>
        </w:rPr>
        <w:t>ce</w:t>
      </w:r>
      <w:r w:rsidR="00E379E5" w:rsidRPr="004105E8">
        <w:rPr>
          <w:rFonts w:asciiTheme="minorHAnsi" w:hAnsiTheme="minorHAnsi" w:cstheme="minorHAnsi"/>
          <w:sz w:val="24"/>
          <w:szCs w:val="24"/>
        </w:rPr>
        <w:t xml:space="preserve"> uzys</w:t>
      </w:r>
      <w:r w:rsidRPr="004105E8">
        <w:rPr>
          <w:rFonts w:asciiTheme="minorHAnsi" w:hAnsiTheme="minorHAnsi" w:cstheme="minorHAnsi"/>
          <w:sz w:val="24"/>
          <w:szCs w:val="24"/>
        </w:rPr>
        <w:t>kanie zdjęć o wysokiej jakości,</w:t>
      </w:r>
    </w:p>
    <w:p w14:paraId="03FA2CB4" w14:textId="77777777" w:rsidR="00073F37" w:rsidRPr="004105E8" w:rsidRDefault="00073F37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O</w:t>
      </w:r>
      <w:r w:rsidR="00E379E5" w:rsidRPr="004105E8">
        <w:rPr>
          <w:rFonts w:asciiTheme="minorHAnsi" w:hAnsiTheme="minorHAnsi" w:cstheme="minorHAnsi"/>
          <w:sz w:val="24"/>
          <w:szCs w:val="24"/>
        </w:rPr>
        <w:t>brazowanie w technologii umożliwia</w:t>
      </w:r>
      <w:r w:rsidRPr="004105E8">
        <w:rPr>
          <w:rFonts w:asciiTheme="minorHAnsi" w:hAnsiTheme="minorHAnsi" w:cstheme="minorHAnsi"/>
          <w:sz w:val="24"/>
          <w:szCs w:val="24"/>
        </w:rPr>
        <w:t>jące</w:t>
      </w:r>
      <w:r w:rsidR="00E379E5" w:rsidRPr="004105E8">
        <w:rPr>
          <w:rFonts w:asciiTheme="minorHAnsi" w:hAnsiTheme="minorHAnsi" w:cstheme="minorHAnsi"/>
          <w:sz w:val="24"/>
          <w:szCs w:val="24"/>
        </w:rPr>
        <w:t xml:space="preserve"> normalizację prążków do białka całkowitego zarówno w żelach, jak i na blotach</w:t>
      </w:r>
      <w:r w:rsidRPr="004105E8">
        <w:rPr>
          <w:rFonts w:asciiTheme="minorHAnsi" w:hAnsiTheme="minorHAnsi" w:cstheme="minorHAnsi"/>
          <w:sz w:val="24"/>
          <w:szCs w:val="24"/>
        </w:rPr>
        <w:t>,</w:t>
      </w:r>
    </w:p>
    <w:p w14:paraId="249BD7EA" w14:textId="77777777" w:rsidR="00350AD7" w:rsidRPr="004105E8" w:rsidRDefault="00073F37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lastRenderedPageBreak/>
        <w:t>Dostępne min.</w:t>
      </w:r>
      <w:r w:rsidR="00E379E5" w:rsidRPr="004105E8">
        <w:rPr>
          <w:rFonts w:asciiTheme="minorHAnsi" w:hAnsiTheme="minorHAnsi" w:cstheme="minorHAnsi"/>
          <w:sz w:val="24"/>
          <w:szCs w:val="24"/>
        </w:rPr>
        <w:t xml:space="preserve"> trzy tace na próbki d</w:t>
      </w:r>
      <w:r w:rsidR="00350AD7" w:rsidRPr="004105E8">
        <w:rPr>
          <w:rFonts w:asciiTheme="minorHAnsi" w:hAnsiTheme="minorHAnsi" w:cstheme="minorHAnsi"/>
          <w:sz w:val="24"/>
          <w:szCs w:val="24"/>
        </w:rPr>
        <w:t>o różnych aplikacji obrazowania,</w:t>
      </w:r>
    </w:p>
    <w:p w14:paraId="06FA24AA" w14:textId="715B76B3" w:rsidR="00350AD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Technologia </w:t>
      </w:r>
      <w:r w:rsidR="00730974" w:rsidRPr="004105E8">
        <w:rPr>
          <w:rFonts w:asciiTheme="minorHAnsi" w:hAnsiTheme="minorHAnsi" w:cstheme="minorHAnsi"/>
          <w:sz w:val="24"/>
          <w:szCs w:val="24"/>
        </w:rPr>
        <w:t>automatycznie rozpoznająca</w:t>
      </w:r>
      <w:r w:rsidRPr="004105E8">
        <w:rPr>
          <w:rFonts w:asciiTheme="minorHAnsi" w:hAnsiTheme="minorHAnsi" w:cstheme="minorHAnsi"/>
          <w:sz w:val="24"/>
          <w:szCs w:val="24"/>
        </w:rPr>
        <w:t xml:space="preserve"> tace specyficzne dla apl</w:t>
      </w:r>
      <w:r w:rsidR="00730974" w:rsidRPr="004105E8">
        <w:rPr>
          <w:rFonts w:asciiTheme="minorHAnsi" w:hAnsiTheme="minorHAnsi" w:cstheme="minorHAnsi"/>
          <w:sz w:val="24"/>
          <w:szCs w:val="24"/>
        </w:rPr>
        <w:t>ikacji i odpowiednio dostosowująca</w:t>
      </w:r>
      <w:r w:rsidRPr="004105E8">
        <w:rPr>
          <w:rFonts w:asciiTheme="minorHAnsi" w:hAnsiTheme="minorHAnsi" w:cstheme="minorHAnsi"/>
          <w:sz w:val="24"/>
          <w:szCs w:val="24"/>
        </w:rPr>
        <w:t xml:space="preserve"> parametry obrazowa</w:t>
      </w:r>
      <w:r w:rsidR="00350AD7" w:rsidRPr="004105E8">
        <w:rPr>
          <w:rFonts w:asciiTheme="minorHAnsi" w:hAnsiTheme="minorHAnsi" w:cstheme="minorHAnsi"/>
          <w:sz w:val="24"/>
          <w:szCs w:val="24"/>
        </w:rPr>
        <w:t>nia i opcje oprogramowania,</w:t>
      </w:r>
    </w:p>
    <w:p w14:paraId="0D1BD5F7" w14:textId="76D9C00C" w:rsidR="00350AD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Musi umożliwiać </w:t>
      </w:r>
      <w:r w:rsidR="00730974" w:rsidRPr="004105E8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4105E8">
        <w:rPr>
          <w:rFonts w:asciiTheme="minorHAnsi" w:hAnsiTheme="minorHAnsi" w:cstheme="minorHAnsi"/>
          <w:sz w:val="24"/>
          <w:szCs w:val="24"/>
        </w:rPr>
        <w:t>wizualizację, zapis i analizę próbek znakowanych fluorescencyjnie, koloryme</w:t>
      </w:r>
      <w:r w:rsidR="00350AD7" w:rsidRPr="004105E8">
        <w:rPr>
          <w:rFonts w:asciiTheme="minorHAnsi" w:hAnsiTheme="minorHAnsi" w:cstheme="minorHAnsi"/>
          <w:sz w:val="24"/>
          <w:szCs w:val="24"/>
        </w:rPr>
        <w:t>trycznie, chemiluminescencyjnie</w:t>
      </w:r>
      <w:r w:rsidRPr="004105E8">
        <w:rPr>
          <w:rFonts w:asciiTheme="minorHAnsi" w:hAnsiTheme="minorHAnsi" w:cstheme="minorHAnsi"/>
          <w:sz w:val="24"/>
          <w:szCs w:val="24"/>
        </w:rPr>
        <w:t xml:space="preserve"> oraz w t</w:t>
      </w:r>
      <w:r w:rsidR="00350AD7" w:rsidRPr="004105E8">
        <w:rPr>
          <w:rFonts w:asciiTheme="minorHAnsi" w:hAnsiTheme="minorHAnsi" w:cstheme="minorHAnsi"/>
          <w:sz w:val="24"/>
          <w:szCs w:val="24"/>
        </w:rPr>
        <w:t>echnologii bez wybarwiania żeli,</w:t>
      </w:r>
    </w:p>
    <w:p w14:paraId="752B68C3" w14:textId="35D080F4" w:rsidR="00350AD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Musi posiadać zintegrowaną mini-ciemnię optyczną z wbudowaną prowadnicą służącą do mocowania dedykowanych do wybranej aplikacji tac z powier</w:t>
      </w:r>
      <w:r w:rsidR="00350AD7" w:rsidRPr="004105E8">
        <w:rPr>
          <w:rFonts w:asciiTheme="minorHAnsi" w:hAnsiTheme="minorHAnsi" w:cstheme="minorHAnsi"/>
          <w:sz w:val="24"/>
          <w:szCs w:val="24"/>
        </w:rPr>
        <w:t>zchnią zdjęcia min. 21 cm X 1</w:t>
      </w:r>
      <w:r w:rsidR="00387227">
        <w:rPr>
          <w:rFonts w:asciiTheme="minorHAnsi" w:hAnsiTheme="minorHAnsi" w:cstheme="minorHAnsi"/>
          <w:sz w:val="24"/>
          <w:szCs w:val="24"/>
        </w:rPr>
        <w:t>6.8 cm</w:t>
      </w:r>
      <w:r w:rsidR="00350AD7" w:rsidRPr="004105E8">
        <w:rPr>
          <w:rFonts w:asciiTheme="minorHAnsi" w:hAnsiTheme="minorHAnsi" w:cstheme="minorHAnsi"/>
          <w:sz w:val="24"/>
          <w:szCs w:val="24"/>
        </w:rPr>
        <w:t>,</w:t>
      </w:r>
    </w:p>
    <w:p w14:paraId="3B36A18E" w14:textId="77777777" w:rsidR="00350AD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Prowadnica musi być wysuwana z urządzenia w celu </w:t>
      </w:r>
      <w:r w:rsidR="00350AD7" w:rsidRPr="004105E8">
        <w:rPr>
          <w:rFonts w:asciiTheme="minorHAnsi" w:hAnsiTheme="minorHAnsi" w:cstheme="minorHAnsi"/>
          <w:sz w:val="24"/>
          <w:szCs w:val="24"/>
        </w:rPr>
        <w:t>umieszczenia żelu lub blotu,</w:t>
      </w:r>
    </w:p>
    <w:p w14:paraId="60210098" w14:textId="2CE4C947" w:rsidR="00350AD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Detekcja musi być dokonywana za pomocą kamer</w:t>
      </w:r>
      <w:r w:rsidR="00350AD7" w:rsidRPr="004105E8">
        <w:rPr>
          <w:rFonts w:asciiTheme="minorHAnsi" w:hAnsiTheme="minorHAnsi" w:cstheme="minorHAnsi"/>
          <w:sz w:val="24"/>
          <w:szCs w:val="24"/>
        </w:rPr>
        <w:t xml:space="preserve">y przetwornikiem CCD, </w:t>
      </w:r>
    </w:p>
    <w:p w14:paraId="4BF73D83" w14:textId="77777777" w:rsidR="00350AD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 Kalibracja ostrości dla każdego ustawienia para</w:t>
      </w:r>
      <w:r w:rsidR="00350AD7" w:rsidRPr="004105E8">
        <w:rPr>
          <w:rFonts w:asciiTheme="minorHAnsi" w:hAnsiTheme="minorHAnsi" w:cstheme="minorHAnsi"/>
          <w:sz w:val="24"/>
          <w:szCs w:val="24"/>
        </w:rPr>
        <w:t>metru zoomu lub wysokości próby,</w:t>
      </w:r>
    </w:p>
    <w:p w14:paraId="4FEEDE30" w14:textId="2BF1E5C2" w:rsidR="00350AD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Chłodzenie kamery do </w:t>
      </w:r>
      <w:r w:rsidR="00350AD7" w:rsidRPr="004105E8">
        <w:rPr>
          <w:rFonts w:asciiTheme="minorHAnsi" w:hAnsiTheme="minorHAnsi" w:cstheme="minorHAnsi"/>
          <w:sz w:val="24"/>
          <w:szCs w:val="24"/>
        </w:rPr>
        <w:t xml:space="preserve">min. </w:t>
      </w:r>
      <w:r w:rsidRPr="004105E8">
        <w:rPr>
          <w:rFonts w:asciiTheme="minorHAnsi" w:hAnsiTheme="minorHAnsi" w:cstheme="minorHAnsi"/>
          <w:sz w:val="24"/>
          <w:szCs w:val="24"/>
        </w:rPr>
        <w:t>-15 ˚</w:t>
      </w:r>
      <w:r w:rsidR="00350AD7" w:rsidRPr="004105E8">
        <w:rPr>
          <w:rFonts w:asciiTheme="minorHAnsi" w:hAnsiTheme="minorHAnsi" w:cstheme="minorHAnsi"/>
          <w:sz w:val="24"/>
          <w:szCs w:val="24"/>
        </w:rPr>
        <w:t>C,</w:t>
      </w:r>
    </w:p>
    <w:p w14:paraId="7175CA70" w14:textId="77777777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Zakres dynamiczny sygnału kamery musi wynosić min. 4 rzędy wielkoś</w:t>
      </w:r>
      <w:r w:rsidR="007B7D30" w:rsidRPr="004105E8">
        <w:rPr>
          <w:rFonts w:asciiTheme="minorHAnsi" w:hAnsiTheme="minorHAnsi" w:cstheme="minorHAnsi"/>
          <w:sz w:val="24"/>
          <w:szCs w:val="24"/>
        </w:rPr>
        <w:t>ci (65 535 odcieni szarości),</w:t>
      </w:r>
    </w:p>
    <w:p w14:paraId="797BC66A" w14:textId="2D25CDCB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Programowalne przez użytkownika tryby automatycznej akwizycji obrazów. Definiowane przez użytkownika tryby (szybki lub optymalny auto ekspozycyjny) dla chemiluminesc</w:t>
      </w:r>
      <w:r w:rsidR="007B7D30" w:rsidRPr="004105E8">
        <w:rPr>
          <w:rFonts w:asciiTheme="minorHAnsi" w:hAnsiTheme="minorHAnsi" w:cstheme="minorHAnsi"/>
          <w:sz w:val="24"/>
          <w:szCs w:val="24"/>
        </w:rPr>
        <w:t xml:space="preserve">encji. </w:t>
      </w:r>
      <w:r w:rsidRPr="004105E8">
        <w:rPr>
          <w:rFonts w:asciiTheme="minorHAnsi" w:hAnsiTheme="minorHAnsi" w:cstheme="minorHAnsi"/>
          <w:sz w:val="24"/>
          <w:szCs w:val="24"/>
        </w:rPr>
        <w:t>Definiowane przez użytkownika tryby (na intensywne lub słabe prążki) dla poza ch</w:t>
      </w:r>
      <w:r w:rsidR="004105E8">
        <w:rPr>
          <w:rFonts w:asciiTheme="minorHAnsi" w:hAnsiTheme="minorHAnsi" w:cstheme="minorHAnsi"/>
          <w:sz w:val="24"/>
          <w:szCs w:val="24"/>
        </w:rPr>
        <w:t>emiluminescencyjnych aplikacji,</w:t>
      </w:r>
    </w:p>
    <w:p w14:paraId="41929A33" w14:textId="77777777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Tryb akwizycji z akumulacją obrazów pośrednich umożliwiający optymalny dobór czasu akwi</w:t>
      </w:r>
      <w:r w:rsidR="007B7D30" w:rsidRPr="004105E8">
        <w:rPr>
          <w:rFonts w:asciiTheme="minorHAnsi" w:hAnsiTheme="minorHAnsi" w:cstheme="minorHAnsi"/>
          <w:sz w:val="24"/>
          <w:szCs w:val="24"/>
        </w:rPr>
        <w:t>zycji dla chemiluminescencji,</w:t>
      </w:r>
    </w:p>
    <w:p w14:paraId="50EB7933" w14:textId="55E181FB" w:rsidR="007B7D30" w:rsidRPr="004105E8" w:rsidRDefault="00E379E5" w:rsidP="00FE56EF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System musi być wyposażony</w:t>
      </w:r>
      <w:r w:rsidR="00786BE1" w:rsidRPr="004105E8">
        <w:rPr>
          <w:rFonts w:asciiTheme="minorHAnsi" w:hAnsiTheme="minorHAnsi" w:cstheme="minorHAnsi"/>
          <w:sz w:val="24"/>
          <w:szCs w:val="24"/>
        </w:rPr>
        <w:t xml:space="preserve"> w</w:t>
      </w:r>
      <w:r w:rsidR="00FE56EF" w:rsidRPr="004105E8">
        <w:rPr>
          <w:rFonts w:asciiTheme="minorHAnsi" w:hAnsiTheme="minorHAnsi" w:cstheme="minorHAnsi"/>
          <w:sz w:val="24"/>
          <w:szCs w:val="24"/>
        </w:rPr>
        <w:t xml:space="preserve"> </w:t>
      </w:r>
      <w:r w:rsidRPr="004105E8">
        <w:rPr>
          <w:rFonts w:asciiTheme="minorHAnsi" w:hAnsiTheme="minorHAnsi" w:cstheme="minorHAnsi"/>
          <w:sz w:val="24"/>
          <w:szCs w:val="24"/>
        </w:rPr>
        <w:t>tacę d</w:t>
      </w:r>
      <w:r w:rsidR="00FE56EF" w:rsidRPr="004105E8">
        <w:rPr>
          <w:rFonts w:asciiTheme="minorHAnsi" w:hAnsiTheme="minorHAnsi" w:cstheme="minorHAnsi"/>
          <w:sz w:val="24"/>
          <w:szCs w:val="24"/>
        </w:rPr>
        <w:t>o aplikacji chemiluminescencji,</w:t>
      </w:r>
      <w:r w:rsidR="007560CD" w:rsidRPr="004105E8">
        <w:rPr>
          <w:rFonts w:asciiTheme="minorHAnsi" w:hAnsiTheme="minorHAnsi" w:cstheme="minorHAnsi"/>
          <w:sz w:val="24"/>
          <w:szCs w:val="24"/>
        </w:rPr>
        <w:t xml:space="preserve"> </w:t>
      </w:r>
      <w:r w:rsidRPr="004105E8">
        <w:rPr>
          <w:rFonts w:asciiTheme="minorHAnsi" w:hAnsiTheme="minorHAnsi" w:cstheme="minorHAnsi"/>
          <w:sz w:val="24"/>
          <w:szCs w:val="24"/>
        </w:rPr>
        <w:t xml:space="preserve">UV oraz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stain-free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dedykowanej do barwników </w:t>
      </w:r>
      <w:r w:rsidR="00FE56EF" w:rsidRPr="004105E8">
        <w:rPr>
          <w:rFonts w:asciiTheme="minorHAnsi" w:hAnsiTheme="minorHAnsi" w:cstheme="minorHAnsi"/>
          <w:sz w:val="24"/>
          <w:szCs w:val="24"/>
        </w:rPr>
        <w:t>co najmniej</w:t>
      </w:r>
      <w:r w:rsidRPr="004105E8">
        <w:rPr>
          <w:rFonts w:asciiTheme="minorHAnsi" w:hAnsiTheme="minorHAnsi" w:cstheme="minorHAnsi"/>
          <w:sz w:val="24"/>
          <w:szCs w:val="24"/>
        </w:rPr>
        <w:t xml:space="preserve">: chemiluminescencyjne,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St</w:t>
      </w:r>
      <w:r w:rsidR="00FE56EF" w:rsidRPr="004105E8">
        <w:rPr>
          <w:rFonts w:asciiTheme="minorHAnsi" w:hAnsiTheme="minorHAnsi" w:cstheme="minorHAnsi"/>
          <w:sz w:val="24"/>
          <w:szCs w:val="24"/>
        </w:rPr>
        <w:t>ain-free</w:t>
      </w:r>
      <w:proofErr w:type="spellEnd"/>
      <w:r w:rsidR="00FE56EF" w:rsidRPr="004105E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E56EF" w:rsidRPr="004105E8">
        <w:rPr>
          <w:rFonts w:asciiTheme="minorHAnsi" w:hAnsiTheme="minorHAnsi" w:cstheme="minorHAnsi"/>
          <w:sz w:val="24"/>
          <w:szCs w:val="24"/>
        </w:rPr>
        <w:t>EtBr</w:t>
      </w:r>
      <w:proofErr w:type="spellEnd"/>
      <w:r w:rsidR="00FE56EF" w:rsidRPr="004105E8">
        <w:rPr>
          <w:rFonts w:asciiTheme="minorHAnsi" w:hAnsiTheme="minorHAnsi" w:cstheme="minorHAnsi"/>
          <w:sz w:val="24"/>
          <w:szCs w:val="24"/>
        </w:rPr>
        <w:t xml:space="preserve">, barwniki SYBR®, </w:t>
      </w:r>
      <w:proofErr w:type="spellStart"/>
      <w:r w:rsidR="00FE56EF" w:rsidRPr="004105E8">
        <w:rPr>
          <w:rFonts w:asciiTheme="minorHAnsi" w:hAnsiTheme="minorHAnsi" w:cstheme="minorHAnsi"/>
          <w:sz w:val="24"/>
          <w:szCs w:val="24"/>
        </w:rPr>
        <w:t>GelGreen</w:t>
      </w:r>
      <w:proofErr w:type="spellEnd"/>
      <w:r w:rsidR="00FE56EF" w:rsidRPr="004105E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GelRed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, Fluorescein,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OliGreen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, Oriole™, SYPRO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Ruby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, SYTO 60,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Coomassie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Fluor Orange,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Alexa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Fluors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(488, 546, 647, 680, 790),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DyLight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Fluors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(488, 550, 650, 6</w:t>
      </w:r>
      <w:r w:rsidR="007B7D30" w:rsidRPr="004105E8">
        <w:rPr>
          <w:rFonts w:asciiTheme="minorHAnsi" w:hAnsiTheme="minorHAnsi" w:cstheme="minorHAnsi"/>
          <w:sz w:val="24"/>
          <w:szCs w:val="24"/>
        </w:rPr>
        <w:t>80, 800), IR (680RD, 800CW),</w:t>
      </w:r>
    </w:p>
    <w:p w14:paraId="54201081" w14:textId="77777777" w:rsidR="00FE56EF" w:rsidRPr="004105E8" w:rsidRDefault="00FE56EF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D</w:t>
      </w:r>
      <w:r w:rsidR="00E379E5" w:rsidRPr="004105E8">
        <w:rPr>
          <w:rFonts w:asciiTheme="minorHAnsi" w:hAnsiTheme="minorHAnsi" w:cstheme="minorHAnsi"/>
          <w:sz w:val="24"/>
          <w:szCs w:val="24"/>
        </w:rPr>
        <w:t>ostępne źródła światła</w:t>
      </w:r>
      <w:r w:rsidRPr="004105E8">
        <w:rPr>
          <w:rFonts w:asciiTheme="minorHAnsi" w:hAnsiTheme="minorHAnsi" w:cstheme="minorHAnsi"/>
          <w:sz w:val="24"/>
          <w:szCs w:val="24"/>
        </w:rPr>
        <w:t xml:space="preserve"> co najmniej:</w:t>
      </w:r>
    </w:p>
    <w:p w14:paraId="5A46935A" w14:textId="77777777" w:rsidR="00FE56EF" w:rsidRPr="004105E8" w:rsidRDefault="00E379E5" w:rsidP="00FE56EF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Świ</w:t>
      </w:r>
      <w:r w:rsidR="00FE56EF" w:rsidRPr="004105E8">
        <w:rPr>
          <w:rFonts w:asciiTheme="minorHAnsi" w:hAnsiTheme="minorHAnsi" w:cstheme="minorHAnsi"/>
          <w:sz w:val="24"/>
          <w:szCs w:val="24"/>
        </w:rPr>
        <w:t xml:space="preserve">atło UV przechodzące 302 </w:t>
      </w:r>
      <w:proofErr w:type="spellStart"/>
      <w:r w:rsidR="00FE56EF" w:rsidRPr="004105E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FE56EF" w:rsidRPr="004105E8">
        <w:rPr>
          <w:rFonts w:asciiTheme="minorHAnsi" w:hAnsiTheme="minorHAnsi" w:cstheme="minorHAnsi"/>
          <w:sz w:val="24"/>
          <w:szCs w:val="24"/>
        </w:rPr>
        <w:t>,</w:t>
      </w:r>
    </w:p>
    <w:p w14:paraId="142FF0B2" w14:textId="77777777" w:rsidR="00FE56EF" w:rsidRPr="004105E8" w:rsidRDefault="00E379E5" w:rsidP="00FE56EF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Światło </w:t>
      </w:r>
      <w:r w:rsidR="00FE56EF" w:rsidRPr="004105E8">
        <w:rPr>
          <w:rFonts w:asciiTheme="minorHAnsi" w:hAnsiTheme="minorHAnsi" w:cstheme="minorHAnsi"/>
          <w:sz w:val="24"/>
          <w:szCs w:val="24"/>
        </w:rPr>
        <w:t>białe – podświetlenie z góry,</w:t>
      </w:r>
    </w:p>
    <w:p w14:paraId="4977C9B1" w14:textId="77777777" w:rsidR="00FE56EF" w:rsidRPr="004105E8" w:rsidRDefault="00FE56EF" w:rsidP="00FE56EF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Światło białe przechodzące,</w:t>
      </w:r>
    </w:p>
    <w:p w14:paraId="27F88679" w14:textId="13815782" w:rsidR="007B7D30" w:rsidRPr="004105E8" w:rsidRDefault="00E379E5" w:rsidP="00FE56EF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Światło niebieskie przechodzące 450−490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105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6F33C5" w14:textId="25021216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Muszą być dostępne filtry</w:t>
      </w:r>
      <w:r w:rsidR="00FE56EF" w:rsidRPr="004105E8">
        <w:rPr>
          <w:rFonts w:asciiTheme="minorHAnsi" w:hAnsiTheme="minorHAnsi" w:cstheme="minorHAnsi"/>
          <w:sz w:val="24"/>
          <w:szCs w:val="24"/>
        </w:rPr>
        <w:t xml:space="preserve"> emisyjne co najmniej 590/110 </w:t>
      </w:r>
      <w:proofErr w:type="spellStart"/>
      <w:r w:rsidR="00FE56EF" w:rsidRPr="004105E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FE56EF" w:rsidRPr="004105E8">
        <w:rPr>
          <w:rFonts w:asciiTheme="minorHAnsi" w:hAnsiTheme="minorHAnsi" w:cstheme="minorHAnsi"/>
          <w:sz w:val="24"/>
          <w:szCs w:val="24"/>
        </w:rPr>
        <w:t xml:space="preserve"> i f</w:t>
      </w:r>
      <w:r w:rsidRPr="004105E8">
        <w:rPr>
          <w:rFonts w:asciiTheme="minorHAnsi" w:hAnsiTheme="minorHAnsi" w:cstheme="minorHAnsi"/>
          <w:sz w:val="24"/>
          <w:szCs w:val="24"/>
        </w:rPr>
        <w:t>iltr chemiluminescencji</w:t>
      </w:r>
      <w:r w:rsidR="007B7D30" w:rsidRPr="004105E8">
        <w:rPr>
          <w:rFonts w:asciiTheme="minorHAnsi" w:hAnsiTheme="minorHAnsi" w:cstheme="minorHAnsi"/>
          <w:sz w:val="24"/>
          <w:szCs w:val="24"/>
        </w:rPr>
        <w:t>,</w:t>
      </w:r>
    </w:p>
    <w:p w14:paraId="77305833" w14:textId="55594109" w:rsidR="007B7D30" w:rsidRPr="004105E8" w:rsidRDefault="00FE56EF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O</w:t>
      </w:r>
      <w:r w:rsidR="00E379E5" w:rsidRPr="004105E8">
        <w:rPr>
          <w:rFonts w:asciiTheme="minorHAnsi" w:hAnsiTheme="minorHAnsi" w:cstheme="minorHAnsi"/>
          <w:sz w:val="24"/>
          <w:szCs w:val="24"/>
        </w:rPr>
        <w:t>pcja rozbudowy urządzenia o tacę umożliwiającą konwersję do światła białego dla ap</w:t>
      </w:r>
      <w:r w:rsidR="00B67C6B">
        <w:rPr>
          <w:rFonts w:asciiTheme="minorHAnsi" w:hAnsiTheme="minorHAnsi" w:cstheme="minorHAnsi"/>
          <w:sz w:val="24"/>
          <w:szCs w:val="24"/>
        </w:rPr>
        <w:t>likacji kolorymetrycznych typu</w:t>
      </w:r>
      <w:r w:rsidR="00E379E5" w:rsidRPr="004105E8">
        <w:rPr>
          <w:rFonts w:asciiTheme="minorHAnsi" w:hAnsiTheme="minorHAnsi" w:cstheme="minorHAnsi"/>
          <w:sz w:val="24"/>
          <w:szCs w:val="24"/>
        </w:rPr>
        <w:t xml:space="preserve"> barwienie srebrem oraz </w:t>
      </w:r>
      <w:proofErr w:type="spellStart"/>
      <w:r w:rsidR="00E379E5" w:rsidRPr="004105E8">
        <w:rPr>
          <w:rFonts w:asciiTheme="minorHAnsi" w:hAnsiTheme="minorHAnsi" w:cstheme="minorHAnsi"/>
          <w:sz w:val="24"/>
          <w:szCs w:val="24"/>
        </w:rPr>
        <w:t>Comassie</w:t>
      </w:r>
      <w:proofErr w:type="spellEnd"/>
      <w:r w:rsidR="00E379E5" w:rsidRPr="004105E8">
        <w:rPr>
          <w:rFonts w:asciiTheme="minorHAnsi" w:hAnsiTheme="minorHAnsi" w:cstheme="minorHAnsi"/>
          <w:sz w:val="24"/>
          <w:szCs w:val="24"/>
        </w:rPr>
        <w:t xml:space="preserve"> i o tacę do światła niebieskiego dla </w:t>
      </w:r>
      <w:r w:rsidR="00E379E5" w:rsidRPr="004105E8">
        <w:rPr>
          <w:rFonts w:asciiTheme="minorHAnsi" w:hAnsiTheme="minorHAnsi" w:cstheme="minorHAnsi"/>
          <w:sz w:val="24"/>
          <w:szCs w:val="24"/>
        </w:rPr>
        <w:lastRenderedPageBreak/>
        <w:t>aplikacji kolorymetryc</w:t>
      </w:r>
      <w:r w:rsidR="007B7D30" w:rsidRPr="004105E8">
        <w:rPr>
          <w:rFonts w:asciiTheme="minorHAnsi" w:hAnsiTheme="minorHAnsi" w:cstheme="minorHAnsi"/>
          <w:sz w:val="24"/>
          <w:szCs w:val="24"/>
        </w:rPr>
        <w:t xml:space="preserve">znych </w:t>
      </w:r>
      <w:r w:rsidR="00B67C6B">
        <w:rPr>
          <w:rFonts w:asciiTheme="minorHAnsi" w:hAnsiTheme="minorHAnsi" w:cstheme="minorHAnsi"/>
          <w:sz w:val="24"/>
          <w:szCs w:val="24"/>
        </w:rPr>
        <w:t xml:space="preserve">typu </w:t>
      </w:r>
      <w:r w:rsidR="007B7D30" w:rsidRPr="004105E8">
        <w:rPr>
          <w:rFonts w:asciiTheme="minorHAnsi" w:hAnsiTheme="minorHAnsi" w:cstheme="minorHAnsi"/>
          <w:sz w:val="24"/>
          <w:szCs w:val="24"/>
        </w:rPr>
        <w:t>barwienie SYBR,</w:t>
      </w:r>
    </w:p>
    <w:p w14:paraId="26D7AAA3" w14:textId="05552BE2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Zapis obrazów żeli i blotów białkowych i detekcja białka bez wybarwiania żeli oraz blot</w:t>
      </w:r>
      <w:r w:rsidR="007B7D30" w:rsidRPr="004105E8">
        <w:rPr>
          <w:rFonts w:asciiTheme="minorHAnsi" w:hAnsiTheme="minorHAnsi" w:cstheme="minorHAnsi"/>
          <w:sz w:val="24"/>
          <w:szCs w:val="24"/>
        </w:rPr>
        <w:t xml:space="preserve">ów w technologii </w:t>
      </w:r>
      <w:r w:rsidR="00FE56EF" w:rsidRPr="004105E8">
        <w:rPr>
          <w:rFonts w:asciiTheme="minorHAnsi" w:hAnsiTheme="minorHAnsi" w:cstheme="minorHAnsi"/>
          <w:sz w:val="24"/>
          <w:szCs w:val="24"/>
        </w:rPr>
        <w:t xml:space="preserve">typu </w:t>
      </w:r>
      <w:r w:rsidR="007B7D30" w:rsidRPr="004105E8">
        <w:rPr>
          <w:rFonts w:asciiTheme="minorHAnsi" w:hAnsiTheme="minorHAnsi" w:cstheme="minorHAnsi"/>
          <w:sz w:val="24"/>
          <w:szCs w:val="24"/>
        </w:rPr>
        <w:t>Stain-Free,</w:t>
      </w:r>
    </w:p>
    <w:p w14:paraId="35309882" w14:textId="29B858BC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Urządzenie musi posiadać funkcję korekcji niedoskonałości układu optycznego </w:t>
      </w:r>
      <w:r w:rsidR="00FE56EF" w:rsidRPr="004105E8">
        <w:rPr>
          <w:rFonts w:asciiTheme="minorHAnsi" w:hAnsiTheme="minorHAnsi" w:cstheme="minorHAnsi"/>
          <w:sz w:val="24"/>
          <w:szCs w:val="24"/>
        </w:rPr>
        <w:t>bez potrzeby</w:t>
      </w:r>
      <w:r w:rsidRPr="004105E8">
        <w:rPr>
          <w:rFonts w:asciiTheme="minorHAnsi" w:hAnsiTheme="minorHAnsi" w:cstheme="minorHAnsi"/>
          <w:sz w:val="24"/>
          <w:szCs w:val="24"/>
        </w:rPr>
        <w:t xml:space="preserve"> kalibr</w:t>
      </w:r>
      <w:r w:rsidR="00FE56EF" w:rsidRPr="004105E8">
        <w:rPr>
          <w:rFonts w:asciiTheme="minorHAnsi" w:hAnsiTheme="minorHAnsi" w:cstheme="minorHAnsi"/>
          <w:sz w:val="24"/>
          <w:szCs w:val="24"/>
        </w:rPr>
        <w:t>acji</w:t>
      </w:r>
      <w:r w:rsidR="007B7D30" w:rsidRPr="004105E8">
        <w:rPr>
          <w:rFonts w:asciiTheme="minorHAnsi" w:hAnsiTheme="minorHAnsi" w:cstheme="minorHAnsi"/>
          <w:sz w:val="24"/>
          <w:szCs w:val="24"/>
        </w:rPr>
        <w:t xml:space="preserve"> w siedzibie użytkownika,</w:t>
      </w:r>
    </w:p>
    <w:p w14:paraId="10F06A3F" w14:textId="51DB0184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Światło UV długości fali</w:t>
      </w:r>
      <w:r w:rsidR="00B67C6B">
        <w:rPr>
          <w:rFonts w:asciiTheme="minorHAnsi" w:hAnsiTheme="minorHAnsi" w:cstheme="minorHAnsi"/>
          <w:sz w:val="24"/>
          <w:szCs w:val="24"/>
        </w:rPr>
        <w:t xml:space="preserve"> nie gorsze niż </w:t>
      </w:r>
      <w:r w:rsidRPr="004105E8">
        <w:rPr>
          <w:rFonts w:asciiTheme="minorHAnsi" w:hAnsiTheme="minorHAnsi" w:cstheme="minorHAnsi"/>
          <w:sz w:val="24"/>
          <w:szCs w:val="24"/>
        </w:rPr>
        <w:t xml:space="preserve">302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7B7D30" w:rsidRPr="004105E8">
        <w:rPr>
          <w:rFonts w:asciiTheme="minorHAnsi" w:hAnsiTheme="minorHAnsi" w:cstheme="minorHAnsi"/>
          <w:sz w:val="24"/>
          <w:szCs w:val="24"/>
        </w:rPr>
        <w:t>,</w:t>
      </w:r>
    </w:p>
    <w:p w14:paraId="4BB452EC" w14:textId="72C99DBF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Panel przedni musi być wyposażony w ekran dotykowy, o rozmiarze co najmniej 12.1", służący do sterowania s</w:t>
      </w:r>
      <w:r w:rsidR="00D23BA3">
        <w:rPr>
          <w:rFonts w:asciiTheme="minorHAnsi" w:hAnsiTheme="minorHAnsi" w:cstheme="minorHAnsi"/>
          <w:sz w:val="24"/>
          <w:szCs w:val="24"/>
        </w:rPr>
        <w:t xml:space="preserve">ystemem z wbudowanym komputerem </w:t>
      </w:r>
      <w:r w:rsidR="00D23BA3" w:rsidRPr="00D23BA3">
        <w:rPr>
          <w:rFonts w:asciiTheme="minorHAnsi" w:hAnsiTheme="minorHAnsi" w:cstheme="minorHAnsi"/>
          <w:b/>
          <w:sz w:val="24"/>
          <w:szCs w:val="24"/>
        </w:rPr>
        <w:t>lub</w:t>
      </w:r>
      <w:r w:rsidR="00D23BA3">
        <w:rPr>
          <w:rFonts w:asciiTheme="minorHAnsi" w:hAnsiTheme="minorHAnsi" w:cstheme="minorHAnsi"/>
          <w:b/>
          <w:sz w:val="24"/>
          <w:szCs w:val="24"/>
        </w:rPr>
        <w:t xml:space="preserve"> sterowanie za pomocą zewnętrznego komputera,</w:t>
      </w:r>
    </w:p>
    <w:p w14:paraId="4E53FCE7" w14:textId="77777777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Urządzenie do sterowania i zbierania danych </w:t>
      </w:r>
      <w:r w:rsidRPr="00D23BA3">
        <w:rPr>
          <w:rFonts w:asciiTheme="minorHAnsi" w:hAnsiTheme="minorHAnsi" w:cstheme="minorHAnsi"/>
          <w:strike/>
          <w:sz w:val="24"/>
          <w:szCs w:val="24"/>
        </w:rPr>
        <w:t xml:space="preserve">nie wymaga </w:t>
      </w:r>
      <w:r w:rsidR="007B7D30" w:rsidRPr="00D23BA3">
        <w:rPr>
          <w:rFonts w:asciiTheme="minorHAnsi" w:hAnsiTheme="minorHAnsi" w:cstheme="minorHAnsi"/>
          <w:strike/>
          <w:sz w:val="24"/>
          <w:szCs w:val="24"/>
        </w:rPr>
        <w:t>podłączenia do komputera PC</w:t>
      </w:r>
      <w:r w:rsidR="007B7D30" w:rsidRPr="004105E8">
        <w:rPr>
          <w:rFonts w:asciiTheme="minorHAnsi" w:hAnsiTheme="minorHAnsi" w:cstheme="minorHAnsi"/>
          <w:sz w:val="24"/>
          <w:szCs w:val="24"/>
        </w:rPr>
        <w:t>,</w:t>
      </w:r>
    </w:p>
    <w:p w14:paraId="6126C64E" w14:textId="00C5C2F6" w:rsidR="007B7D30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Przenoszenie danych za pomocą sieci lub przenośnej pamięci US</w:t>
      </w:r>
      <w:r w:rsidR="007B7D30" w:rsidRPr="004105E8">
        <w:rPr>
          <w:rFonts w:asciiTheme="minorHAnsi" w:hAnsiTheme="minorHAnsi" w:cstheme="minorHAnsi"/>
          <w:sz w:val="24"/>
          <w:szCs w:val="24"/>
        </w:rPr>
        <w:t xml:space="preserve">B w formacie </w:t>
      </w:r>
      <w:proofErr w:type="spellStart"/>
      <w:r w:rsidR="007B7D30" w:rsidRPr="004105E8">
        <w:rPr>
          <w:rFonts w:asciiTheme="minorHAnsi" w:hAnsiTheme="minorHAnsi" w:cstheme="minorHAnsi"/>
          <w:sz w:val="24"/>
          <w:szCs w:val="24"/>
        </w:rPr>
        <w:t>tif</w:t>
      </w:r>
      <w:proofErr w:type="spellEnd"/>
      <w:r w:rsidR="007B7D30" w:rsidRPr="004105E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B7D30" w:rsidRPr="004105E8">
        <w:rPr>
          <w:rFonts w:asciiTheme="minorHAnsi" w:hAnsiTheme="minorHAnsi" w:cstheme="minorHAnsi"/>
          <w:sz w:val="24"/>
          <w:szCs w:val="24"/>
        </w:rPr>
        <w:t>jpeg</w:t>
      </w:r>
      <w:proofErr w:type="spellEnd"/>
      <w:r w:rsidR="007B7D30" w:rsidRPr="004105E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B7D30" w:rsidRPr="004105E8">
        <w:rPr>
          <w:rFonts w:asciiTheme="minorHAnsi" w:hAnsiTheme="minorHAnsi" w:cstheme="minorHAnsi"/>
          <w:sz w:val="24"/>
          <w:szCs w:val="24"/>
        </w:rPr>
        <w:t>scn</w:t>
      </w:r>
      <w:proofErr w:type="spellEnd"/>
      <w:r w:rsidR="00D23BA3">
        <w:rPr>
          <w:rFonts w:asciiTheme="minorHAnsi" w:hAnsiTheme="minorHAnsi" w:cstheme="minorHAnsi"/>
          <w:sz w:val="24"/>
          <w:szCs w:val="24"/>
        </w:rPr>
        <w:t xml:space="preserve"> </w:t>
      </w:r>
      <w:r w:rsidR="00D23BA3" w:rsidRPr="00D23BA3">
        <w:rPr>
          <w:rFonts w:asciiTheme="minorHAnsi" w:hAnsiTheme="minorHAnsi" w:cstheme="minorHAnsi"/>
          <w:b/>
          <w:sz w:val="24"/>
          <w:szCs w:val="24"/>
        </w:rPr>
        <w:t>lub podłączenia za pomocą zewnętrznego komputera,</w:t>
      </w:r>
    </w:p>
    <w:p w14:paraId="20BAFAB2" w14:textId="77777777" w:rsidR="00536E54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W skład systemu musi wchodzić oprogramowanie do analizy obraz</w:t>
      </w:r>
      <w:r w:rsidR="00536E54" w:rsidRPr="004105E8">
        <w:rPr>
          <w:rFonts w:asciiTheme="minorHAnsi" w:hAnsiTheme="minorHAnsi" w:cstheme="minorHAnsi"/>
          <w:sz w:val="24"/>
          <w:szCs w:val="24"/>
        </w:rPr>
        <w:t>u kompatybilne z Windows 10,</w:t>
      </w:r>
    </w:p>
    <w:p w14:paraId="6198AC00" w14:textId="51FEF892" w:rsidR="001D476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W skład systemu muszą wchodzić </w:t>
      </w:r>
      <w:r w:rsidR="00536E54" w:rsidRPr="004105E8">
        <w:rPr>
          <w:rFonts w:asciiTheme="minorHAnsi" w:hAnsiTheme="minorHAnsi" w:cstheme="minorHAnsi"/>
          <w:sz w:val="24"/>
          <w:szCs w:val="24"/>
        </w:rPr>
        <w:t xml:space="preserve">min. </w:t>
      </w:r>
      <w:r w:rsidRPr="004105E8">
        <w:rPr>
          <w:rFonts w:asciiTheme="minorHAnsi" w:hAnsiTheme="minorHAnsi" w:cstheme="minorHAnsi"/>
          <w:sz w:val="24"/>
          <w:szCs w:val="24"/>
        </w:rPr>
        <w:t xml:space="preserve">dwa laptopy umożliwiające analizę obrazów za pomocą </w:t>
      </w:r>
      <w:r w:rsidR="001D4767" w:rsidRPr="004105E8">
        <w:rPr>
          <w:rFonts w:asciiTheme="minorHAnsi" w:hAnsiTheme="minorHAnsi" w:cstheme="minorHAnsi"/>
          <w:sz w:val="24"/>
          <w:szCs w:val="24"/>
        </w:rPr>
        <w:t>dedykowanego oprogramowania,</w:t>
      </w:r>
    </w:p>
    <w:p w14:paraId="327E8353" w14:textId="77777777" w:rsidR="001D476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Metody pomiarowe muszą umożliwiać automatyczne wykonywanie zdjęć, ich obrób</w:t>
      </w:r>
      <w:r w:rsidR="001D4767" w:rsidRPr="004105E8">
        <w:rPr>
          <w:rFonts w:asciiTheme="minorHAnsi" w:hAnsiTheme="minorHAnsi" w:cstheme="minorHAnsi"/>
          <w:sz w:val="24"/>
          <w:szCs w:val="24"/>
        </w:rPr>
        <w:t>kę oraz raportowanie wyników,</w:t>
      </w:r>
    </w:p>
    <w:p w14:paraId="0B0124B1" w14:textId="77777777" w:rsidR="001D476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Oprogramowanie musi umożliwiać tworzenie krzywych kalibr</w:t>
      </w:r>
      <w:r w:rsidR="001D4767" w:rsidRPr="004105E8">
        <w:rPr>
          <w:rFonts w:asciiTheme="minorHAnsi" w:hAnsiTheme="minorHAnsi" w:cstheme="minorHAnsi"/>
          <w:sz w:val="24"/>
          <w:szCs w:val="24"/>
        </w:rPr>
        <w:t>acyjnych i analizę ilościową,</w:t>
      </w:r>
    </w:p>
    <w:p w14:paraId="653D7821" w14:textId="09AA6C16" w:rsidR="001D4767" w:rsidRPr="004105E8" w:rsidRDefault="0092594D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D</w:t>
      </w:r>
      <w:r w:rsidR="00E379E5" w:rsidRPr="004105E8">
        <w:rPr>
          <w:rFonts w:asciiTheme="minorHAnsi" w:hAnsiTheme="minorHAnsi" w:cstheme="minorHAnsi"/>
          <w:sz w:val="24"/>
          <w:szCs w:val="24"/>
        </w:rPr>
        <w:t>ostępna nielimitowana ilość licencji programu do analizy obrazu, oblicze</w:t>
      </w:r>
      <w:r w:rsidR="001D4767" w:rsidRPr="004105E8">
        <w:rPr>
          <w:rFonts w:asciiTheme="minorHAnsi" w:hAnsiTheme="minorHAnsi" w:cstheme="minorHAnsi"/>
          <w:sz w:val="24"/>
          <w:szCs w:val="24"/>
        </w:rPr>
        <w:t>ń ilościowych i jakościowych,</w:t>
      </w:r>
    </w:p>
    <w:p w14:paraId="74B81EEF" w14:textId="615FC7C9" w:rsidR="001D476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Oprogramowanie </w:t>
      </w:r>
      <w:r w:rsidR="008235A0">
        <w:rPr>
          <w:rFonts w:asciiTheme="minorHAnsi" w:hAnsiTheme="minorHAnsi" w:cstheme="minorHAnsi"/>
          <w:sz w:val="24"/>
          <w:szCs w:val="24"/>
        </w:rPr>
        <w:t xml:space="preserve">musi umożliwiać obróbkę obrazu co najmniej </w:t>
      </w:r>
      <w:r w:rsidRPr="004105E8">
        <w:rPr>
          <w:rFonts w:asciiTheme="minorHAnsi" w:hAnsiTheme="minorHAnsi" w:cstheme="minorHAnsi"/>
          <w:sz w:val="24"/>
          <w:szCs w:val="24"/>
        </w:rPr>
        <w:t>obracanie o dowolny kąt, negatyw, regulacja jasności i kontrastu pod kątem wybraneg</w:t>
      </w:r>
      <w:r w:rsidR="001D4767" w:rsidRPr="004105E8">
        <w:rPr>
          <w:rFonts w:asciiTheme="minorHAnsi" w:hAnsiTheme="minorHAnsi" w:cstheme="minorHAnsi"/>
          <w:sz w:val="24"/>
          <w:szCs w:val="24"/>
        </w:rPr>
        <w:t>o fragm</w:t>
      </w:r>
      <w:r w:rsidR="008235A0">
        <w:rPr>
          <w:rFonts w:asciiTheme="minorHAnsi" w:hAnsiTheme="minorHAnsi" w:cstheme="minorHAnsi"/>
          <w:sz w:val="24"/>
          <w:szCs w:val="24"/>
        </w:rPr>
        <w:t>entu lub całego żelu</w:t>
      </w:r>
      <w:r w:rsidR="001D4767" w:rsidRPr="004105E8">
        <w:rPr>
          <w:rFonts w:asciiTheme="minorHAnsi" w:hAnsiTheme="minorHAnsi" w:cstheme="minorHAnsi"/>
          <w:sz w:val="24"/>
          <w:szCs w:val="24"/>
        </w:rPr>
        <w:t>,</w:t>
      </w:r>
    </w:p>
    <w:p w14:paraId="2BEEEE8F" w14:textId="0B9F32BD" w:rsidR="001D4767" w:rsidRPr="004105E8" w:rsidRDefault="00371B3E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</w:t>
      </w:r>
      <w:r w:rsidR="00E379E5" w:rsidRPr="004105E8">
        <w:rPr>
          <w:rFonts w:asciiTheme="minorHAnsi" w:hAnsiTheme="minorHAnsi" w:cstheme="minorHAnsi"/>
          <w:sz w:val="24"/>
          <w:szCs w:val="24"/>
        </w:rPr>
        <w:t xml:space="preserve"> musi umożliwiać automatyczne rozp</w:t>
      </w:r>
      <w:r w:rsidR="001D4767" w:rsidRPr="004105E8">
        <w:rPr>
          <w:rFonts w:asciiTheme="minorHAnsi" w:hAnsiTheme="minorHAnsi" w:cstheme="minorHAnsi"/>
          <w:sz w:val="24"/>
          <w:szCs w:val="24"/>
        </w:rPr>
        <w:t>oznawanie ścieżek i prążków,</w:t>
      </w:r>
    </w:p>
    <w:p w14:paraId="4B24C4AC" w14:textId="6D0F3770" w:rsidR="001D476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 xml:space="preserve">Oprogramowanie musi posiadać funkcję normalizacji wykorzystującą technologię </w:t>
      </w:r>
      <w:r w:rsidR="008235A0">
        <w:rPr>
          <w:rFonts w:asciiTheme="minorHAnsi" w:hAnsiTheme="minorHAnsi" w:cstheme="minorHAnsi"/>
          <w:sz w:val="24"/>
          <w:szCs w:val="24"/>
        </w:rPr>
        <w:t xml:space="preserve">typu </w:t>
      </w:r>
      <w:r w:rsidRPr="004105E8">
        <w:rPr>
          <w:rFonts w:asciiTheme="minorHAnsi" w:hAnsiTheme="minorHAnsi" w:cstheme="minorHAnsi"/>
          <w:sz w:val="24"/>
          <w:szCs w:val="24"/>
        </w:rPr>
        <w:t>Stain-Free dedy</w:t>
      </w:r>
      <w:r w:rsidR="008235A0">
        <w:rPr>
          <w:rFonts w:asciiTheme="minorHAnsi" w:hAnsiTheme="minorHAnsi" w:cstheme="minorHAnsi"/>
          <w:sz w:val="24"/>
          <w:szCs w:val="24"/>
        </w:rPr>
        <w:t>kowaną dla „białek całkowitych”,</w:t>
      </w:r>
    </w:p>
    <w:p w14:paraId="315B519A" w14:textId="77777777" w:rsidR="001D476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Automatyczne wy</w:t>
      </w:r>
      <w:r w:rsidR="001D4767" w:rsidRPr="004105E8">
        <w:rPr>
          <w:rFonts w:asciiTheme="minorHAnsi" w:hAnsiTheme="minorHAnsi" w:cstheme="minorHAnsi"/>
          <w:sz w:val="24"/>
          <w:szCs w:val="24"/>
        </w:rPr>
        <w:t>znaczanie mas cząsteczkowych,</w:t>
      </w:r>
    </w:p>
    <w:p w14:paraId="53033E08" w14:textId="65109FE8" w:rsidR="001D4767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Opcj</w:t>
      </w:r>
      <w:r w:rsidR="008235A0">
        <w:rPr>
          <w:rFonts w:asciiTheme="minorHAnsi" w:hAnsiTheme="minorHAnsi" w:cstheme="minorHAnsi"/>
          <w:sz w:val="24"/>
          <w:szCs w:val="24"/>
        </w:rPr>
        <w:t>onalna możliwość przeprowadzenia</w:t>
      </w:r>
      <w:r w:rsidRPr="004105E8">
        <w:rPr>
          <w:rFonts w:asciiTheme="minorHAnsi" w:hAnsiTheme="minorHAnsi" w:cstheme="minorHAnsi"/>
          <w:sz w:val="24"/>
          <w:szCs w:val="24"/>
        </w:rPr>
        <w:t xml:space="preserve"> kwalifikacji IQ/OQ, w opcji dostępna licencjonowana wersja op</w:t>
      </w:r>
      <w:r w:rsidR="001D4767" w:rsidRPr="004105E8">
        <w:rPr>
          <w:rFonts w:asciiTheme="minorHAnsi" w:hAnsiTheme="minorHAnsi" w:cstheme="minorHAnsi"/>
          <w:sz w:val="24"/>
          <w:szCs w:val="24"/>
        </w:rPr>
        <w:t>rogramowania z CFR 21 Part 11,</w:t>
      </w:r>
    </w:p>
    <w:p w14:paraId="2C50F561" w14:textId="6DE3DCAE" w:rsidR="001D4767" w:rsidRPr="004105E8" w:rsidRDefault="00B67C6B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</w:t>
      </w:r>
      <w:r w:rsidR="00E379E5" w:rsidRPr="004105E8">
        <w:rPr>
          <w:rFonts w:asciiTheme="minorHAnsi" w:hAnsiTheme="minorHAnsi" w:cstheme="minorHAnsi"/>
          <w:sz w:val="24"/>
          <w:szCs w:val="24"/>
        </w:rPr>
        <w:t xml:space="preserve"> rozbudowy urządzenia o moduł dodający źródła światła RGB, dalekiej czerwieni i bliskiej podczerwieni oraz filtry emisyjne pozwalający na wykorzystania szerokiej gamy </w:t>
      </w:r>
      <w:proofErr w:type="spellStart"/>
      <w:r w:rsidR="00E379E5" w:rsidRPr="004105E8">
        <w:rPr>
          <w:rFonts w:asciiTheme="minorHAnsi" w:hAnsiTheme="minorHAnsi" w:cstheme="minorHAnsi"/>
          <w:sz w:val="24"/>
          <w:szCs w:val="24"/>
        </w:rPr>
        <w:t>fluoroforów</w:t>
      </w:r>
      <w:proofErr w:type="spellEnd"/>
      <w:r w:rsidR="00E379E5" w:rsidRPr="004105E8">
        <w:rPr>
          <w:rFonts w:asciiTheme="minorHAnsi" w:hAnsiTheme="minorHAnsi" w:cstheme="minorHAnsi"/>
          <w:sz w:val="24"/>
          <w:szCs w:val="24"/>
        </w:rPr>
        <w:t xml:space="preserve"> i detekcji sygnałów </w:t>
      </w:r>
      <w:r w:rsidR="001D4767" w:rsidRPr="004105E8">
        <w:rPr>
          <w:rFonts w:asciiTheme="minorHAnsi" w:hAnsiTheme="minorHAnsi" w:cstheme="minorHAnsi"/>
          <w:sz w:val="24"/>
          <w:szCs w:val="24"/>
        </w:rPr>
        <w:t>multipleksowej fluorescencji,</w:t>
      </w:r>
    </w:p>
    <w:p w14:paraId="260C32C2" w14:textId="49D3658A" w:rsidR="00E379E5" w:rsidRPr="004105E8" w:rsidRDefault="00E379E5" w:rsidP="00073F3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5E8">
        <w:rPr>
          <w:rFonts w:asciiTheme="minorHAnsi" w:hAnsiTheme="minorHAnsi" w:cstheme="minorHAnsi"/>
          <w:sz w:val="24"/>
          <w:szCs w:val="24"/>
        </w:rPr>
        <w:t>W zestawie z systemem muszą znajdować się specjalistyczne odczynniki do Western</w:t>
      </w:r>
      <w:r w:rsidR="00D06A4D" w:rsidRPr="004105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105E8">
        <w:rPr>
          <w:rFonts w:asciiTheme="minorHAnsi" w:hAnsiTheme="minorHAnsi" w:cstheme="minorHAnsi"/>
          <w:sz w:val="24"/>
          <w:szCs w:val="24"/>
        </w:rPr>
        <w:t>Blot</w:t>
      </w:r>
      <w:proofErr w:type="spellEnd"/>
      <w:r w:rsidR="008235A0">
        <w:rPr>
          <w:rFonts w:asciiTheme="minorHAnsi" w:hAnsiTheme="minorHAnsi" w:cstheme="minorHAnsi"/>
          <w:sz w:val="24"/>
          <w:szCs w:val="24"/>
        </w:rPr>
        <w:t xml:space="preserve"> co </w:t>
      </w:r>
      <w:r w:rsidR="008235A0">
        <w:rPr>
          <w:rFonts w:asciiTheme="minorHAnsi" w:hAnsiTheme="minorHAnsi" w:cstheme="minorHAnsi"/>
          <w:sz w:val="24"/>
          <w:szCs w:val="24"/>
        </w:rPr>
        <w:lastRenderedPageBreak/>
        <w:t>najmniej</w:t>
      </w:r>
      <w:r w:rsidRPr="004105E8">
        <w:rPr>
          <w:rFonts w:asciiTheme="minorHAnsi" w:hAnsiTheme="minorHAnsi" w:cstheme="minorHAnsi"/>
          <w:sz w:val="24"/>
          <w:szCs w:val="24"/>
        </w:rPr>
        <w:t>: odczynnik blokujący oraz dwuskładnikowy odczynn</w:t>
      </w:r>
      <w:r w:rsidR="001D4767" w:rsidRPr="004105E8">
        <w:rPr>
          <w:rFonts w:asciiTheme="minorHAnsi" w:hAnsiTheme="minorHAnsi" w:cstheme="minorHAnsi"/>
          <w:sz w:val="24"/>
          <w:szCs w:val="24"/>
        </w:rPr>
        <w:t>ik ECL o podwyższonej czułości,</w:t>
      </w:r>
    </w:p>
    <w:p w14:paraId="5CCE21A7" w14:textId="0CD75AB5" w:rsidR="00E379E5" w:rsidRPr="005F0CA8" w:rsidRDefault="004105E8" w:rsidP="004105E8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0CA8">
        <w:rPr>
          <w:rFonts w:asciiTheme="minorHAnsi" w:hAnsiTheme="minorHAnsi" w:cstheme="minorHAnsi"/>
          <w:sz w:val="24"/>
          <w:szCs w:val="24"/>
        </w:rPr>
        <w:t>Aparat do transferu białek na mokro</w:t>
      </w:r>
      <w:r w:rsidR="00E83971" w:rsidRPr="005F0CA8">
        <w:rPr>
          <w:rFonts w:asciiTheme="minorHAnsi" w:hAnsiTheme="minorHAnsi" w:cstheme="minorHAnsi"/>
          <w:sz w:val="24"/>
          <w:szCs w:val="24"/>
        </w:rPr>
        <w:t>,</w:t>
      </w:r>
    </w:p>
    <w:p w14:paraId="43AC6915" w14:textId="6F82C314" w:rsidR="005F0CA8" w:rsidRPr="00B00108" w:rsidRDefault="00E379E5" w:rsidP="005F0CA8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i/>
          <w:sz w:val="24"/>
          <w:szCs w:val="24"/>
        </w:rPr>
      </w:pPr>
      <w:r w:rsidRPr="00B00108">
        <w:rPr>
          <w:rFonts w:asciiTheme="minorHAnsi" w:hAnsiTheme="minorHAnsi" w:cstheme="minorHAnsi"/>
          <w:sz w:val="24"/>
          <w:szCs w:val="24"/>
        </w:rPr>
        <w:t xml:space="preserve">Transfer </w:t>
      </w:r>
      <w:r w:rsidR="005F0CA8" w:rsidRPr="00B00108">
        <w:rPr>
          <w:rFonts w:asciiTheme="minorHAnsi" w:hAnsiTheme="minorHAnsi" w:cstheme="minorHAnsi"/>
          <w:sz w:val="24"/>
          <w:szCs w:val="24"/>
        </w:rPr>
        <w:t xml:space="preserve">min. </w:t>
      </w:r>
      <w:r w:rsidRPr="00B00108">
        <w:rPr>
          <w:rFonts w:asciiTheme="minorHAnsi" w:hAnsiTheme="minorHAnsi" w:cstheme="minorHAnsi"/>
          <w:sz w:val="24"/>
          <w:szCs w:val="24"/>
        </w:rPr>
        <w:t xml:space="preserve">2 żeli </w:t>
      </w:r>
      <w:r w:rsidR="005F0CA8" w:rsidRPr="00B00108">
        <w:rPr>
          <w:rFonts w:asciiTheme="minorHAnsi" w:hAnsiTheme="minorHAnsi" w:cstheme="minorHAnsi"/>
          <w:sz w:val="24"/>
          <w:szCs w:val="24"/>
        </w:rPr>
        <w:t xml:space="preserve">o wymiarach co najmniej </w:t>
      </w:r>
      <w:r w:rsidR="007329B4">
        <w:rPr>
          <w:rFonts w:asciiTheme="minorHAnsi" w:hAnsiTheme="minorHAnsi" w:cstheme="minorHAnsi"/>
          <w:sz w:val="24"/>
          <w:szCs w:val="24"/>
        </w:rPr>
        <w:t>[szer. x wys.]</w:t>
      </w:r>
      <w:r w:rsidRPr="00B00108">
        <w:rPr>
          <w:rFonts w:asciiTheme="minorHAnsi" w:hAnsiTheme="minorHAnsi" w:cstheme="minorHAnsi"/>
          <w:sz w:val="24"/>
          <w:szCs w:val="24"/>
        </w:rPr>
        <w:t xml:space="preserve">10 x 7,5 cm w </w:t>
      </w:r>
      <w:r w:rsidR="005F0CA8" w:rsidRPr="00B00108">
        <w:rPr>
          <w:rFonts w:asciiTheme="minorHAnsi" w:hAnsiTheme="minorHAnsi" w:cstheme="minorHAnsi"/>
          <w:sz w:val="24"/>
          <w:szCs w:val="24"/>
        </w:rPr>
        <w:t>maks.</w:t>
      </w:r>
      <w:r w:rsidRPr="00B00108">
        <w:rPr>
          <w:rFonts w:asciiTheme="minorHAnsi" w:hAnsiTheme="minorHAnsi" w:cstheme="minorHAnsi"/>
          <w:sz w:val="24"/>
          <w:szCs w:val="24"/>
        </w:rPr>
        <w:t xml:space="preserve"> </w:t>
      </w:r>
      <w:r w:rsidR="005F0CA8" w:rsidRPr="00B00108">
        <w:rPr>
          <w:rFonts w:asciiTheme="minorHAnsi" w:hAnsiTheme="minorHAnsi" w:cstheme="minorHAnsi"/>
          <w:sz w:val="24"/>
          <w:szCs w:val="24"/>
        </w:rPr>
        <w:t>60 minut,</w:t>
      </w:r>
    </w:p>
    <w:p w14:paraId="7741F781" w14:textId="77777777" w:rsidR="005F0CA8" w:rsidRPr="00B00108" w:rsidRDefault="005F0CA8" w:rsidP="005F0CA8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i/>
          <w:sz w:val="24"/>
          <w:szCs w:val="24"/>
        </w:rPr>
      </w:pPr>
      <w:r w:rsidRPr="00B00108">
        <w:rPr>
          <w:rFonts w:asciiTheme="minorHAnsi" w:hAnsiTheme="minorHAnsi" w:cstheme="minorHAnsi"/>
          <w:sz w:val="24"/>
          <w:szCs w:val="24"/>
        </w:rPr>
        <w:t xml:space="preserve">Możliwość </w:t>
      </w:r>
      <w:r w:rsidR="00E379E5" w:rsidRPr="00B00108">
        <w:rPr>
          <w:rFonts w:asciiTheme="minorHAnsi" w:hAnsiTheme="minorHAnsi" w:cstheme="minorHAnsi"/>
          <w:sz w:val="24"/>
          <w:szCs w:val="24"/>
        </w:rPr>
        <w:t>przeprowa</w:t>
      </w:r>
      <w:r w:rsidRPr="00B00108">
        <w:rPr>
          <w:rFonts w:asciiTheme="minorHAnsi" w:hAnsiTheme="minorHAnsi" w:cstheme="minorHAnsi"/>
          <w:sz w:val="24"/>
          <w:szCs w:val="24"/>
        </w:rPr>
        <w:t>dzenia</w:t>
      </w:r>
      <w:r w:rsidR="00E379E5" w:rsidRPr="00B00108">
        <w:rPr>
          <w:rFonts w:asciiTheme="minorHAnsi" w:hAnsiTheme="minorHAnsi" w:cstheme="minorHAnsi"/>
          <w:sz w:val="24"/>
          <w:szCs w:val="24"/>
        </w:rPr>
        <w:t xml:space="preserve"> tran</w:t>
      </w:r>
      <w:r w:rsidR="005E567A" w:rsidRPr="00B00108">
        <w:rPr>
          <w:rFonts w:asciiTheme="minorHAnsi" w:hAnsiTheme="minorHAnsi" w:cstheme="minorHAnsi"/>
          <w:sz w:val="24"/>
          <w:szCs w:val="24"/>
        </w:rPr>
        <w:t>s</w:t>
      </w:r>
      <w:r w:rsidR="00E379E5" w:rsidRPr="00B00108">
        <w:rPr>
          <w:rFonts w:asciiTheme="minorHAnsi" w:hAnsiTheme="minorHAnsi" w:cstheme="minorHAnsi"/>
          <w:sz w:val="24"/>
          <w:szCs w:val="24"/>
        </w:rPr>
        <w:t xml:space="preserve">feru </w:t>
      </w:r>
      <w:r w:rsidRPr="00B00108">
        <w:rPr>
          <w:rFonts w:asciiTheme="minorHAnsi" w:hAnsiTheme="minorHAnsi" w:cstheme="minorHAnsi"/>
          <w:sz w:val="24"/>
          <w:szCs w:val="24"/>
        </w:rPr>
        <w:t>nocnego o niskiej intensywności,</w:t>
      </w:r>
    </w:p>
    <w:p w14:paraId="61A3AFA3" w14:textId="77777777" w:rsidR="005F0CA8" w:rsidRPr="00B00108" w:rsidRDefault="00E379E5" w:rsidP="005F0CA8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i/>
          <w:sz w:val="24"/>
          <w:szCs w:val="24"/>
        </w:rPr>
      </w:pPr>
      <w:r w:rsidRPr="00B00108">
        <w:rPr>
          <w:rFonts w:asciiTheme="minorHAnsi" w:hAnsiTheme="minorHAnsi" w:cstheme="minorHAnsi"/>
          <w:sz w:val="24"/>
          <w:szCs w:val="24"/>
        </w:rPr>
        <w:t>Oznaczone kolorami kasety i elektrody zapewniają</w:t>
      </w:r>
      <w:r w:rsidR="005F0CA8" w:rsidRPr="00B00108">
        <w:rPr>
          <w:rFonts w:asciiTheme="minorHAnsi" w:hAnsiTheme="minorHAnsi" w:cstheme="minorHAnsi"/>
          <w:sz w:val="24"/>
          <w:szCs w:val="24"/>
        </w:rPr>
        <w:t>ce</w:t>
      </w:r>
      <w:r w:rsidRPr="00B00108">
        <w:rPr>
          <w:rFonts w:asciiTheme="minorHAnsi" w:hAnsiTheme="minorHAnsi" w:cstheme="minorHAnsi"/>
          <w:sz w:val="24"/>
          <w:szCs w:val="24"/>
        </w:rPr>
        <w:t xml:space="preserve"> prawidłową or</w:t>
      </w:r>
      <w:r w:rsidR="005F0CA8" w:rsidRPr="00B00108">
        <w:rPr>
          <w:rFonts w:asciiTheme="minorHAnsi" w:hAnsiTheme="minorHAnsi" w:cstheme="minorHAnsi"/>
          <w:sz w:val="24"/>
          <w:szCs w:val="24"/>
        </w:rPr>
        <w:t>ientację żelu podczas transferu,</w:t>
      </w:r>
    </w:p>
    <w:p w14:paraId="6AEDF6D5" w14:textId="242F054B" w:rsidR="00E379E5" w:rsidRPr="00B00108" w:rsidRDefault="00E379E5" w:rsidP="005F0CA8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i/>
          <w:sz w:val="24"/>
          <w:szCs w:val="24"/>
        </w:rPr>
      </w:pPr>
      <w:r w:rsidRPr="00B00108">
        <w:rPr>
          <w:rFonts w:asciiTheme="minorHAnsi" w:hAnsiTheme="minorHAnsi" w:cstheme="minorHAnsi"/>
          <w:sz w:val="24"/>
          <w:szCs w:val="24"/>
        </w:rPr>
        <w:t>Dołączon</w:t>
      </w:r>
      <w:r w:rsidR="00FE1781" w:rsidRPr="00B00108">
        <w:rPr>
          <w:rFonts w:asciiTheme="minorHAnsi" w:hAnsiTheme="minorHAnsi" w:cstheme="minorHAnsi"/>
          <w:sz w:val="24"/>
          <w:szCs w:val="24"/>
        </w:rPr>
        <w:t>a niebieska jednostka chłodząca,</w:t>
      </w:r>
    </w:p>
    <w:p w14:paraId="07919782" w14:textId="5995EC3B" w:rsidR="00FE1781" w:rsidRPr="00B00108" w:rsidRDefault="00FE1781" w:rsidP="00E8397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00108">
        <w:rPr>
          <w:rFonts w:asciiTheme="minorHAnsi" w:hAnsiTheme="minorHAnsi" w:cstheme="minorHAnsi"/>
          <w:sz w:val="24"/>
          <w:szCs w:val="24"/>
        </w:rPr>
        <w:t xml:space="preserve">Wymagana objętość buforu </w:t>
      </w:r>
      <w:r w:rsidR="00B67C6B">
        <w:rPr>
          <w:rFonts w:asciiTheme="minorHAnsi" w:hAnsiTheme="minorHAnsi" w:cstheme="minorHAnsi"/>
          <w:sz w:val="24"/>
          <w:szCs w:val="24"/>
        </w:rPr>
        <w:t xml:space="preserve">min. </w:t>
      </w:r>
      <w:r w:rsidRPr="00B00108">
        <w:rPr>
          <w:rFonts w:asciiTheme="minorHAnsi" w:hAnsiTheme="minorHAnsi" w:cstheme="minorHAnsi"/>
          <w:sz w:val="24"/>
          <w:szCs w:val="24"/>
        </w:rPr>
        <w:t>450 ml,</w:t>
      </w:r>
    </w:p>
    <w:p w14:paraId="4E1640FD" w14:textId="1D269B9E" w:rsidR="00E379E5" w:rsidRPr="004B5F81" w:rsidRDefault="00E379E5" w:rsidP="00FE1781">
      <w:pPr>
        <w:pStyle w:val="Akapitzlist"/>
        <w:numPr>
          <w:ilvl w:val="0"/>
          <w:numId w:val="3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4B5F81">
        <w:rPr>
          <w:rFonts w:asciiTheme="minorHAnsi" w:hAnsiTheme="minorHAnsi" w:cstheme="minorHAnsi"/>
          <w:sz w:val="24"/>
          <w:szCs w:val="24"/>
        </w:rPr>
        <w:t>Kompletny zestaw do elektroforezy pionowej</w:t>
      </w:r>
      <w:r w:rsidR="00B00108" w:rsidRPr="004B5F81">
        <w:rPr>
          <w:rFonts w:asciiTheme="minorHAnsi" w:hAnsiTheme="minorHAnsi" w:cstheme="minorHAnsi"/>
          <w:sz w:val="24"/>
          <w:szCs w:val="24"/>
        </w:rPr>
        <w:t>,</w:t>
      </w:r>
    </w:p>
    <w:p w14:paraId="4A7608A2" w14:textId="030C8021" w:rsidR="00FA643C" w:rsidRPr="00FA643C" w:rsidRDefault="00FA643C" w:rsidP="00FA643C">
      <w:pPr>
        <w:pStyle w:val="Akapitzlist"/>
        <w:numPr>
          <w:ilvl w:val="0"/>
          <w:numId w:val="44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color w:val="0070C0"/>
          <w:sz w:val="24"/>
          <w:szCs w:val="24"/>
        </w:rPr>
      </w:pPr>
      <w:r w:rsidRPr="00FA643C">
        <w:rPr>
          <w:rFonts w:asciiTheme="minorHAnsi" w:hAnsiTheme="minorHAnsi" w:cstheme="minorHAnsi"/>
          <w:sz w:val="24"/>
          <w:szCs w:val="24"/>
        </w:rPr>
        <w:t>Aparat do pionowej elektroforezy białek dla czterech żeli o wymiarach</w:t>
      </w:r>
      <w:r>
        <w:rPr>
          <w:rFonts w:asciiTheme="minorHAnsi" w:hAnsiTheme="minorHAnsi" w:cstheme="minorHAnsi"/>
          <w:sz w:val="24"/>
          <w:szCs w:val="24"/>
        </w:rPr>
        <w:t xml:space="preserve"> min.</w:t>
      </w:r>
      <w:r w:rsidRPr="00FA643C">
        <w:rPr>
          <w:rFonts w:asciiTheme="minorHAnsi" w:hAnsiTheme="minorHAnsi" w:cstheme="minorHAnsi"/>
          <w:sz w:val="24"/>
          <w:szCs w:val="24"/>
        </w:rPr>
        <w:t xml:space="preserve"> 8,3 × 7,3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A643C">
        <w:rPr>
          <w:rFonts w:asciiTheme="minorHAnsi" w:hAnsiTheme="minorHAnsi" w:cstheme="minorHAnsi"/>
          <w:sz w:val="24"/>
          <w:szCs w:val="24"/>
        </w:rPr>
        <w:t>cm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A64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CC8A18" w14:textId="77777777" w:rsidR="00FA643C" w:rsidRPr="00164BA0" w:rsidRDefault="00FA643C" w:rsidP="00FA643C">
      <w:pPr>
        <w:pStyle w:val="Akapitzlist"/>
        <w:numPr>
          <w:ilvl w:val="0"/>
          <w:numId w:val="44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164BA0">
        <w:rPr>
          <w:rFonts w:asciiTheme="minorHAnsi" w:hAnsiTheme="minorHAnsi" w:cstheme="minorHAnsi"/>
          <w:sz w:val="24"/>
          <w:szCs w:val="24"/>
        </w:rPr>
        <w:t>Musi zawierać komorę elektroforetyczną o pojemności nie większej niż 1 L, wkład z elektrodą do umieszczania żeli w komorze oraz pokrywę z kablami,</w:t>
      </w:r>
    </w:p>
    <w:p w14:paraId="39E7675A" w14:textId="5AE64DA5" w:rsidR="00B00108" w:rsidRPr="00164BA0" w:rsidRDefault="00FA643C" w:rsidP="00FA643C">
      <w:pPr>
        <w:pStyle w:val="Akapitzlist"/>
        <w:numPr>
          <w:ilvl w:val="0"/>
          <w:numId w:val="44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164BA0">
        <w:rPr>
          <w:rFonts w:asciiTheme="minorHAnsi" w:hAnsiTheme="minorHAnsi" w:cstheme="minorHAnsi"/>
          <w:sz w:val="24"/>
          <w:szCs w:val="24"/>
        </w:rPr>
        <w:t>Wymiary aparatu: nie większy niż</w:t>
      </w:r>
      <w:r w:rsidR="00933ACC">
        <w:rPr>
          <w:rFonts w:asciiTheme="minorHAnsi" w:hAnsiTheme="minorHAnsi" w:cstheme="minorHAnsi"/>
          <w:sz w:val="24"/>
          <w:szCs w:val="24"/>
        </w:rPr>
        <w:t xml:space="preserve"> [szer. x dł. x wys.]</w:t>
      </w:r>
      <w:r w:rsidRPr="00164BA0">
        <w:rPr>
          <w:rFonts w:asciiTheme="minorHAnsi" w:hAnsiTheme="minorHAnsi" w:cstheme="minorHAnsi"/>
          <w:sz w:val="24"/>
          <w:szCs w:val="24"/>
        </w:rPr>
        <w:t xml:space="preserve"> 12</w:t>
      </w:r>
      <w:r w:rsidR="007329B4">
        <w:rPr>
          <w:rFonts w:asciiTheme="minorHAnsi" w:hAnsiTheme="minorHAnsi" w:cstheme="minorHAnsi"/>
          <w:sz w:val="24"/>
          <w:szCs w:val="24"/>
        </w:rPr>
        <w:t xml:space="preserve"> </w:t>
      </w:r>
      <w:r w:rsidRPr="00164BA0">
        <w:rPr>
          <w:rFonts w:asciiTheme="minorHAnsi" w:hAnsiTheme="minorHAnsi" w:cstheme="minorHAnsi"/>
          <w:sz w:val="24"/>
          <w:szCs w:val="24"/>
        </w:rPr>
        <w:t>x</w:t>
      </w:r>
      <w:r w:rsidR="007329B4">
        <w:rPr>
          <w:rFonts w:asciiTheme="minorHAnsi" w:hAnsiTheme="minorHAnsi" w:cstheme="minorHAnsi"/>
          <w:sz w:val="24"/>
          <w:szCs w:val="24"/>
        </w:rPr>
        <w:t xml:space="preserve"> </w:t>
      </w:r>
      <w:r w:rsidRPr="00164BA0">
        <w:rPr>
          <w:rFonts w:asciiTheme="minorHAnsi" w:hAnsiTheme="minorHAnsi" w:cstheme="minorHAnsi"/>
          <w:sz w:val="24"/>
          <w:szCs w:val="24"/>
        </w:rPr>
        <w:t>16</w:t>
      </w:r>
      <w:r w:rsidR="007329B4">
        <w:rPr>
          <w:rFonts w:asciiTheme="minorHAnsi" w:hAnsiTheme="minorHAnsi" w:cstheme="minorHAnsi"/>
          <w:sz w:val="24"/>
          <w:szCs w:val="24"/>
        </w:rPr>
        <w:t xml:space="preserve"> </w:t>
      </w:r>
      <w:r w:rsidRPr="00164BA0">
        <w:rPr>
          <w:rFonts w:asciiTheme="minorHAnsi" w:hAnsiTheme="minorHAnsi" w:cstheme="minorHAnsi"/>
          <w:sz w:val="24"/>
          <w:szCs w:val="24"/>
        </w:rPr>
        <w:t>x</w:t>
      </w:r>
      <w:r w:rsidR="007329B4">
        <w:rPr>
          <w:rFonts w:asciiTheme="minorHAnsi" w:hAnsiTheme="minorHAnsi" w:cstheme="minorHAnsi"/>
          <w:sz w:val="24"/>
          <w:szCs w:val="24"/>
        </w:rPr>
        <w:t xml:space="preserve"> </w:t>
      </w:r>
      <w:r w:rsidRPr="00164BA0">
        <w:rPr>
          <w:rFonts w:asciiTheme="minorHAnsi" w:hAnsiTheme="minorHAnsi" w:cstheme="minorHAnsi"/>
          <w:sz w:val="24"/>
          <w:szCs w:val="24"/>
        </w:rPr>
        <w:t>18</w:t>
      </w:r>
      <w:r w:rsidR="007329B4">
        <w:rPr>
          <w:rFonts w:asciiTheme="minorHAnsi" w:hAnsiTheme="minorHAnsi" w:cstheme="minorHAnsi"/>
          <w:sz w:val="24"/>
          <w:szCs w:val="24"/>
        </w:rPr>
        <w:t xml:space="preserve"> </w:t>
      </w:r>
      <w:r w:rsidRPr="00164BA0">
        <w:rPr>
          <w:rFonts w:asciiTheme="minorHAnsi" w:hAnsiTheme="minorHAnsi" w:cstheme="minorHAnsi"/>
          <w:sz w:val="24"/>
          <w:szCs w:val="24"/>
        </w:rPr>
        <w:t>cm</w:t>
      </w:r>
      <w:r w:rsidR="00164BA0">
        <w:rPr>
          <w:rFonts w:asciiTheme="minorHAnsi" w:hAnsiTheme="minorHAnsi" w:cstheme="minorHAnsi"/>
          <w:sz w:val="24"/>
          <w:szCs w:val="24"/>
        </w:rPr>
        <w:t>,</w:t>
      </w:r>
    </w:p>
    <w:p w14:paraId="78FE8F57" w14:textId="115E7387" w:rsidR="00872DD7" w:rsidRPr="00387227" w:rsidRDefault="00FA643C" w:rsidP="00FA643C">
      <w:pPr>
        <w:pStyle w:val="Akapitzlist"/>
        <w:numPr>
          <w:ilvl w:val="0"/>
          <w:numId w:val="44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A643C">
        <w:rPr>
          <w:rFonts w:asciiTheme="minorHAnsi" w:hAnsiTheme="minorHAnsi" w:cstheme="minorHAnsi"/>
          <w:sz w:val="24"/>
          <w:szCs w:val="24"/>
        </w:rPr>
        <w:t xml:space="preserve">Zestaw powinien zawierać </w:t>
      </w:r>
      <w:r>
        <w:rPr>
          <w:rFonts w:asciiTheme="minorHAnsi" w:hAnsiTheme="minorHAnsi" w:cstheme="minorHAnsi"/>
          <w:sz w:val="24"/>
          <w:szCs w:val="24"/>
        </w:rPr>
        <w:t>co najmniej</w:t>
      </w:r>
      <w:r w:rsidR="00164BA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A643C">
        <w:rPr>
          <w:rFonts w:asciiTheme="minorHAnsi" w:hAnsiTheme="minorHAnsi" w:cstheme="minorHAnsi"/>
          <w:sz w:val="24"/>
          <w:szCs w:val="24"/>
        </w:rPr>
        <w:t xml:space="preserve">akcesoria do wylewania żeli wraz z płytkami szklanymi (1mm) –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FA643C">
        <w:rPr>
          <w:rFonts w:asciiTheme="minorHAnsi" w:hAnsiTheme="minorHAnsi" w:cstheme="minorHAnsi"/>
          <w:sz w:val="24"/>
          <w:szCs w:val="24"/>
        </w:rPr>
        <w:t>5 szt</w:t>
      </w:r>
      <w:r w:rsidR="007329B4">
        <w:rPr>
          <w:rFonts w:asciiTheme="minorHAnsi" w:hAnsiTheme="minorHAnsi" w:cstheme="minorHAnsi"/>
          <w:sz w:val="24"/>
          <w:szCs w:val="24"/>
        </w:rPr>
        <w:t>., grzebieniami</w:t>
      </w:r>
      <w:r w:rsidRPr="00FA643C">
        <w:rPr>
          <w:rFonts w:asciiTheme="minorHAnsi" w:hAnsiTheme="minorHAnsi" w:cstheme="minorHAnsi"/>
          <w:sz w:val="24"/>
          <w:szCs w:val="24"/>
        </w:rPr>
        <w:t xml:space="preserve"> </w:t>
      </w:r>
      <w:r w:rsidR="007329B4">
        <w:rPr>
          <w:rFonts w:asciiTheme="minorHAnsi" w:hAnsiTheme="minorHAnsi" w:cstheme="minorHAnsi"/>
          <w:sz w:val="24"/>
          <w:szCs w:val="24"/>
        </w:rPr>
        <w:t>10-dołkowymi</w:t>
      </w:r>
      <w:r w:rsidR="00164BA0">
        <w:rPr>
          <w:rFonts w:asciiTheme="minorHAnsi" w:hAnsiTheme="minorHAnsi" w:cstheme="minorHAnsi"/>
          <w:sz w:val="24"/>
          <w:szCs w:val="24"/>
        </w:rPr>
        <w:t xml:space="preserve"> </w:t>
      </w:r>
      <w:r w:rsidRPr="00FA643C">
        <w:rPr>
          <w:rFonts w:asciiTheme="minorHAnsi" w:hAnsiTheme="minorHAnsi" w:cstheme="minorHAnsi"/>
          <w:sz w:val="24"/>
          <w:szCs w:val="24"/>
        </w:rPr>
        <w:t>1mm (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FA643C">
        <w:rPr>
          <w:rFonts w:asciiTheme="minorHAnsi" w:hAnsiTheme="minorHAnsi" w:cstheme="minorHAnsi"/>
          <w:sz w:val="24"/>
          <w:szCs w:val="24"/>
        </w:rPr>
        <w:t>5 szt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A643C">
        <w:rPr>
          <w:rFonts w:asciiTheme="minorHAnsi" w:hAnsiTheme="minorHAnsi" w:cstheme="minorHAnsi"/>
          <w:sz w:val="24"/>
          <w:szCs w:val="24"/>
        </w:rPr>
        <w:t>)</w:t>
      </w:r>
      <w:r w:rsidR="007329B4">
        <w:rPr>
          <w:rFonts w:asciiTheme="minorHAnsi" w:hAnsiTheme="minorHAnsi" w:cstheme="minorHAnsi"/>
          <w:sz w:val="24"/>
          <w:szCs w:val="24"/>
        </w:rPr>
        <w:t>,</w:t>
      </w:r>
    </w:p>
    <w:p w14:paraId="0241CE8E" w14:textId="470BD266" w:rsidR="00E379E5" w:rsidRPr="00F975EA" w:rsidRDefault="00164BA0" w:rsidP="008235A0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235A0" w:rsidRPr="00F975EA">
        <w:rPr>
          <w:rFonts w:asciiTheme="minorHAnsi" w:hAnsiTheme="minorHAnsi" w:cstheme="minorHAnsi"/>
          <w:sz w:val="24"/>
          <w:szCs w:val="24"/>
        </w:rPr>
        <w:t xml:space="preserve">asilacz </w:t>
      </w:r>
      <w:r w:rsidR="00F975EA" w:rsidRPr="00F975EA">
        <w:rPr>
          <w:rFonts w:asciiTheme="minorHAnsi" w:hAnsiTheme="minorHAnsi" w:cstheme="minorHAnsi"/>
          <w:sz w:val="24"/>
          <w:szCs w:val="24"/>
        </w:rPr>
        <w:t>100–120/220–240V,</w:t>
      </w:r>
    </w:p>
    <w:p w14:paraId="1777AAF2" w14:textId="2570FE6A" w:rsidR="00B67C6B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 xml:space="preserve">Wymiary </w:t>
      </w:r>
      <w:r w:rsidR="00B67C6B" w:rsidRPr="00F975EA">
        <w:rPr>
          <w:rFonts w:asciiTheme="minorHAnsi" w:hAnsiTheme="minorHAnsi" w:cstheme="minorHAnsi"/>
          <w:sz w:val="24"/>
          <w:szCs w:val="24"/>
        </w:rPr>
        <w:t>min. [szer. x gł. x wys.]</w:t>
      </w:r>
      <w:r w:rsidRPr="00F975EA">
        <w:rPr>
          <w:rFonts w:asciiTheme="minorHAnsi" w:hAnsiTheme="minorHAnsi" w:cstheme="minorHAnsi"/>
          <w:sz w:val="24"/>
          <w:szCs w:val="24"/>
        </w:rPr>
        <w:t xml:space="preserve"> 2</w:t>
      </w:r>
      <w:r w:rsidR="00F975EA" w:rsidRPr="00F975EA">
        <w:rPr>
          <w:rFonts w:asciiTheme="minorHAnsi" w:hAnsiTheme="minorHAnsi" w:cstheme="minorHAnsi"/>
          <w:sz w:val="24"/>
          <w:szCs w:val="24"/>
        </w:rPr>
        <w:t>0</w:t>
      </w:r>
      <w:r w:rsidR="00B67C6B" w:rsidRPr="00F975EA">
        <w:rPr>
          <w:rFonts w:asciiTheme="minorHAnsi" w:hAnsiTheme="minorHAnsi" w:cstheme="minorHAnsi"/>
          <w:sz w:val="24"/>
          <w:szCs w:val="24"/>
        </w:rPr>
        <w:t xml:space="preserve"> x 2</w:t>
      </w:r>
      <w:r w:rsidR="00F975EA" w:rsidRPr="00F975EA">
        <w:rPr>
          <w:rFonts w:asciiTheme="minorHAnsi" w:hAnsiTheme="minorHAnsi" w:cstheme="minorHAnsi"/>
          <w:sz w:val="24"/>
          <w:szCs w:val="24"/>
        </w:rPr>
        <w:t>5</w:t>
      </w:r>
      <w:r w:rsidR="00217A35">
        <w:rPr>
          <w:rFonts w:asciiTheme="minorHAnsi" w:hAnsiTheme="minorHAnsi" w:cstheme="minorHAnsi"/>
          <w:sz w:val="24"/>
          <w:szCs w:val="24"/>
        </w:rPr>
        <w:t xml:space="preserve"> </w:t>
      </w:r>
      <w:r w:rsidR="00B67C6B" w:rsidRPr="00F975EA">
        <w:rPr>
          <w:rFonts w:asciiTheme="minorHAnsi" w:hAnsiTheme="minorHAnsi" w:cstheme="minorHAnsi"/>
          <w:sz w:val="24"/>
          <w:szCs w:val="24"/>
        </w:rPr>
        <w:t>x 8 cm,</w:t>
      </w:r>
    </w:p>
    <w:p w14:paraId="36D7E546" w14:textId="77777777" w:rsidR="00F975EA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>Specyfikacje wyjściowe 250 V, 3.0 A, 300 W</w:t>
      </w:r>
      <w:r w:rsidR="00F975EA" w:rsidRPr="00F975EA">
        <w:rPr>
          <w:rFonts w:asciiTheme="minorHAnsi" w:hAnsiTheme="minorHAnsi" w:cstheme="minorHAnsi"/>
          <w:sz w:val="24"/>
          <w:szCs w:val="24"/>
        </w:rPr>
        <w:t>,</w:t>
      </w:r>
      <w:r w:rsidRPr="00F975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043CC4" w14:textId="7E8FF793" w:rsidR="00F975EA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 xml:space="preserve">Zakres wyjściowy </w:t>
      </w:r>
      <w:r w:rsidR="00933ACC">
        <w:rPr>
          <w:rFonts w:asciiTheme="minorHAnsi" w:hAnsiTheme="minorHAnsi" w:cstheme="minorHAnsi"/>
          <w:sz w:val="24"/>
          <w:szCs w:val="24"/>
        </w:rPr>
        <w:t xml:space="preserve">co najmniej: </w:t>
      </w:r>
      <w:r w:rsidRPr="00F975EA">
        <w:rPr>
          <w:rFonts w:asciiTheme="minorHAnsi" w:hAnsiTheme="minorHAnsi" w:cstheme="minorHAnsi"/>
          <w:sz w:val="24"/>
          <w:szCs w:val="24"/>
        </w:rPr>
        <w:t>5–250 V, w pełni regul</w:t>
      </w:r>
      <w:r w:rsidR="00933ACC">
        <w:rPr>
          <w:rFonts w:asciiTheme="minorHAnsi" w:hAnsiTheme="minorHAnsi" w:cstheme="minorHAnsi"/>
          <w:sz w:val="24"/>
          <w:szCs w:val="24"/>
        </w:rPr>
        <w:t xml:space="preserve">owany w krokach co 1 V; 0.01–3 A </w:t>
      </w:r>
      <w:r w:rsidRPr="00F975EA">
        <w:rPr>
          <w:rFonts w:asciiTheme="minorHAnsi" w:hAnsiTheme="minorHAnsi" w:cstheme="minorHAnsi"/>
          <w:sz w:val="24"/>
          <w:szCs w:val="24"/>
        </w:rPr>
        <w:t>w pełni regulowany w krokach co 0.01 A</w:t>
      </w:r>
      <w:r w:rsidR="00933ACC">
        <w:rPr>
          <w:rFonts w:asciiTheme="minorHAnsi" w:hAnsiTheme="minorHAnsi" w:cstheme="minorHAnsi"/>
          <w:sz w:val="24"/>
          <w:szCs w:val="24"/>
        </w:rPr>
        <w:t>;</w:t>
      </w:r>
      <w:r w:rsidRPr="00F975EA">
        <w:rPr>
          <w:rFonts w:asciiTheme="minorHAnsi" w:hAnsiTheme="minorHAnsi" w:cstheme="minorHAnsi"/>
          <w:sz w:val="24"/>
          <w:szCs w:val="24"/>
        </w:rPr>
        <w:t xml:space="preserve"> 1–300 W, w pełni regulowany w krokach co 1 W</w:t>
      </w:r>
      <w:r w:rsidR="00F975EA" w:rsidRPr="00F975EA">
        <w:rPr>
          <w:rFonts w:asciiTheme="minorHAnsi" w:hAnsiTheme="minorHAnsi" w:cstheme="minorHAnsi"/>
          <w:sz w:val="24"/>
          <w:szCs w:val="24"/>
        </w:rPr>
        <w:t>,</w:t>
      </w:r>
    </w:p>
    <w:p w14:paraId="353C14B7" w14:textId="428DF6DF" w:rsidR="00F975EA" w:rsidRPr="00F975EA" w:rsidRDefault="00933ACC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wyjścia: s</w:t>
      </w:r>
      <w:r w:rsidR="00E379E5" w:rsidRPr="00F975EA">
        <w:rPr>
          <w:rFonts w:asciiTheme="minorHAnsi" w:hAnsiTheme="minorHAnsi" w:cstheme="minorHAnsi"/>
          <w:sz w:val="24"/>
          <w:szCs w:val="24"/>
        </w:rPr>
        <w:t>tałe napięcie. stały prąd lub moc z automatycznym przełączaniem</w:t>
      </w:r>
      <w:r>
        <w:rPr>
          <w:rFonts w:asciiTheme="minorHAnsi" w:hAnsiTheme="minorHAnsi" w:cstheme="minorHAnsi"/>
          <w:sz w:val="24"/>
          <w:szCs w:val="24"/>
        </w:rPr>
        <w:t>,</w:t>
      </w:r>
      <w:r w:rsidR="00E379E5" w:rsidRPr="00F975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FB34A0" w14:textId="77777777" w:rsidR="00F975EA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>Sterowanie czasowe 1 min–99 g</w:t>
      </w:r>
      <w:r w:rsidR="00F975EA" w:rsidRPr="00F975EA">
        <w:rPr>
          <w:rFonts w:asciiTheme="minorHAnsi" w:hAnsiTheme="minorHAnsi" w:cstheme="minorHAnsi"/>
          <w:sz w:val="24"/>
          <w:szCs w:val="24"/>
        </w:rPr>
        <w:t>odz. 59 min, w pełni regulowany,</w:t>
      </w:r>
    </w:p>
    <w:p w14:paraId="3A1F5D99" w14:textId="63B92D0D" w:rsidR="00F975EA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 xml:space="preserve">Wyjście </w:t>
      </w:r>
      <w:r w:rsidR="00933ACC">
        <w:rPr>
          <w:rFonts w:asciiTheme="minorHAnsi" w:hAnsiTheme="minorHAnsi" w:cstheme="minorHAnsi"/>
          <w:sz w:val="24"/>
          <w:szCs w:val="24"/>
        </w:rPr>
        <w:t xml:space="preserve">min. </w:t>
      </w:r>
      <w:r w:rsidRPr="00F975EA">
        <w:rPr>
          <w:rFonts w:asciiTheme="minorHAnsi" w:hAnsiTheme="minorHAnsi" w:cstheme="minorHAnsi"/>
          <w:sz w:val="24"/>
          <w:szCs w:val="24"/>
        </w:rPr>
        <w:t xml:space="preserve">4 pary równoległych wpuszczanych gniazd umożliwiające na jednoczesne podłączenie </w:t>
      </w:r>
      <w:r w:rsidR="00933ACC">
        <w:rPr>
          <w:rFonts w:asciiTheme="minorHAnsi" w:hAnsiTheme="minorHAnsi" w:cstheme="minorHAnsi"/>
          <w:sz w:val="24"/>
          <w:szCs w:val="24"/>
        </w:rPr>
        <w:t xml:space="preserve">min. </w:t>
      </w:r>
      <w:r w:rsidRPr="00F975EA">
        <w:rPr>
          <w:rFonts w:asciiTheme="minorHAnsi" w:hAnsiTheme="minorHAnsi" w:cstheme="minorHAnsi"/>
          <w:sz w:val="24"/>
          <w:szCs w:val="24"/>
        </w:rPr>
        <w:t>czterech urządzeń</w:t>
      </w:r>
      <w:r w:rsidR="00F975EA" w:rsidRPr="00F975EA">
        <w:rPr>
          <w:rFonts w:asciiTheme="minorHAnsi" w:hAnsiTheme="minorHAnsi" w:cstheme="minorHAnsi"/>
          <w:sz w:val="24"/>
          <w:szCs w:val="24"/>
        </w:rPr>
        <w:t>,</w:t>
      </w:r>
      <w:r w:rsidRPr="00F975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6E585B" w14:textId="77777777" w:rsidR="00F975EA" w:rsidRPr="00F975EA" w:rsidRDefault="00F975EA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>Funkcja pauzy/wznawiania,</w:t>
      </w:r>
    </w:p>
    <w:p w14:paraId="461666E4" w14:textId="77777777" w:rsidR="00F975EA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 xml:space="preserve">Wyświetlacz </w:t>
      </w:r>
      <w:r w:rsidR="00F975EA" w:rsidRPr="00F975EA">
        <w:rPr>
          <w:rFonts w:asciiTheme="minorHAnsi" w:hAnsiTheme="minorHAnsi" w:cstheme="minorHAnsi"/>
          <w:sz w:val="24"/>
          <w:szCs w:val="24"/>
        </w:rPr>
        <w:t xml:space="preserve">min. </w:t>
      </w:r>
      <w:r w:rsidRPr="00F975EA">
        <w:rPr>
          <w:rFonts w:asciiTheme="minorHAnsi" w:hAnsiTheme="minorHAnsi" w:cstheme="minorHAnsi"/>
          <w:sz w:val="24"/>
          <w:szCs w:val="24"/>
        </w:rPr>
        <w:t xml:space="preserve">2-wierszowy, </w:t>
      </w:r>
      <w:r w:rsidR="00F975EA" w:rsidRPr="00F975EA">
        <w:rPr>
          <w:rFonts w:asciiTheme="minorHAnsi" w:hAnsiTheme="minorHAnsi" w:cstheme="minorHAnsi"/>
          <w:sz w:val="24"/>
          <w:szCs w:val="24"/>
        </w:rPr>
        <w:t xml:space="preserve">min. </w:t>
      </w:r>
      <w:r w:rsidRPr="00F975EA">
        <w:rPr>
          <w:rFonts w:asciiTheme="minorHAnsi" w:hAnsiTheme="minorHAnsi" w:cstheme="minorHAnsi"/>
          <w:sz w:val="24"/>
          <w:szCs w:val="24"/>
        </w:rPr>
        <w:t>16-znakowy podświetlany LCD</w:t>
      </w:r>
      <w:r w:rsidR="00F975EA" w:rsidRPr="00F975EA">
        <w:rPr>
          <w:rFonts w:asciiTheme="minorHAnsi" w:hAnsiTheme="minorHAnsi" w:cstheme="minorHAnsi"/>
          <w:sz w:val="24"/>
          <w:szCs w:val="24"/>
        </w:rPr>
        <w:t>,</w:t>
      </w:r>
    </w:p>
    <w:p w14:paraId="76419C4C" w14:textId="04CFD472" w:rsidR="00F975EA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 xml:space="preserve"> Warunki pracy </w:t>
      </w:r>
      <w:r w:rsidR="00933ACC">
        <w:rPr>
          <w:rFonts w:asciiTheme="minorHAnsi" w:hAnsiTheme="minorHAnsi" w:cstheme="minorHAnsi"/>
          <w:sz w:val="24"/>
          <w:szCs w:val="24"/>
        </w:rPr>
        <w:t>w</w:t>
      </w:r>
      <w:r w:rsidR="00F975EA" w:rsidRPr="00F975EA">
        <w:rPr>
          <w:rFonts w:asciiTheme="minorHAnsi" w:hAnsiTheme="minorHAnsi" w:cstheme="minorHAnsi"/>
          <w:sz w:val="24"/>
          <w:szCs w:val="24"/>
        </w:rPr>
        <w:t xml:space="preserve"> min. </w:t>
      </w:r>
      <w:r w:rsidR="00933ACC">
        <w:rPr>
          <w:rFonts w:asciiTheme="minorHAnsi" w:hAnsiTheme="minorHAnsi" w:cstheme="minorHAnsi"/>
          <w:sz w:val="24"/>
          <w:szCs w:val="24"/>
        </w:rPr>
        <w:t xml:space="preserve">zakresie od 0 do </w:t>
      </w:r>
      <w:r w:rsidRPr="00F975EA">
        <w:rPr>
          <w:rFonts w:asciiTheme="minorHAnsi" w:hAnsiTheme="minorHAnsi" w:cstheme="minorHAnsi"/>
          <w:sz w:val="24"/>
          <w:szCs w:val="24"/>
        </w:rPr>
        <w:t xml:space="preserve">40°C; </w:t>
      </w:r>
      <w:r w:rsidR="00933ACC">
        <w:rPr>
          <w:rFonts w:asciiTheme="minorHAnsi" w:hAnsiTheme="minorHAnsi" w:cstheme="minorHAnsi"/>
          <w:sz w:val="24"/>
          <w:szCs w:val="24"/>
        </w:rPr>
        <w:t xml:space="preserve">od 0 do </w:t>
      </w:r>
      <w:r w:rsidRPr="00F975EA">
        <w:rPr>
          <w:rFonts w:asciiTheme="minorHAnsi" w:hAnsiTheme="minorHAnsi" w:cstheme="minorHAnsi"/>
          <w:sz w:val="24"/>
          <w:szCs w:val="24"/>
        </w:rPr>
        <w:t>95% wilgotności przy braku kondensacji</w:t>
      </w:r>
      <w:r w:rsidR="00F975EA" w:rsidRPr="00F975EA">
        <w:rPr>
          <w:rFonts w:asciiTheme="minorHAnsi" w:hAnsiTheme="minorHAnsi" w:cstheme="minorHAnsi"/>
          <w:sz w:val="24"/>
          <w:szCs w:val="24"/>
        </w:rPr>
        <w:t>,</w:t>
      </w:r>
    </w:p>
    <w:p w14:paraId="09EADD65" w14:textId="0E8EE3EF" w:rsidR="00F975EA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 xml:space="preserve"> Funkcje bezpieczeństwa </w:t>
      </w:r>
      <w:r w:rsidR="00F975EA" w:rsidRPr="00F975EA">
        <w:rPr>
          <w:rFonts w:asciiTheme="minorHAnsi" w:hAnsiTheme="minorHAnsi" w:cstheme="minorHAnsi"/>
          <w:sz w:val="24"/>
          <w:szCs w:val="24"/>
        </w:rPr>
        <w:t>co najmniej: w</w:t>
      </w:r>
      <w:r w:rsidRPr="00F975EA">
        <w:rPr>
          <w:rFonts w:asciiTheme="minorHAnsi" w:hAnsiTheme="minorHAnsi" w:cstheme="minorHAnsi"/>
          <w:sz w:val="24"/>
          <w:szCs w:val="24"/>
        </w:rPr>
        <w:t>ykrywanie braku obciążenia; wykrywanie szybkiej zmiany rezystancji, wykrywanie upływu uziemienia, wykrywanie przeciążenia/zwarć, ochrona przepięciowa, ochrona przed przegrzaniem</w:t>
      </w:r>
      <w:r w:rsidR="00F975EA" w:rsidRPr="00F975EA">
        <w:rPr>
          <w:rFonts w:asciiTheme="minorHAnsi" w:hAnsiTheme="minorHAnsi" w:cstheme="minorHAnsi"/>
          <w:sz w:val="24"/>
          <w:szCs w:val="24"/>
        </w:rPr>
        <w:t>,</w:t>
      </w:r>
    </w:p>
    <w:p w14:paraId="27FDD1B9" w14:textId="6D642427" w:rsidR="00865A93" w:rsidRPr="00F975EA" w:rsidRDefault="00E379E5" w:rsidP="00387227">
      <w:pPr>
        <w:pStyle w:val="Akapitzlist"/>
        <w:numPr>
          <w:ilvl w:val="0"/>
          <w:numId w:val="45"/>
        </w:numPr>
        <w:tabs>
          <w:tab w:val="right" w:leader="dot" w:pos="9639"/>
        </w:tabs>
        <w:spacing w:line="360" w:lineRule="auto"/>
        <w:ind w:right="352" w:hanging="357"/>
        <w:rPr>
          <w:rFonts w:asciiTheme="minorHAnsi" w:hAnsiTheme="minorHAnsi" w:cstheme="minorHAnsi"/>
          <w:b/>
          <w:sz w:val="24"/>
          <w:szCs w:val="24"/>
        </w:rPr>
      </w:pPr>
      <w:r w:rsidRPr="00F975EA">
        <w:rPr>
          <w:rFonts w:asciiTheme="minorHAnsi" w:hAnsiTheme="minorHAnsi" w:cstheme="minorHAnsi"/>
          <w:sz w:val="24"/>
          <w:szCs w:val="24"/>
        </w:rPr>
        <w:t>Moc wejściowa (nominalna) 100-120 / 220-240</w:t>
      </w:r>
      <w:r w:rsidR="00F975EA" w:rsidRPr="00F975EA">
        <w:rPr>
          <w:rFonts w:asciiTheme="minorHAnsi" w:hAnsiTheme="minorHAnsi" w:cstheme="minorHAnsi"/>
          <w:sz w:val="24"/>
          <w:szCs w:val="24"/>
        </w:rPr>
        <w:t xml:space="preserve"> VAC, automatyczne przełączanie,</w:t>
      </w:r>
    </w:p>
    <w:p w14:paraId="50D515ED" w14:textId="3E24FA74" w:rsidR="0095537D" w:rsidRPr="00FB0E3A" w:rsidRDefault="00983FAC" w:rsidP="003E1F20">
      <w:pPr>
        <w:pStyle w:val="Nagwek2"/>
      </w:pPr>
      <w:r w:rsidRPr="00FB0E3A">
        <w:lastRenderedPageBreak/>
        <w:t>WYMAGANIA OGÓLNE</w:t>
      </w:r>
      <w:r w:rsidR="006C6257" w:rsidRPr="00FB0E3A">
        <w:t xml:space="preserve"> </w:t>
      </w:r>
    </w:p>
    <w:p w14:paraId="19B6F44D" w14:textId="595F477A" w:rsidR="00204CA6" w:rsidRPr="00FB0E3A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P</w:t>
      </w:r>
      <w:r w:rsidR="00204CA6" w:rsidRPr="00FB0E3A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FB0E3A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O</w:t>
      </w:r>
      <w:r w:rsidR="00204CA6" w:rsidRPr="00FB0E3A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FB0E3A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S</w:t>
      </w:r>
      <w:r w:rsidR="00204CA6" w:rsidRPr="00FB0E3A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FB0E3A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204CA6" w:rsidRPr="00FB0E3A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FB0E3A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FB0E3A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FB0E3A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374E39C" w:rsidR="00BE3F6E" w:rsidRPr="00FB0E3A" w:rsidRDefault="00BE3F6E" w:rsidP="00363021">
      <w:pPr>
        <w:pStyle w:val="Akapitzlist"/>
        <w:numPr>
          <w:ilvl w:val="0"/>
          <w:numId w:val="24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FB0E3A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FB0E3A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FB0E3A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FB0E3A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FB0E3A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FB0E3A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B0E3A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FB0E3A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FB0E3A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FB0E3A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FB0E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0E3A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FB0E3A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</w:t>
      </w:r>
      <w:r w:rsidRPr="00FB0E3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identyfikacji przez Zamawiającego poszczególnych parametrów (numer z </w:t>
      </w:r>
      <w:r w:rsidRPr="00FB0E3A">
        <w:rPr>
          <w:rFonts w:asciiTheme="minorHAnsi" w:hAnsiTheme="minorHAnsi" w:cstheme="minorHAnsi"/>
          <w:sz w:val="24"/>
          <w:szCs w:val="24"/>
        </w:rPr>
        <w:t>oznaczeniem</w:t>
      </w:r>
      <w:r w:rsidRPr="00FB0E3A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Pr="00FB0E3A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FB0E3A">
        <w:rPr>
          <w:rFonts w:asciiTheme="minorHAnsi" w:hAnsiTheme="minorHAnsi" w:cstheme="minorHAnsi"/>
          <w:sz w:val="24"/>
          <w:szCs w:val="24"/>
        </w:rPr>
        <w:t>wraz z urządzeniem)</w:t>
      </w:r>
      <w:r w:rsidRPr="00FB0E3A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i</w:t>
      </w:r>
      <w:r w:rsidRPr="00FB0E3A">
        <w:rPr>
          <w:rFonts w:asciiTheme="minorHAnsi" w:eastAsia="Arial Unicode MS" w:hAnsiTheme="minorHAnsi" w:cstheme="minorHAnsi"/>
          <w:sz w:val="24"/>
          <w:szCs w:val="24"/>
        </w:rPr>
        <w:t>nstrukcja stanowiskowa (dopuszcza   się instrukcję obsługi)</w:t>
      </w:r>
      <w:r w:rsidRPr="00FB0E3A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FB0E3A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33ED3C04" w14:textId="77777777" w:rsidR="0095537D" w:rsidRPr="00FB0E3A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FB0E3A">
        <w:rPr>
          <w:rFonts w:asciiTheme="minorHAnsi" w:hAnsiTheme="minorHAnsi" w:cstheme="minorHAnsi"/>
          <w:sz w:val="24"/>
          <w:szCs w:val="24"/>
        </w:rPr>
        <w:br/>
      </w:r>
      <w:r w:rsidRPr="00FB0E3A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FB0E3A" w:rsidRDefault="00204CA6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FB0E3A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FB0E3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FB0E3A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FB0E3A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B0E3A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875D5D8" w:rsidR="0095537D" w:rsidRPr="00FB0E3A" w:rsidRDefault="00605AB7" w:rsidP="003E1F20">
      <w:pPr>
        <w:pStyle w:val="Nagwek1"/>
      </w:pPr>
      <w:r w:rsidRPr="00FB0E3A">
        <w:t>OCENA</w:t>
      </w:r>
      <w:r w:rsidR="00E97857">
        <w:t xml:space="preserve"> WARUNKÓW GWARANCJI – część nr 2</w:t>
      </w:r>
    </w:p>
    <w:p w14:paraId="24B75B13" w14:textId="1034EDA2" w:rsidR="008C3F92" w:rsidRPr="00FB0E3A" w:rsidRDefault="008C3F92" w:rsidP="00FB0E3A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FB0E3A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FB0E3A">
        <w:rPr>
          <w:rFonts w:ascii="Calibri" w:hAnsi="Calibri" w:cs="Calibri"/>
          <w:bCs/>
          <w:sz w:val="24"/>
          <w:szCs w:val="24"/>
        </w:rPr>
        <w:t xml:space="preserve">do: </w:t>
      </w:r>
    </w:p>
    <w:p w14:paraId="1630B7E9" w14:textId="77777777" w:rsidR="00FB0E3A" w:rsidRPr="00FB0E3A" w:rsidRDefault="00FB0E3A" w:rsidP="00FB0E3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b/>
          <w:sz w:val="24"/>
          <w:szCs w:val="24"/>
        </w:rPr>
        <w:t>Zakład Chemii Leków UMB</w:t>
      </w:r>
    </w:p>
    <w:p w14:paraId="292DB275" w14:textId="74C91CB3" w:rsidR="008C3F92" w:rsidRPr="00FB0E3A" w:rsidRDefault="00FB0E3A" w:rsidP="008C3F92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0E3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Zestaw do Western </w:t>
      </w:r>
      <w:proofErr w:type="spellStart"/>
      <w:r w:rsidRPr="00FB0E3A">
        <w:rPr>
          <w:rFonts w:asciiTheme="minorHAnsi" w:hAnsiTheme="minorHAnsi" w:cstheme="minorHAnsi"/>
          <w:b/>
          <w:bCs/>
          <w:sz w:val="24"/>
          <w:szCs w:val="24"/>
          <w:u w:val="single"/>
        </w:rPr>
        <w:t>Blot</w:t>
      </w:r>
      <w:proofErr w:type="spellEnd"/>
      <w:r w:rsidRPr="00FB0E3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wraz z systemem do wizualizacji – 1 szt.</w:t>
      </w:r>
    </w:p>
    <w:p w14:paraId="3610138C" w14:textId="489858B4" w:rsidR="006524D6" w:rsidRPr="004074C0" w:rsidRDefault="00204CA6" w:rsidP="004074C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FB0E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0E3A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FB0E3A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FB0E3A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FB0E3A">
        <w:rPr>
          <w:rFonts w:asciiTheme="minorHAnsi" w:hAnsiTheme="minorHAnsi" w:cstheme="minorHAnsi"/>
          <w:b/>
          <w:sz w:val="24"/>
          <w:szCs w:val="24"/>
        </w:rPr>
        <w:t>w</w:t>
      </w:r>
      <w:r w:rsidRPr="00FB0E3A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FB0E3A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6B1FE19" w:rsidR="00204CA6" w:rsidRPr="001D4767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4912BD">
        <w:rPr>
          <w:rFonts w:asciiTheme="minorHAnsi" w:hAnsiTheme="minorHAnsi" w:cstheme="minorHAnsi"/>
          <w:b/>
          <w:sz w:val="24"/>
          <w:szCs w:val="24"/>
        </w:rPr>
        <w:t xml:space="preserve">Okres gwarancji </w:t>
      </w:r>
      <w:r w:rsidR="008C3F92" w:rsidRPr="004912BD">
        <w:rPr>
          <w:rFonts w:asciiTheme="minorHAnsi" w:hAnsiTheme="minorHAnsi" w:cstheme="minorHAnsi"/>
          <w:b/>
          <w:sz w:val="24"/>
          <w:szCs w:val="24"/>
        </w:rPr>
        <w:t>nie</w:t>
      </w:r>
      <w:r w:rsidR="008C3F92" w:rsidRPr="001D4767">
        <w:rPr>
          <w:rFonts w:asciiTheme="minorHAnsi" w:hAnsiTheme="minorHAnsi" w:cstheme="minorHAnsi"/>
          <w:b/>
          <w:sz w:val="24"/>
          <w:szCs w:val="24"/>
        </w:rPr>
        <w:t xml:space="preserve"> krótszy niż </w:t>
      </w:r>
      <w:r w:rsidR="001D4767" w:rsidRPr="00450FE6">
        <w:rPr>
          <w:rFonts w:asciiTheme="minorHAnsi" w:hAnsiTheme="minorHAnsi" w:cstheme="minorHAnsi"/>
          <w:b/>
          <w:sz w:val="24"/>
          <w:szCs w:val="24"/>
        </w:rPr>
        <w:t>12</w:t>
      </w:r>
      <w:r w:rsidR="001D4767" w:rsidRPr="001D4767">
        <w:rPr>
          <w:rFonts w:asciiTheme="minorHAnsi" w:hAnsiTheme="minorHAnsi" w:cstheme="minorHAnsi"/>
          <w:b/>
          <w:sz w:val="24"/>
          <w:szCs w:val="24"/>
        </w:rPr>
        <w:t xml:space="preserve"> miesię</w:t>
      </w:r>
      <w:r w:rsidR="008C3F92" w:rsidRPr="001D4767">
        <w:rPr>
          <w:rFonts w:asciiTheme="minorHAnsi" w:hAnsiTheme="minorHAnsi" w:cstheme="minorHAnsi"/>
          <w:b/>
          <w:sz w:val="24"/>
          <w:szCs w:val="24"/>
        </w:rPr>
        <w:t>cy</w:t>
      </w:r>
      <w:r w:rsidR="004912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12BD">
        <w:rPr>
          <w:rFonts w:asciiTheme="minorHAnsi" w:hAnsiTheme="minorHAnsi" w:cstheme="minorHAnsi"/>
          <w:sz w:val="24"/>
          <w:szCs w:val="24"/>
        </w:rPr>
        <w:t>(w przypadku laptopa</w:t>
      </w:r>
      <w:r w:rsidR="00450FE6">
        <w:rPr>
          <w:rFonts w:asciiTheme="minorHAnsi" w:hAnsiTheme="minorHAnsi" w:cstheme="minorHAnsi"/>
          <w:sz w:val="24"/>
          <w:szCs w:val="24"/>
        </w:rPr>
        <w:t xml:space="preserve"> i urządzenia</w:t>
      </w:r>
      <w:r w:rsidR="00450FE6" w:rsidRPr="004105E8">
        <w:rPr>
          <w:rFonts w:asciiTheme="minorHAnsi" w:hAnsiTheme="minorHAnsi" w:cstheme="minorHAnsi"/>
          <w:sz w:val="24"/>
          <w:szCs w:val="24"/>
        </w:rPr>
        <w:t xml:space="preserve"> do obrazowania i analizy żeli oraz western </w:t>
      </w:r>
      <w:proofErr w:type="spellStart"/>
      <w:r w:rsidR="00450FE6" w:rsidRPr="004105E8">
        <w:rPr>
          <w:rFonts w:asciiTheme="minorHAnsi" w:hAnsiTheme="minorHAnsi" w:cstheme="minorHAnsi"/>
          <w:sz w:val="24"/>
          <w:szCs w:val="24"/>
        </w:rPr>
        <w:t>blotów</w:t>
      </w:r>
      <w:proofErr w:type="spellEnd"/>
      <w:r w:rsidR="004912BD">
        <w:rPr>
          <w:rFonts w:asciiTheme="minorHAnsi" w:hAnsiTheme="minorHAnsi" w:cstheme="minorHAnsi"/>
          <w:sz w:val="24"/>
          <w:szCs w:val="24"/>
        </w:rPr>
        <w:t xml:space="preserve"> wymagana jest gwarancja </w:t>
      </w:r>
      <w:r w:rsidR="004912BD" w:rsidRPr="001630A7">
        <w:rPr>
          <w:rFonts w:asciiTheme="minorHAnsi" w:hAnsiTheme="minorHAnsi" w:cstheme="minorHAnsi"/>
          <w:b/>
          <w:sz w:val="24"/>
          <w:szCs w:val="24"/>
        </w:rPr>
        <w:t>24 miesiące</w:t>
      </w:r>
      <w:r w:rsidR="004912BD">
        <w:rPr>
          <w:rFonts w:asciiTheme="minorHAnsi" w:hAnsiTheme="minorHAnsi" w:cstheme="minorHAnsi"/>
          <w:sz w:val="24"/>
          <w:szCs w:val="24"/>
        </w:rPr>
        <w:t>).</w:t>
      </w:r>
    </w:p>
    <w:p w14:paraId="13E3D935" w14:textId="09EBA913" w:rsidR="00204CA6" w:rsidRPr="001D4767" w:rsidRDefault="008C3F92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1D4767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D4767" w:rsidRPr="001D4767">
        <w:rPr>
          <w:rFonts w:asciiTheme="minorHAnsi" w:hAnsiTheme="minorHAnsi" w:cstheme="minorHAnsi"/>
          <w:b/>
          <w:sz w:val="24"/>
          <w:szCs w:val="24"/>
        </w:rPr>
        <w:t>12</w:t>
      </w:r>
      <w:r w:rsidRPr="001D4767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1D4767" w:rsidRPr="001D4767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1D4767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1D4767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1D4767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1D4767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1D4767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1D4767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1D4767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056B89" w:rsidR="00204CA6" w:rsidRPr="001D4767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1D4767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1D4767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1D4767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1D4767">
        <w:rPr>
          <w:rFonts w:asciiTheme="minorHAnsi" w:hAnsiTheme="minorHAnsi" w:cstheme="minorHAnsi"/>
          <w:sz w:val="24"/>
          <w:szCs w:val="24"/>
        </w:rPr>
        <w:t>minimalnego</w:t>
      </w:r>
      <w:r w:rsidR="008C3F92" w:rsidRPr="001D4767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1D4767" w:rsidRPr="001D4767">
        <w:rPr>
          <w:rFonts w:asciiTheme="minorHAnsi" w:hAnsiTheme="minorHAnsi" w:cstheme="minorHAnsi"/>
          <w:sz w:val="24"/>
          <w:szCs w:val="24"/>
        </w:rPr>
        <w:t>12</w:t>
      </w:r>
      <w:r w:rsidRPr="001D4767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1D4767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1D4767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1D4767">
        <w:rPr>
          <w:rFonts w:asciiTheme="minorHAnsi" w:hAnsiTheme="minorHAnsi" w:cstheme="minorHAnsi"/>
          <w:sz w:val="24"/>
          <w:szCs w:val="24"/>
        </w:rPr>
        <w:t xml:space="preserve"> -</w:t>
      </w:r>
      <w:r w:rsidRPr="001D4767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0054644" w:rsidR="00204CA6" w:rsidRPr="001D4767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1D4767">
        <w:rPr>
          <w:rFonts w:asciiTheme="minorHAnsi" w:hAnsiTheme="minorHAnsi" w:cstheme="minorHAnsi"/>
          <w:sz w:val="24"/>
          <w:szCs w:val="24"/>
        </w:rPr>
        <w:t>wpisze okres gwa</w:t>
      </w:r>
      <w:r w:rsidR="001D4767" w:rsidRPr="001D4767">
        <w:rPr>
          <w:rFonts w:asciiTheme="minorHAnsi" w:hAnsiTheme="minorHAnsi" w:cstheme="minorHAnsi"/>
          <w:sz w:val="24"/>
          <w:szCs w:val="24"/>
        </w:rPr>
        <w:t>rancji krótszy niż minimalny (12</w:t>
      </w:r>
      <w:r w:rsidRPr="001D4767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1D4767">
        <w:rPr>
          <w:rFonts w:asciiTheme="minorHAnsi" w:hAnsiTheme="minorHAnsi" w:cstheme="minorHAnsi"/>
          <w:sz w:val="24"/>
          <w:szCs w:val="24"/>
        </w:rPr>
        <w:t xml:space="preserve">- </w:t>
      </w:r>
      <w:r w:rsidRPr="001D4767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B62835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B62835">
          <w:pgSz w:w="11910" w:h="16840"/>
          <w:pgMar w:top="1400" w:right="1080" w:bottom="280" w:left="1100" w:header="708" w:footer="708" w:gutter="0"/>
          <w:cols w:space="708"/>
        </w:sectPr>
      </w:pPr>
      <w:r w:rsidRPr="00B6283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B62835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7B09D7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7B09D7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br w:type="page"/>
      </w:r>
    </w:p>
    <w:p w14:paraId="5751BE43" w14:textId="77777777" w:rsidR="0095537D" w:rsidRPr="00FB0E3A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B0E3A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62E2EBA" w:rsidR="0095537D" w:rsidRPr="00FB0E3A" w:rsidRDefault="006524D6" w:rsidP="003E1F20">
      <w:pPr>
        <w:pStyle w:val="Nagwek1"/>
      </w:pPr>
      <w:r w:rsidRPr="00FB0E3A">
        <w:t>WARUNKI GWARANCJI, RĘKOJMI I SE</w:t>
      </w:r>
      <w:r w:rsidR="00E97857">
        <w:t>RWISU GWARANCYJNEGO – część nr 2</w:t>
      </w:r>
    </w:p>
    <w:p w14:paraId="68846B53" w14:textId="77777777" w:rsidR="003D7CC4" w:rsidRPr="00FB0E3A" w:rsidRDefault="003D7CC4" w:rsidP="003D7CC4">
      <w:pPr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FB0E3A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FB0E3A">
        <w:rPr>
          <w:rFonts w:ascii="Calibri" w:hAnsi="Calibri" w:cs="Calibri"/>
          <w:bCs/>
          <w:sz w:val="24"/>
          <w:szCs w:val="24"/>
        </w:rPr>
        <w:t xml:space="preserve">do: </w:t>
      </w:r>
    </w:p>
    <w:p w14:paraId="22343C84" w14:textId="77777777" w:rsidR="00FB0E3A" w:rsidRPr="00FB0E3A" w:rsidRDefault="00FB0E3A" w:rsidP="00FB0E3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b/>
          <w:sz w:val="24"/>
          <w:szCs w:val="24"/>
        </w:rPr>
        <w:t>Zakład Chemii Leków UMB</w:t>
      </w:r>
    </w:p>
    <w:p w14:paraId="49024794" w14:textId="77777777" w:rsidR="00FB0E3A" w:rsidRPr="00FB0E3A" w:rsidRDefault="00FB0E3A" w:rsidP="00FB0E3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0E3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Zestaw do Western </w:t>
      </w:r>
      <w:proofErr w:type="spellStart"/>
      <w:r w:rsidRPr="00FB0E3A">
        <w:rPr>
          <w:rFonts w:asciiTheme="minorHAnsi" w:hAnsiTheme="minorHAnsi" w:cstheme="minorHAnsi"/>
          <w:b/>
          <w:bCs/>
          <w:sz w:val="24"/>
          <w:szCs w:val="24"/>
          <w:u w:val="single"/>
        </w:rPr>
        <w:t>Blot</w:t>
      </w:r>
      <w:proofErr w:type="spellEnd"/>
      <w:r w:rsidRPr="00FB0E3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wraz z systemem do wizualizacji – 1 szt.</w:t>
      </w:r>
    </w:p>
    <w:p w14:paraId="371FCD17" w14:textId="77777777" w:rsidR="006524D6" w:rsidRPr="00FB0E3A" w:rsidRDefault="006524D6" w:rsidP="00363021">
      <w:pPr>
        <w:pStyle w:val="Nagwek2"/>
        <w:numPr>
          <w:ilvl w:val="0"/>
          <w:numId w:val="5"/>
        </w:numPr>
        <w:ind w:left="426"/>
      </w:pPr>
      <w:r w:rsidRPr="00FB0E3A">
        <w:t>WARUNKI GWARANCJI, RĘKOJMI I SERWISU GWARANCYJNEGO</w:t>
      </w:r>
    </w:p>
    <w:p w14:paraId="5A0BB8D4" w14:textId="0D2D8388" w:rsidR="0095537D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P</w:t>
      </w:r>
      <w:r w:rsidR="006524D6" w:rsidRPr="00FB0E3A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O</w:t>
      </w:r>
      <w:r w:rsidR="006524D6" w:rsidRPr="00FB0E3A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O</w:t>
      </w:r>
      <w:r w:rsidR="006524D6" w:rsidRPr="00FB0E3A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6524D6" w:rsidRPr="00FB0E3A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P</w:t>
      </w:r>
      <w:r w:rsidR="006524D6" w:rsidRPr="00FB0E3A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BF0606D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6524D6" w:rsidRPr="00FB0E3A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6524D6" w:rsidRPr="00FB0E3A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N</w:t>
      </w:r>
      <w:r w:rsidR="006524D6" w:rsidRPr="00FB0E3A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C</w:t>
      </w:r>
      <w:r w:rsidR="006524D6" w:rsidRPr="00FB0E3A">
        <w:rPr>
          <w:rFonts w:asciiTheme="minorHAnsi" w:hAnsiTheme="minorHAnsi" w:cstheme="minorHAnsi"/>
          <w:sz w:val="24"/>
          <w:szCs w:val="24"/>
        </w:rPr>
        <w:t>elem</w:t>
      </w:r>
      <w:r w:rsidR="004B79E8" w:rsidRPr="00FB0E3A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FB0E3A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FB0E3A">
        <w:rPr>
          <w:rFonts w:asciiTheme="minorHAnsi" w:hAnsiTheme="minorHAnsi" w:cstheme="minorHAnsi"/>
          <w:sz w:val="24"/>
          <w:szCs w:val="24"/>
        </w:rPr>
        <w:t>usłu</w:t>
      </w:r>
      <w:r w:rsidR="00201767" w:rsidRPr="00FB0E3A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FB0E3A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FB0E3A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FB0E3A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2264F8C" w:rsidR="006524D6" w:rsidRPr="00FB0E3A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C</w:t>
      </w:r>
      <w:r w:rsidR="006524D6" w:rsidRPr="00FB0E3A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FB0E3A">
        <w:rPr>
          <w:rFonts w:asciiTheme="minorHAnsi" w:hAnsiTheme="minorHAnsi" w:cstheme="minorHAnsi"/>
          <w:sz w:val="24"/>
          <w:szCs w:val="24"/>
        </w:rPr>
        <w:br/>
      </w:r>
      <w:r w:rsidR="006524D6" w:rsidRPr="00FB0E3A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="006524D6" w:rsidRPr="00FB0E3A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FB0E3A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N</w:t>
      </w:r>
      <w:r w:rsidR="006524D6" w:rsidRPr="00FB0E3A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J</w:t>
      </w:r>
      <w:r w:rsidR="006524D6" w:rsidRPr="00FB0E3A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6524D6" w:rsidRPr="00FB0E3A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6524D6" w:rsidRPr="00FB0E3A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R</w:t>
      </w:r>
      <w:r w:rsidR="006524D6" w:rsidRPr="00FB0E3A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O</w:t>
      </w:r>
      <w:r w:rsidR="006524D6" w:rsidRPr="00FB0E3A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FB0E3A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FB0E3A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FB0E3A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0771A395" w:rsidR="006524D6" w:rsidRPr="00FB0E3A" w:rsidRDefault="001E13B1" w:rsidP="0036302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FB0E3A">
        <w:rPr>
          <w:rFonts w:asciiTheme="minorHAnsi" w:hAnsiTheme="minorHAnsi" w:cstheme="minorHAnsi"/>
          <w:sz w:val="24"/>
          <w:szCs w:val="24"/>
        </w:rPr>
        <w:t>K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FB0E3A">
        <w:rPr>
          <w:rFonts w:asciiTheme="minorHAnsi" w:hAnsiTheme="minorHAnsi" w:cstheme="minorHAnsi"/>
          <w:sz w:val="24"/>
          <w:szCs w:val="24"/>
        </w:rPr>
        <w:t>z</w:t>
      </w:r>
      <w:r w:rsidR="006524D6" w:rsidRPr="00FB0E3A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FB0E3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FB0E3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FB0E3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FB0E3A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FB0E3A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FB0E3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FB0E3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FB0E3A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B0E3A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FB0E3A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B0E3A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C7F057D" w:rsidR="0095537D" w:rsidRPr="00FB0E3A" w:rsidRDefault="006524D6" w:rsidP="003E1F20">
      <w:pPr>
        <w:pStyle w:val="Nagwek1"/>
      </w:pPr>
      <w:r w:rsidRPr="00FB0E3A">
        <w:t xml:space="preserve">PROCEDURA DOSTAW </w:t>
      </w:r>
      <w:r w:rsidR="00E97857">
        <w:t>I ODBIORÓW URZĄDZEŃ – część nr 2</w:t>
      </w:r>
    </w:p>
    <w:p w14:paraId="40BC1D2C" w14:textId="7780D85F" w:rsidR="003D7CC4" w:rsidRPr="00FB0E3A" w:rsidRDefault="003D7CC4" w:rsidP="00FB0E3A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FB0E3A">
        <w:rPr>
          <w:rFonts w:ascii="Calibri" w:hAnsi="Calibri" w:cs="Calibr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FB0E3A">
        <w:rPr>
          <w:rFonts w:ascii="Calibri" w:hAnsi="Calibri" w:cs="Calibri"/>
          <w:bCs/>
          <w:sz w:val="24"/>
          <w:szCs w:val="24"/>
        </w:rPr>
        <w:t xml:space="preserve">do: </w:t>
      </w:r>
    </w:p>
    <w:p w14:paraId="1949313B" w14:textId="77777777" w:rsidR="00FB0E3A" w:rsidRPr="00FB0E3A" w:rsidRDefault="00FB0E3A" w:rsidP="00FB0E3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B0E3A">
        <w:rPr>
          <w:rFonts w:asciiTheme="minorHAnsi" w:hAnsiTheme="minorHAnsi" w:cstheme="minorHAnsi"/>
          <w:b/>
          <w:sz w:val="24"/>
          <w:szCs w:val="24"/>
        </w:rPr>
        <w:t>Zakład Chemii Leków UMB</w:t>
      </w:r>
    </w:p>
    <w:p w14:paraId="24F9AC06" w14:textId="1AC3CD8C" w:rsidR="00FB0E3A" w:rsidRPr="00FB0E3A" w:rsidRDefault="00FB0E3A" w:rsidP="00FB0E3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Zestaw do Western </w:t>
      </w:r>
      <w:proofErr w:type="spellStart"/>
      <w:r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>Blot</w:t>
      </w:r>
      <w:proofErr w:type="spellEnd"/>
      <w:r w:rsidRPr="00AE7C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wraz z systemem do wizualizacji – 1 szt.</w:t>
      </w:r>
    </w:p>
    <w:p w14:paraId="2443233E" w14:textId="77777777" w:rsidR="008C0B5E" w:rsidRPr="00FB0E3A" w:rsidRDefault="008C0B5E" w:rsidP="00363021">
      <w:pPr>
        <w:pStyle w:val="Nagwek2"/>
        <w:numPr>
          <w:ilvl w:val="0"/>
          <w:numId w:val="7"/>
        </w:numPr>
        <w:ind w:left="426"/>
      </w:pPr>
      <w:r w:rsidRPr="00FB0E3A">
        <w:t>PROCEDURA DOSTAW URZĄDZEŃ</w:t>
      </w:r>
    </w:p>
    <w:p w14:paraId="3EABC5EF" w14:textId="04E4CD12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P</w:t>
      </w:r>
      <w:r w:rsidR="00F92A4E" w:rsidRPr="00FB0E3A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E3D7455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D</w:t>
      </w:r>
      <w:r w:rsidR="00F92A4E" w:rsidRPr="00FB0E3A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3970AD05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U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FB0E3A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FB0E3A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FB0E3A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FB0E3A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U</w:t>
      </w:r>
      <w:r w:rsidR="00F92A4E" w:rsidRPr="00FB0E3A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FB0E3A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FB0E3A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F92A4E" w:rsidRPr="00FB0E3A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CB1E2D5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F92A4E" w:rsidRPr="00FB0E3A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FB0E3A">
        <w:rPr>
          <w:rFonts w:asciiTheme="minorHAnsi" w:hAnsiTheme="minorHAnsi" w:cstheme="minorHAnsi"/>
          <w:sz w:val="24"/>
          <w:szCs w:val="24"/>
        </w:rPr>
        <w:br/>
      </w:r>
      <w:r w:rsidR="00F92A4E" w:rsidRPr="00FB0E3A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92A4E" w:rsidRPr="00FB0E3A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F92A4E" w:rsidRPr="00FB0E3A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FB0E3A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FB0E3A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FB0E3A">
        <w:rPr>
          <w:rFonts w:asciiTheme="minorHAnsi" w:hAnsiTheme="minorHAnsi" w:cstheme="minorHAnsi"/>
          <w:sz w:val="24"/>
          <w:szCs w:val="24"/>
        </w:rPr>
        <w:t>Z</w:t>
      </w:r>
      <w:r w:rsidR="00B16969" w:rsidRPr="00FB0E3A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FB0E3A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FB0E3A" w:rsidRDefault="00B16969" w:rsidP="003E1F20">
      <w:pPr>
        <w:pStyle w:val="Nagwek2"/>
      </w:pPr>
      <w:r w:rsidRPr="00FB0E3A">
        <w:t>PROCEDURA ODBIORU URZĄDZEŃ</w:t>
      </w:r>
    </w:p>
    <w:p w14:paraId="12C6D552" w14:textId="1588604D" w:rsidR="00B16969" w:rsidRPr="00FB0E3A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</w:rPr>
        <w:t>P</w:t>
      </w:r>
      <w:r w:rsidR="00AB1529" w:rsidRPr="00FB0E3A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FB0E3A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FB0E3A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42C27864" w:rsidR="00AB1529" w:rsidRPr="00FB0E3A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W</w:t>
      </w:r>
      <w:r w:rsidR="00AB1529" w:rsidRPr="00FB0E3A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8EEF3CF" w:rsidR="00AB1529" w:rsidRPr="00FB0E3A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O</w:t>
      </w:r>
      <w:r w:rsidR="00AB1529" w:rsidRPr="00FB0E3A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FB0E3A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FB0E3A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FB0E3A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FB0E3A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FB0E3A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FB0E3A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FB0E3A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FB0E3A">
        <w:rPr>
          <w:rFonts w:asciiTheme="minorHAnsi" w:hAnsiTheme="minorHAnsi" w:cstheme="minorHAnsi"/>
          <w:sz w:val="24"/>
          <w:szCs w:val="24"/>
        </w:rPr>
        <w:br/>
      </w:r>
      <w:r w:rsidRPr="00FB0E3A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5BA0EA36" w:rsidR="00AB1529" w:rsidRPr="00FB0E3A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P</w:t>
      </w:r>
      <w:r w:rsidR="00AB1529" w:rsidRPr="00FB0E3A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6442E286" w:rsidR="00AB1529" w:rsidRPr="00FB0E3A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Z</w:t>
      </w:r>
      <w:r w:rsidR="00AB1529" w:rsidRPr="00FB0E3A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FB0E3A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lastRenderedPageBreak/>
        <w:t>instrukcję stanowiskową / instrukcje obsługi urządzenia;</w:t>
      </w:r>
    </w:p>
    <w:p w14:paraId="025FE0A4" w14:textId="77777777" w:rsidR="00AB1529" w:rsidRPr="00FB0E3A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13D3A4F2" w:rsidR="00AB1529" w:rsidRPr="00FB0E3A" w:rsidRDefault="001E13B1" w:rsidP="0036302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B0E3A">
        <w:rPr>
          <w:rFonts w:asciiTheme="minorHAnsi" w:hAnsiTheme="minorHAnsi" w:cstheme="minorHAnsi"/>
          <w:sz w:val="24"/>
          <w:szCs w:val="24"/>
        </w:rPr>
        <w:t>Z</w:t>
      </w:r>
      <w:r w:rsidR="00AB1529" w:rsidRPr="00FB0E3A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B0E3A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FB0E3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FB0E3A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FB0E3A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40BA8" w16cid:durableId="25E2A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C8479" w14:textId="77777777" w:rsidR="00A03116" w:rsidRDefault="00A03116" w:rsidP="00B0618E">
      <w:r>
        <w:separator/>
      </w:r>
    </w:p>
  </w:endnote>
  <w:endnote w:type="continuationSeparator" w:id="0">
    <w:p w14:paraId="2DFD9D52" w14:textId="77777777" w:rsidR="00A03116" w:rsidRDefault="00A03116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904D" w14:textId="77777777" w:rsidR="00B0618E" w:rsidRPr="004E1F16" w:rsidRDefault="00B0618E" w:rsidP="00B0618E">
    <w:pPr>
      <w:jc w:val="center"/>
      <w:rPr>
        <w:sz w:val="16"/>
        <w:szCs w:val="16"/>
      </w:rPr>
    </w:pPr>
    <w:r w:rsidRPr="004E1F16">
      <w:rPr>
        <w:sz w:val="16"/>
        <w:szCs w:val="16"/>
      </w:rPr>
      <w:t xml:space="preserve">Projekt pn. </w:t>
    </w:r>
    <w:r w:rsidRPr="004E1F16">
      <w:rPr>
        <w:i/>
        <w:sz w:val="16"/>
        <w:szCs w:val="16"/>
      </w:rPr>
      <w:t>Centrum Badań Innowacyjnych w zakresie Prewencji Chorób Cywilizacyjnych i Medycyny Indywidualizowanej (CBI PLUS)</w:t>
    </w:r>
    <w:r w:rsidRPr="004E1F16">
      <w:rPr>
        <w:sz w:val="16"/>
        <w:szCs w:val="16"/>
      </w:rPr>
      <w:t xml:space="preserve"> współfinansowany ze środków z Europejskiego Funduszu Rozwoju Regionalnego </w:t>
    </w:r>
  </w:p>
  <w:p w14:paraId="0282E7D6" w14:textId="74E0D217" w:rsidR="00B0618E" w:rsidRPr="00B0618E" w:rsidRDefault="00B0618E" w:rsidP="00B0618E">
    <w:pPr>
      <w:jc w:val="center"/>
      <w:rPr>
        <w:color w:val="000000"/>
        <w:sz w:val="16"/>
        <w:szCs w:val="16"/>
      </w:rPr>
    </w:pPr>
    <w:r w:rsidRPr="004E1F16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EB57A" w14:textId="77777777" w:rsidR="00A03116" w:rsidRDefault="00A03116" w:rsidP="00B0618E">
      <w:r>
        <w:separator/>
      </w:r>
    </w:p>
  </w:footnote>
  <w:footnote w:type="continuationSeparator" w:id="0">
    <w:p w14:paraId="23030E46" w14:textId="77777777" w:rsidR="00A03116" w:rsidRDefault="00A03116" w:rsidP="00B0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C1E6" w14:textId="031BABE1" w:rsidR="00B0618E" w:rsidRDefault="00B0618E">
    <w:pPr>
      <w:pStyle w:val="Nagwek"/>
    </w:pPr>
    <w:r>
      <w:rPr>
        <w:noProof/>
        <w:lang w:eastAsia="pl-PL"/>
      </w:rPr>
      <w:drawing>
        <wp:inline distT="0" distB="0" distL="0" distR="0" wp14:anchorId="579D81E5" wp14:editId="508D2002">
          <wp:extent cx="5759450" cy="53228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842"/>
    <w:multiLevelType w:val="hybridMultilevel"/>
    <w:tmpl w:val="764E12D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6F67BC"/>
    <w:multiLevelType w:val="hybridMultilevel"/>
    <w:tmpl w:val="D44E46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CF28D8"/>
    <w:multiLevelType w:val="hybridMultilevel"/>
    <w:tmpl w:val="AFA849DA"/>
    <w:lvl w:ilvl="0" w:tplc="150E18E8">
      <w:start w:val="1"/>
      <w:numFmt w:val="decimal"/>
      <w:lvlText w:val="%1)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87424"/>
    <w:multiLevelType w:val="hybridMultilevel"/>
    <w:tmpl w:val="6AB040DE"/>
    <w:lvl w:ilvl="0" w:tplc="3B94219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091803F2"/>
    <w:multiLevelType w:val="hybridMultilevel"/>
    <w:tmpl w:val="9BCC7276"/>
    <w:lvl w:ilvl="0" w:tplc="3B94219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098A2644"/>
    <w:multiLevelType w:val="hybridMultilevel"/>
    <w:tmpl w:val="654813F4"/>
    <w:lvl w:ilvl="0" w:tplc="CC10FF6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323808"/>
    <w:multiLevelType w:val="hybridMultilevel"/>
    <w:tmpl w:val="8870905C"/>
    <w:lvl w:ilvl="0" w:tplc="BF78DD7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202DC"/>
    <w:multiLevelType w:val="hybridMultilevel"/>
    <w:tmpl w:val="BAA8647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311EA"/>
    <w:multiLevelType w:val="hybridMultilevel"/>
    <w:tmpl w:val="47D062AE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94E4AD1"/>
    <w:multiLevelType w:val="hybridMultilevel"/>
    <w:tmpl w:val="0C06B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2C80"/>
    <w:multiLevelType w:val="hybridMultilevel"/>
    <w:tmpl w:val="A1DC08C0"/>
    <w:lvl w:ilvl="0" w:tplc="27B24326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5407"/>
    <w:multiLevelType w:val="hybridMultilevel"/>
    <w:tmpl w:val="CB088E32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03B53DD"/>
    <w:multiLevelType w:val="hybridMultilevel"/>
    <w:tmpl w:val="F43A00BA"/>
    <w:lvl w:ilvl="0" w:tplc="1B2CE5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B2081"/>
    <w:multiLevelType w:val="hybridMultilevel"/>
    <w:tmpl w:val="16C62F1E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291E66"/>
    <w:multiLevelType w:val="hybridMultilevel"/>
    <w:tmpl w:val="B04CE8C0"/>
    <w:lvl w:ilvl="0" w:tplc="C108DA3C">
      <w:start w:val="1"/>
      <w:numFmt w:val="lowerLetter"/>
      <w:lvlText w:val="%1)"/>
      <w:lvlJc w:val="left"/>
      <w:pPr>
        <w:ind w:left="114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E1377"/>
    <w:multiLevelType w:val="hybridMultilevel"/>
    <w:tmpl w:val="34D2C9A8"/>
    <w:lvl w:ilvl="0" w:tplc="DB6AFA5A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467F"/>
    <w:multiLevelType w:val="hybridMultilevel"/>
    <w:tmpl w:val="F2B80C68"/>
    <w:lvl w:ilvl="0" w:tplc="3B94219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B5D91"/>
    <w:multiLevelType w:val="hybridMultilevel"/>
    <w:tmpl w:val="69C65942"/>
    <w:lvl w:ilvl="0" w:tplc="3B9421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E99194A"/>
    <w:multiLevelType w:val="hybridMultilevel"/>
    <w:tmpl w:val="DF041EA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D871F8"/>
    <w:multiLevelType w:val="hybridMultilevel"/>
    <w:tmpl w:val="3EE67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9654C"/>
    <w:multiLevelType w:val="hybridMultilevel"/>
    <w:tmpl w:val="B2FE51E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E281B"/>
    <w:multiLevelType w:val="hybridMultilevel"/>
    <w:tmpl w:val="77521DE2"/>
    <w:lvl w:ilvl="0" w:tplc="D0EEB2B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69F4E5E"/>
    <w:multiLevelType w:val="hybridMultilevel"/>
    <w:tmpl w:val="4C583F06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B33F8"/>
    <w:multiLevelType w:val="hybridMultilevel"/>
    <w:tmpl w:val="72246BFA"/>
    <w:lvl w:ilvl="0" w:tplc="EB743F8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7A80451"/>
    <w:multiLevelType w:val="hybridMultilevel"/>
    <w:tmpl w:val="87647912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7FA54CE"/>
    <w:multiLevelType w:val="hybridMultilevel"/>
    <w:tmpl w:val="67021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E7E11"/>
    <w:multiLevelType w:val="hybridMultilevel"/>
    <w:tmpl w:val="9CD646E0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3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B56DB"/>
    <w:multiLevelType w:val="hybridMultilevel"/>
    <w:tmpl w:val="D3064C3C"/>
    <w:lvl w:ilvl="0" w:tplc="61823CDA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6EF1AFB"/>
    <w:multiLevelType w:val="hybridMultilevel"/>
    <w:tmpl w:val="8AB6E7A6"/>
    <w:lvl w:ilvl="0" w:tplc="8AF0A38C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1283F"/>
    <w:multiLevelType w:val="hybridMultilevel"/>
    <w:tmpl w:val="51301828"/>
    <w:lvl w:ilvl="0" w:tplc="1D221F48">
      <w:start w:val="1"/>
      <w:numFmt w:val="decimal"/>
      <w:lvlText w:val="%1)"/>
      <w:lvlJc w:val="left"/>
      <w:pPr>
        <w:ind w:left="8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7">
    <w:nsid w:val="68D33124"/>
    <w:multiLevelType w:val="hybridMultilevel"/>
    <w:tmpl w:val="F9200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53FEB"/>
    <w:multiLevelType w:val="hybridMultilevel"/>
    <w:tmpl w:val="4E7AFFE8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150E18E8">
      <w:start w:val="1"/>
      <w:numFmt w:val="decimal"/>
      <w:lvlText w:val="%2)"/>
      <w:lvlJc w:val="left"/>
      <w:pPr>
        <w:ind w:left="643" w:hanging="360"/>
      </w:pPr>
      <w:rPr>
        <w:b w:val="0"/>
        <w:i w:val="0"/>
        <w:color w:val="auto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44DB"/>
    <w:multiLevelType w:val="hybridMultilevel"/>
    <w:tmpl w:val="AFA849DA"/>
    <w:lvl w:ilvl="0" w:tplc="150E18E8">
      <w:start w:val="1"/>
      <w:numFmt w:val="decimal"/>
      <w:lvlText w:val="%1)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41">
    <w:nsid w:val="76F90A74"/>
    <w:multiLevelType w:val="hybridMultilevel"/>
    <w:tmpl w:val="34D2C9A8"/>
    <w:lvl w:ilvl="0" w:tplc="DB6AFA5A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19"/>
  </w:num>
  <w:num w:numId="4">
    <w:abstractNumId w:val="32"/>
  </w:num>
  <w:num w:numId="5">
    <w:abstractNumId w:val="38"/>
    <w:lvlOverride w:ilvl="0">
      <w:startOverride w:val="1"/>
    </w:lvlOverride>
  </w:num>
  <w:num w:numId="6">
    <w:abstractNumId w:val="25"/>
  </w:num>
  <w:num w:numId="7">
    <w:abstractNumId w:val="38"/>
    <w:lvlOverride w:ilvl="0">
      <w:startOverride w:val="1"/>
    </w:lvlOverride>
  </w:num>
  <w:num w:numId="8">
    <w:abstractNumId w:val="33"/>
  </w:num>
  <w:num w:numId="9">
    <w:abstractNumId w:val="24"/>
  </w:num>
  <w:num w:numId="10">
    <w:abstractNumId w:val="11"/>
  </w:num>
  <w:num w:numId="11">
    <w:abstractNumId w:val="31"/>
  </w:num>
  <w:num w:numId="12">
    <w:abstractNumId w:val="6"/>
  </w:num>
  <w:num w:numId="13">
    <w:abstractNumId w:val="41"/>
  </w:num>
  <w:num w:numId="14">
    <w:abstractNumId w:val="17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21"/>
  </w:num>
  <w:num w:numId="20">
    <w:abstractNumId w:val="26"/>
  </w:num>
  <w:num w:numId="21">
    <w:abstractNumId w:val="13"/>
  </w:num>
  <w:num w:numId="22">
    <w:abstractNumId w:val="34"/>
  </w:num>
  <w:num w:numId="23">
    <w:abstractNumId w:val="37"/>
  </w:num>
  <w:num w:numId="24">
    <w:abstractNumId w:val="16"/>
  </w:num>
  <w:num w:numId="25">
    <w:abstractNumId w:val="29"/>
  </w:num>
  <w:num w:numId="26">
    <w:abstractNumId w:val="3"/>
  </w:num>
  <w:num w:numId="27">
    <w:abstractNumId w:val="27"/>
  </w:num>
  <w:num w:numId="28">
    <w:abstractNumId w:val="36"/>
  </w:num>
  <w:num w:numId="29">
    <w:abstractNumId w:val="4"/>
  </w:num>
  <w:num w:numId="30">
    <w:abstractNumId w:val="14"/>
  </w:num>
  <w:num w:numId="31">
    <w:abstractNumId w:val="20"/>
  </w:num>
  <w:num w:numId="32">
    <w:abstractNumId w:val="9"/>
  </w:num>
  <w:num w:numId="33">
    <w:abstractNumId w:val="18"/>
  </w:num>
  <w:num w:numId="34">
    <w:abstractNumId w:val="12"/>
  </w:num>
  <w:num w:numId="35">
    <w:abstractNumId w:val="10"/>
  </w:num>
  <w:num w:numId="36">
    <w:abstractNumId w:val="23"/>
  </w:num>
  <w:num w:numId="37">
    <w:abstractNumId w:val="35"/>
  </w:num>
  <w:num w:numId="38">
    <w:abstractNumId w:val="30"/>
  </w:num>
  <w:num w:numId="39">
    <w:abstractNumId w:val="22"/>
  </w:num>
  <w:num w:numId="40">
    <w:abstractNumId w:val="8"/>
  </w:num>
  <w:num w:numId="41">
    <w:abstractNumId w:val="1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540A"/>
    <w:rsid w:val="00046B06"/>
    <w:rsid w:val="0005317F"/>
    <w:rsid w:val="00073F37"/>
    <w:rsid w:val="00094BDE"/>
    <w:rsid w:val="000D20EB"/>
    <w:rsid w:val="000F1985"/>
    <w:rsid w:val="001113AD"/>
    <w:rsid w:val="001376AF"/>
    <w:rsid w:val="00151B58"/>
    <w:rsid w:val="001617D5"/>
    <w:rsid w:val="001630A7"/>
    <w:rsid w:val="00164BA0"/>
    <w:rsid w:val="00187B9D"/>
    <w:rsid w:val="001A2456"/>
    <w:rsid w:val="001B17E6"/>
    <w:rsid w:val="001C4BF9"/>
    <w:rsid w:val="001D4767"/>
    <w:rsid w:val="001E0075"/>
    <w:rsid w:val="001E13B1"/>
    <w:rsid w:val="001F58B6"/>
    <w:rsid w:val="001F68B0"/>
    <w:rsid w:val="001F79C8"/>
    <w:rsid w:val="00201767"/>
    <w:rsid w:val="00204CA6"/>
    <w:rsid w:val="002135F9"/>
    <w:rsid w:val="00215CB8"/>
    <w:rsid w:val="00217A35"/>
    <w:rsid w:val="00242A0C"/>
    <w:rsid w:val="002652FD"/>
    <w:rsid w:val="002A4D62"/>
    <w:rsid w:val="002E67BE"/>
    <w:rsid w:val="002F394B"/>
    <w:rsid w:val="00314EFC"/>
    <w:rsid w:val="00350AD7"/>
    <w:rsid w:val="00363021"/>
    <w:rsid w:val="00371B3E"/>
    <w:rsid w:val="00387227"/>
    <w:rsid w:val="003D7CC4"/>
    <w:rsid w:val="003E1F20"/>
    <w:rsid w:val="00400430"/>
    <w:rsid w:val="00406501"/>
    <w:rsid w:val="004074C0"/>
    <w:rsid w:val="004105E8"/>
    <w:rsid w:val="00432E0B"/>
    <w:rsid w:val="00450FE6"/>
    <w:rsid w:val="00490600"/>
    <w:rsid w:val="004912BD"/>
    <w:rsid w:val="004B5F81"/>
    <w:rsid w:val="004B79E8"/>
    <w:rsid w:val="005144DD"/>
    <w:rsid w:val="00536E54"/>
    <w:rsid w:val="0056420C"/>
    <w:rsid w:val="0058275E"/>
    <w:rsid w:val="005854BC"/>
    <w:rsid w:val="005B5664"/>
    <w:rsid w:val="005D1C0C"/>
    <w:rsid w:val="005E567A"/>
    <w:rsid w:val="005F0781"/>
    <w:rsid w:val="005F0CA8"/>
    <w:rsid w:val="00605AB7"/>
    <w:rsid w:val="00610A4C"/>
    <w:rsid w:val="006110C6"/>
    <w:rsid w:val="00637E45"/>
    <w:rsid w:val="006524D6"/>
    <w:rsid w:val="0069323B"/>
    <w:rsid w:val="00695CC3"/>
    <w:rsid w:val="006C6257"/>
    <w:rsid w:val="006E5D69"/>
    <w:rsid w:val="00730974"/>
    <w:rsid w:val="007329B4"/>
    <w:rsid w:val="00753844"/>
    <w:rsid w:val="007560CD"/>
    <w:rsid w:val="00786BE1"/>
    <w:rsid w:val="00797E7D"/>
    <w:rsid w:val="007B09D7"/>
    <w:rsid w:val="007B7D30"/>
    <w:rsid w:val="008235A0"/>
    <w:rsid w:val="00824D4B"/>
    <w:rsid w:val="00865A93"/>
    <w:rsid w:val="00872DD7"/>
    <w:rsid w:val="00891C6F"/>
    <w:rsid w:val="0089623F"/>
    <w:rsid w:val="008A40C0"/>
    <w:rsid w:val="008C0B5E"/>
    <w:rsid w:val="008C3F92"/>
    <w:rsid w:val="008D4910"/>
    <w:rsid w:val="008F02A9"/>
    <w:rsid w:val="009047A1"/>
    <w:rsid w:val="00915624"/>
    <w:rsid w:val="0092594D"/>
    <w:rsid w:val="00933ACC"/>
    <w:rsid w:val="0095537D"/>
    <w:rsid w:val="00960696"/>
    <w:rsid w:val="00982DD2"/>
    <w:rsid w:val="00983FAC"/>
    <w:rsid w:val="009A0412"/>
    <w:rsid w:val="009F4C43"/>
    <w:rsid w:val="00A03116"/>
    <w:rsid w:val="00A32693"/>
    <w:rsid w:val="00A40A55"/>
    <w:rsid w:val="00A54A74"/>
    <w:rsid w:val="00A86417"/>
    <w:rsid w:val="00AB1529"/>
    <w:rsid w:val="00AB1DE5"/>
    <w:rsid w:val="00AC6358"/>
    <w:rsid w:val="00AE7C1F"/>
    <w:rsid w:val="00B00108"/>
    <w:rsid w:val="00B0618E"/>
    <w:rsid w:val="00B16969"/>
    <w:rsid w:val="00B42B5F"/>
    <w:rsid w:val="00B4428F"/>
    <w:rsid w:val="00B62835"/>
    <w:rsid w:val="00B67C6B"/>
    <w:rsid w:val="00BC0F00"/>
    <w:rsid w:val="00BE3F6E"/>
    <w:rsid w:val="00BF4E8F"/>
    <w:rsid w:val="00C20A34"/>
    <w:rsid w:val="00C5558C"/>
    <w:rsid w:val="00C91891"/>
    <w:rsid w:val="00D06A4D"/>
    <w:rsid w:val="00D23BA3"/>
    <w:rsid w:val="00D41039"/>
    <w:rsid w:val="00DC1F62"/>
    <w:rsid w:val="00DF15B8"/>
    <w:rsid w:val="00E379E5"/>
    <w:rsid w:val="00E37BDE"/>
    <w:rsid w:val="00E42D2D"/>
    <w:rsid w:val="00E62876"/>
    <w:rsid w:val="00E83971"/>
    <w:rsid w:val="00E8707F"/>
    <w:rsid w:val="00E97857"/>
    <w:rsid w:val="00F304AD"/>
    <w:rsid w:val="00F46BAD"/>
    <w:rsid w:val="00F92A4E"/>
    <w:rsid w:val="00F975EA"/>
    <w:rsid w:val="00FA643C"/>
    <w:rsid w:val="00FA66B0"/>
    <w:rsid w:val="00FB0E3A"/>
    <w:rsid w:val="00FB790B"/>
    <w:rsid w:val="00FD28DC"/>
    <w:rsid w:val="00FE1781"/>
    <w:rsid w:val="00FE56EF"/>
    <w:rsid w:val="00FF26F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0E3A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0E3A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85E8-BC1F-4B1C-96DF-A1E6EF45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12</Pages>
  <Words>2856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57</cp:revision>
  <cp:lastPrinted>2022-03-22T07:18:00Z</cp:lastPrinted>
  <dcterms:created xsi:type="dcterms:W3CDTF">2021-11-25T23:19:00Z</dcterms:created>
  <dcterms:modified xsi:type="dcterms:W3CDTF">2023-05-12T09:24:00Z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