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8226"/>
      </w:tblGrid>
      <w:tr w:rsidR="00EB22A9" w:rsidRPr="003A2EF9" w14:paraId="698148C6" w14:textId="77777777" w:rsidTr="00636499">
        <w:trPr>
          <w:cantSplit/>
          <w:trHeight w:val="745"/>
          <w:jc w:val="center"/>
        </w:trPr>
        <w:tc>
          <w:tcPr>
            <w:tcW w:w="10631" w:type="dxa"/>
            <w:gridSpan w:val="2"/>
          </w:tcPr>
          <w:p w14:paraId="0BF24D04" w14:textId="402474EE" w:rsidR="008A245E" w:rsidRPr="00E113EC" w:rsidRDefault="005547B9" w:rsidP="00E113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47B9">
              <w:rPr>
                <w:rFonts w:ascii="Arial" w:hAnsi="Arial" w:cs="Arial"/>
                <w:b/>
                <w:bCs/>
                <w:sz w:val="20"/>
                <w:szCs w:val="20"/>
              </w:rPr>
              <w:t>Stanowisko zarządzania systemem SIEM</w:t>
            </w:r>
          </w:p>
        </w:tc>
      </w:tr>
      <w:tr w:rsidR="00C0103C" w:rsidRPr="007E2F0F" w14:paraId="5301927D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405" w:type="dxa"/>
            <w:shd w:val="clear" w:color="auto" w:fill="auto"/>
            <w:vAlign w:val="center"/>
          </w:tcPr>
          <w:p w14:paraId="0C826F19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02ECD705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techniczne komputerów</w:t>
            </w:r>
          </w:p>
        </w:tc>
      </w:tr>
      <w:tr w:rsidR="00C0103C" w:rsidRPr="007E2F0F" w14:paraId="1AFA2C81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2D59C007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Zastosowanie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67289572" w14:textId="7F98B954" w:rsidR="00C0103C" w:rsidRPr="002E6C41" w:rsidRDefault="005547B9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Stanowisko</w:t>
            </w:r>
            <w:r w:rsidR="00C0103C"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będzie wykorzystywan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</w:t>
            </w:r>
            <w:r w:rsidR="00C0103C"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dla potrzeb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obsługi systemu SIEM, </w:t>
            </w:r>
            <w:r w:rsidR="00C0103C"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aplikacji obliczeniowych</w:t>
            </w:r>
            <w:r w:rsidR="00F936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</w:t>
            </w:r>
            <w:r w:rsidR="00536F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badań nad modelami LLM</w:t>
            </w:r>
            <w:r w:rsidR="00C0103C"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</w:t>
            </w:r>
            <w:r w:rsidR="00536F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uczenia maszynowego,</w:t>
            </w:r>
            <w:r w:rsidR="00C0103C"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dostępu do Internetu, jako lokalna baza danych, stacja programistyczna.</w:t>
            </w:r>
          </w:p>
        </w:tc>
      </w:tr>
      <w:tr w:rsidR="00C0103C" w:rsidRPr="007E2F0F" w14:paraId="06B77151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0A8A0E88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6D5C3DB0" w14:textId="746E40A4" w:rsidR="00C0103C" w:rsidRPr="0031259A" w:rsidRDefault="00C0103C" w:rsidP="003B7A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Procesor dedykowany do pracy w komputerach stacjonarnych. Procesor osiągający w teście </w:t>
            </w:r>
            <w:r w:rsidR="00C93C5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„</w:t>
            </w:r>
            <w:proofErr w:type="spellStart"/>
            <w:r w:rsidR="00C93C5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PassMark</w:t>
            </w:r>
            <w:proofErr w:type="spellEnd"/>
            <w:r w:rsidR="00C93C5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CPU Mark”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wynik co najmniej </w:t>
            </w:r>
            <w:r w:rsidR="003D1FBA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45 8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00 pkt</w:t>
            </w:r>
            <w:r w:rsidR="003B7A39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(zgodnie z załącznikiem </w:t>
            </w:r>
            <w:r w:rsidR="006B060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  <w:r w:rsidR="003B7A39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1)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C0103C" w:rsidRPr="007E2F0F" w14:paraId="525989F3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41"/>
        </w:trPr>
        <w:tc>
          <w:tcPr>
            <w:tcW w:w="2405" w:type="dxa"/>
            <w:shd w:val="clear" w:color="auto" w:fill="auto"/>
            <w:vAlign w:val="center"/>
          </w:tcPr>
          <w:p w14:paraId="4682E4F3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690DD2B6" w14:textId="140E4C12" w:rsidR="00C0103C" w:rsidRPr="0031259A" w:rsidRDefault="005547B9" w:rsidP="0092002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Min. 32</w:t>
            </w:r>
            <w:r w:rsidR="00C0103C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GB DDR5 4800 MHz. Możliwość rozbudowy do min. 128GB. Obsługa pamięci 5333Mhz </w:t>
            </w:r>
          </w:p>
        </w:tc>
      </w:tr>
      <w:tr w:rsidR="00C0103C" w:rsidRPr="007E2F0F" w14:paraId="1DEC7BF8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500E1674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47803E8D" w14:textId="0A9FD82A" w:rsidR="00C0103C" w:rsidRPr="0031259A" w:rsidRDefault="00C0103C" w:rsidP="009116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dwa dyski M.2 </w:t>
            </w:r>
            <w:proofErr w:type="spellStart"/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NVMe</w:t>
            </w:r>
            <w:proofErr w:type="spellEnd"/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pojemności 2TB każdy, prędkość odczytu min. </w:t>
            </w:r>
            <w:r w:rsidR="00E6706D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690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MB/s, prędkość zapisu min. </w:t>
            </w:r>
            <w:r w:rsidR="00E6706D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00 MB/s </w:t>
            </w:r>
          </w:p>
        </w:tc>
      </w:tr>
      <w:tr w:rsidR="00C0103C" w:rsidRPr="007E2F0F" w14:paraId="708AF31F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145C9D48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Wydajność grafiki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400A91DF" w14:textId="7326D1C3" w:rsidR="00C0103C" w:rsidRPr="0031259A" w:rsidRDefault="00C0103C" w:rsidP="00C93C5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Dedykowana karta graficzna z </w:t>
            </w:r>
            <w:r w:rsidR="005547B9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547B9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GB pamięci niewspółdzielonej, </w:t>
            </w:r>
            <w:r w:rsidR="00861AF3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osiągająca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teście </w:t>
            </w:r>
            <w:r w:rsidR="00C93C5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„</w:t>
            </w:r>
            <w:proofErr w:type="spellStart"/>
            <w:r w:rsidR="00C93C5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PassMark</w:t>
            </w:r>
            <w:proofErr w:type="spellEnd"/>
            <w:r w:rsidR="00C93C5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G3D Mark”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wynik co najmniej </w:t>
            </w:r>
            <w:r w:rsidR="003D1FBA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26 910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 </w:t>
            </w:r>
            <w:r w:rsidR="00C93C5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(zgodnie z załącznikiem </w:t>
            </w:r>
            <w:r w:rsidR="006B060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  <w:r w:rsidR="00C93C57"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2)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C0103C" w:rsidRPr="007E2F0F" w14:paraId="5C98782D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1D9DE7AC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4DCD6B41" w14:textId="77777777" w:rsidR="00C0103C" w:rsidRPr="007E2F0F" w:rsidRDefault="00C0103C" w:rsidP="00911625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Karta dźwiękowa min. dwukanałowa zintegrowana z płytą główną, zgodna z High Definition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ort słuchawek i mikrofonu na przednim panelu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C0103C" w:rsidRPr="007E2F0F" w14:paraId="20161D21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36"/>
        </w:trPr>
        <w:tc>
          <w:tcPr>
            <w:tcW w:w="2405" w:type="dxa"/>
            <w:shd w:val="clear" w:color="auto" w:fill="auto"/>
            <w:vAlign w:val="center"/>
          </w:tcPr>
          <w:p w14:paraId="60472ED6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25DCB570" w14:textId="77777777" w:rsidR="00C0103C" w:rsidRPr="00962914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Typu Mini Tower z obsługą kart wyłącznie o pełnej wysokości. Umożliwiająca montaż 2 x dysku 3.5” i 4 x dysków 2.5” wewnątrz obudowy. Obudowa fabrycznie przystosowana do pracy w orientacji pionowej. Suma wymiarów obudowy nieprzekraczająca 1 250 mm.</w:t>
            </w:r>
          </w:p>
          <w:p w14:paraId="0586D13F" w14:textId="2D32AF6F" w:rsidR="00C0103C" w:rsidRPr="00962914" w:rsidRDefault="00C0103C" w:rsidP="00F67C59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Na panelu przednim i </w:t>
            </w:r>
            <w:r w:rsidR="00861AF3"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tylnym</w:t>
            </w: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67C5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paneli </w:t>
            </w: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zamontowan</w:t>
            </w:r>
            <w:r w:rsidR="00F67C5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e min. 4 </w:t>
            </w: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wentylator</w:t>
            </w:r>
            <w:r w:rsidR="00F67C5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</w:t>
            </w: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chłodząc</w:t>
            </w:r>
            <w:r w:rsidR="00F67C5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</w:t>
            </w: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min. 120mm. </w:t>
            </w:r>
          </w:p>
        </w:tc>
      </w:tr>
      <w:tr w:rsidR="00CB3764" w:rsidRPr="007E2F0F" w14:paraId="128A2999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36"/>
        </w:trPr>
        <w:tc>
          <w:tcPr>
            <w:tcW w:w="2405" w:type="dxa"/>
            <w:shd w:val="clear" w:color="auto" w:fill="auto"/>
            <w:vAlign w:val="center"/>
          </w:tcPr>
          <w:p w14:paraId="392A0531" w14:textId="69FE5894" w:rsidR="00CB3764" w:rsidRPr="007E2F0F" w:rsidRDefault="00CB3764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Zasilanie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1C15FCA6" w14:textId="16204AEB" w:rsidR="00CB3764" w:rsidRPr="00962914" w:rsidRDefault="00CB3764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Zasilacz o mocy min. 8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0W pracujący w sieci 230V 50/60Hz prądu zmiennego i efektywności min. 85% przy obciążeniu zasilacza na poziomie 50%.</w:t>
            </w:r>
            <w:r w:rsidR="00581A5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81A5D" w:rsidRPr="00581A5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Oferowany zasilacz musi być nowy, oryginalny, zgodny z dokładnym modelem urządzenia, objęty gwarancją producenta.</w:t>
            </w:r>
          </w:p>
        </w:tc>
      </w:tr>
      <w:tr w:rsidR="00C0103C" w:rsidRPr="007E2F0F" w14:paraId="17775C6B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0B683A28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BIOS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388BC8BA" w14:textId="139D7357" w:rsidR="00C0103C" w:rsidRPr="007E2F0F" w:rsidRDefault="00C0103C" w:rsidP="00D8645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pamięci i banki, typie zainstalowanego procesora, ilości rdzeni zainstalowanego procesora, typowej prędkości zainstalowanego proce</w:t>
            </w:r>
            <w:r w:rsidR="00C93C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sora, minimalnej i maksymalnej </w:t>
            </w: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osiąganej prędkości zainstalowanego procesora, pojemności zainstalowanego lub zainstalowanych dysków twardych, wszystkich urządzeniach podpiętych do dostępnych na płycie głównej portów SATA, MAC adresie zintegrowanej karty sieciowej, zintegrowanym układzie graficznym, kontrolerze audio.</w:t>
            </w:r>
          </w:p>
          <w:p w14:paraId="65A06A40" w14:textId="77777777" w:rsidR="00C0103C" w:rsidRPr="007E2F0F" w:rsidRDefault="00C0103C" w:rsidP="00D8645C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5618FB8E" w14:textId="77777777" w:rsidR="00C0103C" w:rsidRPr="007E2F0F" w:rsidRDefault="00C0103C" w:rsidP="00D8645C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owania</w:t>
            </w:r>
            <w:proofErr w:type="spellEnd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stacji roboczej z zewnętrznych urządze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ń</w:t>
            </w: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możliwość ustawienia hasła użytkownika umożliwiającego uruchomienie komputera (zabezpieczenie przed nieautoryzowanym uruchomieniem) przy jednoczesnym zdefiniowanym haśle administratora. Użytkownik po wpisaniu swojego hasła jest wstanie zidentyfikować ustawienia BIOS. Możliwość ustawienia haseł użytkownika i administratora składających się z cyfr, małych liter, dużych liter oraz znaków specjalnych. Możliwość włączenia/wyłączenia kontrolera SATA (w tym w szczególności pojedynczo), Możliwość ustawienia portów USB w trybie „no BOOT” (podczas startu komputer nie wykrywa urządzeń </w:t>
            </w:r>
            <w:proofErr w:type="spellStart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bootujących</w:t>
            </w:r>
            <w:proofErr w:type="spellEnd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typu USB). Możliwość wyłączania portów USB pojedynczo. </w:t>
            </w:r>
          </w:p>
        </w:tc>
      </w:tr>
      <w:tr w:rsidR="00C0103C" w:rsidRPr="007E2F0F" w14:paraId="77E0162B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59212293" w14:textId="77777777" w:rsidR="00C0103C" w:rsidRPr="000E7EEC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7EEC">
              <w:rPr>
                <w:rFonts w:asciiTheme="minorHAnsi" w:hAnsiTheme="minorHAnsi" w:cstheme="minorHAnsi"/>
                <w:b/>
                <w:sz w:val="20"/>
                <w:szCs w:val="20"/>
              </w:rPr>
              <w:t>Wirtualizacja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673859F6" w14:textId="37B5E306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 xml:space="preserve">Sprzętowe wsparcie </w:t>
            </w:r>
            <w:r w:rsidR="00861AF3" w:rsidRPr="007E2F0F">
              <w:rPr>
                <w:rFonts w:asciiTheme="minorHAnsi" w:hAnsiTheme="minorHAnsi" w:cstheme="minorHAnsi"/>
                <w:sz w:val="20"/>
                <w:szCs w:val="20"/>
              </w:rPr>
              <w:t>technologii</w:t>
            </w: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 xml:space="preserve"> wirtualizacji realizowane łącznie w procesorze, chipsecie płyty </w:t>
            </w:r>
            <w:r w:rsidR="00861AF3" w:rsidRPr="007E2F0F">
              <w:rPr>
                <w:rFonts w:asciiTheme="minorHAnsi" w:hAnsiTheme="minorHAnsi" w:cstheme="minorHAnsi"/>
                <w:sz w:val="20"/>
                <w:szCs w:val="20"/>
              </w:rPr>
              <w:t>głównej</w:t>
            </w:r>
            <w:r w:rsidR="00C93C57">
              <w:rPr>
                <w:rFonts w:asciiTheme="minorHAnsi" w:hAnsiTheme="minorHAnsi" w:cstheme="minorHAnsi"/>
                <w:sz w:val="20"/>
                <w:szCs w:val="20"/>
              </w:rPr>
              <w:t xml:space="preserve"> oraz w </w:t>
            </w: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BIOS systemu (możliwość włączenia/wyłączenia sprzętowego wsparcia wirtualizacji dla poszczególnych komponentów systemu).</w:t>
            </w:r>
          </w:p>
        </w:tc>
      </w:tr>
      <w:tr w:rsidR="00C0103C" w:rsidRPr="007E2F0F" w14:paraId="796E6B79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6ABF6DB9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4CE14705" w14:textId="2EDDF678" w:rsidR="00C0103C" w:rsidRPr="0031259A" w:rsidRDefault="00C0103C" w:rsidP="009116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259A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Professional, klucz licencyjny Windows 1</w:t>
            </w:r>
            <w:r w:rsidR="00A2085F" w:rsidRPr="0031259A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1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 Professional nie musi być zapisany trwale w BIOS, musi umożliwiać instalację systemu operacyjnego na podstawie dołączonego nośnika lub zdalnie po ręcznym wpisaniu klucza licencyjnego.</w:t>
            </w:r>
          </w:p>
        </w:tc>
      </w:tr>
      <w:tr w:rsidR="00C0103C" w:rsidRPr="007E2F0F" w14:paraId="20670C53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1C1DE6F0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423140E8" w14:textId="77777777" w:rsidR="00C0103C" w:rsidRPr="0031259A" w:rsidRDefault="00C0103C" w:rsidP="009116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Certyfikat ISO9001 dla producenta sprzętu (</w:t>
            </w:r>
            <w:r w:rsidRPr="0031259A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załączyć dokument potwierdzający spełnianie wymogu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7693D533" w14:textId="77777777" w:rsidR="00C0103C" w:rsidRPr="0031259A" w:rsidRDefault="00C0103C" w:rsidP="009116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Deklaracja zgodności CE (</w:t>
            </w:r>
            <w:r w:rsidRPr="0031259A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załączyć do oferty</w:t>
            </w:r>
            <w:r w:rsidRPr="0031259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C0103C" w:rsidRPr="007E2F0F" w14:paraId="41822C4A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2C509D4D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Wymagania dodatkowe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3A2199AE" w14:textId="1E8D6BC5" w:rsidR="005547B9" w:rsidRDefault="005547B9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Kompatybilność z systemem SIEM (poz. 18, zał. A13).</w:t>
            </w:r>
          </w:p>
          <w:p w14:paraId="2BAF61F3" w14:textId="334A07FF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Wbudowane porty: </w:t>
            </w:r>
          </w:p>
          <w:p w14:paraId="024D6BFE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1 x HDMI, 3 x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DisplayPort</w:t>
            </w:r>
            <w:proofErr w:type="spellEnd"/>
          </w:p>
          <w:p w14:paraId="6F34920A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10 portów USB wyprowadzonych na zewnątrz obudowy, w układzie: </w:t>
            </w:r>
          </w:p>
          <w:p w14:paraId="4ED36E43" w14:textId="77777777" w:rsidR="00C0103C" w:rsidRPr="00D105ED" w:rsidRDefault="00C0103C" w:rsidP="00C0103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Panel przedni: 2 x USB 3.0</w:t>
            </w:r>
          </w:p>
          <w:p w14:paraId="2039EF03" w14:textId="31F68957" w:rsidR="00C0103C" w:rsidRPr="00D105ED" w:rsidRDefault="00C0103C" w:rsidP="00C0103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Panel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tylny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: 1 x USB 3.</w:t>
            </w:r>
            <w:r w:rsidR="005D251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Type-C; </w:t>
            </w:r>
            <w:r w:rsidR="005D251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x USB 3.</w:t>
            </w:r>
            <w:r w:rsidR="005D251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2 gen.2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; </w:t>
            </w:r>
            <w:r w:rsidR="005D251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x USB 3.</w:t>
            </w:r>
            <w:r w:rsidR="005D251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; </w:t>
            </w:r>
            <w:r w:rsidR="005D251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x USB 2.0</w:t>
            </w:r>
          </w:p>
          <w:p w14:paraId="6993046E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1 x port audio słuchawki </w:t>
            </w:r>
          </w:p>
          <w:p w14:paraId="481DCE98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x port audio mikrofon</w:t>
            </w:r>
          </w:p>
          <w:p w14:paraId="3A8B86DE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x RJ – 45</w:t>
            </w:r>
          </w:p>
          <w:p w14:paraId="15C1D0D6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x S/PDIF</w:t>
            </w:r>
          </w:p>
          <w:p w14:paraId="7D2D61AC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Wymagana ilość i rozmieszczenie (na zewnątrz obudowy komputera) wszystkich portów USB Typu A i Typu C nie może być osiągnięta w wyniku stosowania konwerterów, przejściówek lub przewodów połączeniowych itp. Zainstalowane porty nie mogą blokować instalacji kart rozszerzeń w złączach wymaganych w opisie płyty głównej.</w:t>
            </w:r>
          </w:p>
          <w:p w14:paraId="51090DCD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Karta sieciowa 100/1000/2500 zintegrowana z płytą główną, wspierająca obsługę</w:t>
            </w:r>
            <w:r w:rsidRPr="00D105ED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WoL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(funkcja włączana przez użytkownika)</w:t>
            </w:r>
          </w:p>
          <w:p w14:paraId="5A16ED31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Płyta główna dedykowana dla danego urządzenia, wyposażona w: </w:t>
            </w:r>
          </w:p>
          <w:p w14:paraId="3C9654AE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1 x PCI Express x16 slot, supporting PCIe 5.0</w:t>
            </w:r>
          </w:p>
          <w:p w14:paraId="6E3B75EB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1 x PCI Express x16 slot, supporting PCIe 4.0</w:t>
            </w:r>
          </w:p>
          <w:p w14:paraId="7A27A8FC" w14:textId="690973BB" w:rsidR="00C0103C" w:rsidRPr="00D105ED" w:rsidRDefault="001F4A71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="00C0103C"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x PCI Express x16 slot, supporting PCIe 3.0</w:t>
            </w:r>
          </w:p>
          <w:p w14:paraId="5E8ACC0C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4 x DIMM z obsługą do 128 GB DDR5RAM, </w:t>
            </w:r>
          </w:p>
          <w:p w14:paraId="0DC2D5FC" w14:textId="4F63470F" w:rsidR="00C0103C" w:rsidRPr="00D105ED" w:rsidRDefault="001F4A71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</w:t>
            </w:r>
            <w:r w:rsidR="00C0103C"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x SATA III.</w:t>
            </w:r>
          </w:p>
          <w:p w14:paraId="0697CE10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Min. 3 złącza M.2 dla dysków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4.0 x4.</w:t>
            </w:r>
          </w:p>
          <w:p w14:paraId="08C8E10E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Zintegrowany z płytą główną kontroler RAID 0, 1, 5, 10</w:t>
            </w:r>
          </w:p>
          <w:p w14:paraId="1D6E9421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Klawiatura USB w układzie polski programisty </w:t>
            </w:r>
          </w:p>
          <w:p w14:paraId="363578C0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Mysz laserowa USB z rolką (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scroll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3C663185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Dołączony nośnik ze sterownikami</w:t>
            </w:r>
          </w:p>
          <w:p w14:paraId="37869801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Opakowanie musi być wykonane z materiałów podlegających powtórnemu przetworzeniu.</w:t>
            </w:r>
          </w:p>
        </w:tc>
      </w:tr>
      <w:tr w:rsidR="00C0103C" w:rsidRPr="007E2F0F" w14:paraId="10172461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39E9E920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Ergonomia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5DA14D16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Głośność wentylatora procesora mierzona zgodnie z norm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ami 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 pozycji obserwatora w trybie pracy na maksymalnych obrotach wynosząca maksymalnie 22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dB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C0103C" w:rsidRPr="007E2F0F" w14:paraId="10556CC5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62DB597B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14049F06" w14:textId="11DB43F6" w:rsidR="00C0103C" w:rsidRPr="007E2F0F" w:rsidRDefault="00C0103C" w:rsidP="00C93C5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Dedykowany portal techniczny producenta umożliwiający Zamawiającemu zgłaszanie awarii oraz samodzielne zamawianie zamiennych komponentów. Możliwość sprawdzenia kompletnych danych o urządzeniu na jednej witrynie internetowej prowadzonej przez producenta (automatyczna identyfikacja komputera, konfiguracja fabryczna, konfiguracja bieżąca, </w:t>
            </w:r>
            <w:r w:rsidR="00EA0372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odzaj gwarancji, data wygaśnięcia gwarancji, data produkcji komputera, aktualizacje, diagnostyka, dedykowane oprogramowanie, tworzenie dysku </w:t>
            </w:r>
            <w:proofErr w:type="spellStart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recovery</w:t>
            </w:r>
            <w:proofErr w:type="spellEnd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systemu operacyjnego).</w:t>
            </w:r>
          </w:p>
        </w:tc>
      </w:tr>
      <w:tr w:rsidR="00C0103C" w:rsidRPr="007E2F0F" w14:paraId="3E54C89E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auto"/>
            <w:vAlign w:val="center"/>
          </w:tcPr>
          <w:p w14:paraId="383A6EE6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34BD4346" w14:textId="5BF86E75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Zamawiający wymaga narzędzia do zarządzania zgłoszeniami serwisowymi samodzielnie przez portal interne</w:t>
            </w:r>
            <w:r w:rsidR="00C93C57">
              <w:rPr>
                <w:rFonts w:asciiTheme="minorHAnsi" w:hAnsiTheme="minorHAnsi" w:cstheme="minorHAnsi"/>
                <w:sz w:val="20"/>
                <w:szCs w:val="20"/>
              </w:rPr>
              <w:t>towy lub inne narzędzie nie</w:t>
            </w: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wymagające działań po stronie dostawcy. Narzędzie powinno umożliwiać:</w:t>
            </w:r>
          </w:p>
          <w:p w14:paraId="5BCAA67A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- samodzielne wystawianie zgłoszeń serwisowych, śledzenie stanu zgłoszenia, komunikację z serwisem producenta przez edycję zlecenia i stanu zlecenia</w:t>
            </w:r>
          </w:p>
          <w:p w14:paraId="08616C31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- dostęp do materiałów serwisowych - co najmniej podręczników serwisowych i not serwisowych</w:t>
            </w:r>
          </w:p>
          <w:p w14:paraId="1C804D6C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- dostęp do materiałów szkoleniowych</w:t>
            </w:r>
          </w:p>
          <w:p w14:paraId="0126F5DD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 xml:space="preserve">- możliwości dodawania plików do otwieranego lub otwartego zlecenia (zdjęcia uszkodzeń, opisy etc.) </w:t>
            </w:r>
          </w:p>
          <w:p w14:paraId="4EB2D9A7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 xml:space="preserve">- śledzenie historii zleceń - raporty ze zleceń, historia - dla poszczególnych zleceń lub dla poszczególnych komputerów </w:t>
            </w:r>
          </w:p>
        </w:tc>
      </w:tr>
      <w:tr w:rsidR="00C0103C" w:rsidRPr="007E2F0F" w14:paraId="1EE1841E" w14:textId="77777777" w:rsidTr="0063649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3"/>
        </w:trPr>
        <w:tc>
          <w:tcPr>
            <w:tcW w:w="2405" w:type="dxa"/>
            <w:shd w:val="clear" w:color="auto" w:fill="auto"/>
            <w:vAlign w:val="center"/>
          </w:tcPr>
          <w:p w14:paraId="55A11862" w14:textId="77777777" w:rsidR="00C0103C" w:rsidRPr="00CE3EC8" w:rsidRDefault="00C0103C" w:rsidP="0091162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E3EC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20315047" w14:textId="77777777" w:rsidR="00C0103C" w:rsidRPr="00CE3EC8" w:rsidRDefault="00C0103C" w:rsidP="0091162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3E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Gwarancja 36 miesięcy w miejscu instalacji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311D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8A9C" w14:textId="77777777" w:rsidR="000311DA" w:rsidRDefault="000311DA">
      <w:r>
        <w:separator/>
      </w:r>
    </w:p>
  </w:endnote>
  <w:endnote w:type="continuationSeparator" w:id="0">
    <w:p w14:paraId="38D27590" w14:textId="77777777" w:rsidR="000311DA" w:rsidRDefault="0003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A4130D">
              <w:rPr>
                <w:b/>
                <w:bCs/>
                <w:noProof/>
              </w:rPr>
              <w:t>3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A4130D">
              <w:rPr>
                <w:b/>
                <w:bCs/>
                <w:noProof/>
              </w:rPr>
              <w:t>4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DFD5" w14:textId="77777777" w:rsidR="000311DA" w:rsidRDefault="000311DA">
      <w:r>
        <w:separator/>
      </w:r>
    </w:p>
  </w:footnote>
  <w:footnote w:type="continuationSeparator" w:id="0">
    <w:p w14:paraId="7F545615" w14:textId="77777777" w:rsidR="000311DA" w:rsidRDefault="0003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C910" w14:textId="189477B4" w:rsidR="00005027" w:rsidRPr="00636499" w:rsidRDefault="00636499" w:rsidP="00005027">
    <w:pPr>
      <w:pStyle w:val="Nagwek"/>
      <w:jc w:val="right"/>
      <w:rPr>
        <w:sz w:val="20"/>
        <w:szCs w:val="20"/>
      </w:rPr>
    </w:pPr>
    <w:r w:rsidRPr="00636499">
      <w:rPr>
        <w:sz w:val="20"/>
        <w:szCs w:val="20"/>
      </w:rPr>
      <w:t>Załącznik A12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259340">
    <w:abstractNumId w:val="0"/>
  </w:num>
  <w:num w:numId="2" w16cid:durableId="2048333517">
    <w:abstractNumId w:val="4"/>
  </w:num>
  <w:num w:numId="3" w16cid:durableId="529101684">
    <w:abstractNumId w:val="1"/>
  </w:num>
  <w:num w:numId="4" w16cid:durableId="559830810">
    <w:abstractNumId w:val="2"/>
  </w:num>
  <w:num w:numId="5" w16cid:durableId="541597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062B"/>
    <w:rsid w:val="00001CAC"/>
    <w:rsid w:val="00005027"/>
    <w:rsid w:val="00014823"/>
    <w:rsid w:val="000311DA"/>
    <w:rsid w:val="000E4C06"/>
    <w:rsid w:val="0010438A"/>
    <w:rsid w:val="00110BAC"/>
    <w:rsid w:val="00151370"/>
    <w:rsid w:val="00157180"/>
    <w:rsid w:val="00170F3A"/>
    <w:rsid w:val="001A2250"/>
    <w:rsid w:val="001C2ED9"/>
    <w:rsid w:val="001E7315"/>
    <w:rsid w:val="001F060C"/>
    <w:rsid w:val="001F4A71"/>
    <w:rsid w:val="002058C3"/>
    <w:rsid w:val="00225369"/>
    <w:rsid w:val="00241DA5"/>
    <w:rsid w:val="00254D7D"/>
    <w:rsid w:val="002A21FF"/>
    <w:rsid w:val="002F0AB3"/>
    <w:rsid w:val="0031259A"/>
    <w:rsid w:val="003472C2"/>
    <w:rsid w:val="00352C94"/>
    <w:rsid w:val="003672EA"/>
    <w:rsid w:val="0037258D"/>
    <w:rsid w:val="0037713B"/>
    <w:rsid w:val="003A2EF9"/>
    <w:rsid w:val="003B26AE"/>
    <w:rsid w:val="003B7A39"/>
    <w:rsid w:val="003D1FBA"/>
    <w:rsid w:val="004377AE"/>
    <w:rsid w:val="0045744F"/>
    <w:rsid w:val="00466283"/>
    <w:rsid w:val="00493660"/>
    <w:rsid w:val="004C627C"/>
    <w:rsid w:val="004D31FF"/>
    <w:rsid w:val="0053153F"/>
    <w:rsid w:val="005328F7"/>
    <w:rsid w:val="00536F9D"/>
    <w:rsid w:val="00545831"/>
    <w:rsid w:val="005542B8"/>
    <w:rsid w:val="005547B9"/>
    <w:rsid w:val="0058173E"/>
    <w:rsid w:val="00581A5D"/>
    <w:rsid w:val="005C32D0"/>
    <w:rsid w:val="005D2513"/>
    <w:rsid w:val="00625DAF"/>
    <w:rsid w:val="00636499"/>
    <w:rsid w:val="00647490"/>
    <w:rsid w:val="006654E5"/>
    <w:rsid w:val="00670EC5"/>
    <w:rsid w:val="00684B01"/>
    <w:rsid w:val="006B0607"/>
    <w:rsid w:val="006B11D8"/>
    <w:rsid w:val="006D4F26"/>
    <w:rsid w:val="00703F5C"/>
    <w:rsid w:val="00773DAA"/>
    <w:rsid w:val="007D2710"/>
    <w:rsid w:val="00861AF3"/>
    <w:rsid w:val="008A1680"/>
    <w:rsid w:val="008A245E"/>
    <w:rsid w:val="008A701D"/>
    <w:rsid w:val="008C146E"/>
    <w:rsid w:val="00900625"/>
    <w:rsid w:val="00914B21"/>
    <w:rsid w:val="00920023"/>
    <w:rsid w:val="00935D58"/>
    <w:rsid w:val="0098657E"/>
    <w:rsid w:val="009B4FAA"/>
    <w:rsid w:val="009D5838"/>
    <w:rsid w:val="009F08C6"/>
    <w:rsid w:val="009F4D24"/>
    <w:rsid w:val="00A170A3"/>
    <w:rsid w:val="00A2085F"/>
    <w:rsid w:val="00A4130D"/>
    <w:rsid w:val="00A75F1C"/>
    <w:rsid w:val="00A97857"/>
    <w:rsid w:val="00AD7F17"/>
    <w:rsid w:val="00B65BF0"/>
    <w:rsid w:val="00BC2693"/>
    <w:rsid w:val="00C0103C"/>
    <w:rsid w:val="00C17C5B"/>
    <w:rsid w:val="00C93C57"/>
    <w:rsid w:val="00CA3A29"/>
    <w:rsid w:val="00CB3764"/>
    <w:rsid w:val="00CF703C"/>
    <w:rsid w:val="00D37450"/>
    <w:rsid w:val="00D5282E"/>
    <w:rsid w:val="00D536DC"/>
    <w:rsid w:val="00D8645C"/>
    <w:rsid w:val="00DB5AEC"/>
    <w:rsid w:val="00DE5073"/>
    <w:rsid w:val="00DF74B3"/>
    <w:rsid w:val="00E113EC"/>
    <w:rsid w:val="00E152A6"/>
    <w:rsid w:val="00E20D8F"/>
    <w:rsid w:val="00E23BF8"/>
    <w:rsid w:val="00E64035"/>
    <w:rsid w:val="00E6706D"/>
    <w:rsid w:val="00EA0372"/>
    <w:rsid w:val="00EB22A9"/>
    <w:rsid w:val="00EB5AA4"/>
    <w:rsid w:val="00EC690E"/>
    <w:rsid w:val="00EC79EC"/>
    <w:rsid w:val="00ED0F59"/>
    <w:rsid w:val="00F669B2"/>
    <w:rsid w:val="00F67C59"/>
    <w:rsid w:val="00F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B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F08C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E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67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2023-05-18T10:00:00Z</dcterms:created>
  <dcterms:modified xsi:type="dcterms:W3CDTF">2024-02-21T11:11:00Z</dcterms:modified>
</cp:coreProperties>
</file>