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Style w:val="Hipercze"/>
          <w:rFonts w:ascii="Arial" w:hAnsi="Arial" w:cs="Arial"/>
          <w:b/>
          <w:noProof/>
          <w:color w:val="auto"/>
          <w:szCs w:val="20"/>
          <w:lang w:eastAsia="en-US" w:bidi="en-US"/>
        </w:rPr>
        <w:id w:val="1612712965"/>
        <w:docPartObj>
          <w:docPartGallery w:val="Table of Contents"/>
          <w:docPartUnique/>
        </w:docPartObj>
      </w:sdtPr>
      <w:sdtEndPr>
        <w:rPr>
          <w:rStyle w:val="Domylnaczcionkaakapitu"/>
          <w:bCs/>
          <w:noProof w:val="0"/>
          <w:szCs w:val="24"/>
          <w:u w:val="none"/>
          <w:lang w:eastAsia="pl-PL" w:bidi="ar-SA"/>
        </w:rPr>
      </w:sdtEndPr>
      <w:sdtContent>
        <w:p w14:paraId="0D2A27EC" w14:textId="4D0F4D7D" w:rsidR="00235A3B" w:rsidRPr="00A912DD" w:rsidRDefault="00235A3B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r w:rsidRPr="00A912DD">
            <w:rPr>
              <w:rStyle w:val="Hipercze"/>
              <w:rFonts w:ascii="Arial" w:hAnsi="Arial" w:cs="Arial"/>
              <w:b/>
              <w:noProof/>
              <w:color w:val="auto"/>
              <w:szCs w:val="20"/>
              <w:lang w:eastAsia="en-US" w:bidi="en-US"/>
            </w:rPr>
            <w:fldChar w:fldCharType="begin"/>
          </w:r>
          <w:r w:rsidRPr="00A912DD">
            <w:rPr>
              <w:rStyle w:val="Hipercze"/>
              <w:rFonts w:ascii="Arial" w:hAnsi="Arial" w:cs="Arial"/>
              <w:b/>
              <w:noProof/>
              <w:color w:val="auto"/>
              <w:szCs w:val="20"/>
              <w:lang w:eastAsia="en-US" w:bidi="en-US"/>
            </w:rPr>
            <w:instrText xml:space="preserve"> TOC \o "1-3" \h \z \u </w:instrText>
          </w:r>
          <w:r w:rsidRPr="00A912DD">
            <w:rPr>
              <w:rStyle w:val="Hipercze"/>
              <w:rFonts w:ascii="Arial" w:hAnsi="Arial" w:cs="Arial"/>
              <w:b/>
              <w:noProof/>
              <w:color w:val="auto"/>
              <w:szCs w:val="20"/>
              <w:lang w:eastAsia="en-US" w:bidi="en-US"/>
            </w:rPr>
            <w:fldChar w:fldCharType="separate"/>
          </w:r>
          <w:hyperlink w:anchor="_Toc148525362" w:history="1">
            <w:r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</w:t>
            </w:r>
            <w:r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Lokalizacja inwestycji</w:t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_Toc148525362 \h </w:instrText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54A3D7C" w14:textId="7643ADD1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3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2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Cel opracowania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_Toc148525363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C259318" w14:textId="6FE368CF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4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3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Nazwa zamawiającego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_Toc148525364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88B96A" w14:textId="56526F94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5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4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Nazwa jednostki projektującej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_Toc148525365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3DEC19" w14:textId="1E03EFF1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6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5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Formalno-prawne podstawy opracowania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_Toc148525366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977E0F" w14:textId="07954CF9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7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6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Stan istniejący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_Toc148525367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5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CBCC68" w14:textId="4A6D2222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8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7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Projektowany stan zagospodarowania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_Toc148525368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6D8C26" w14:textId="7B6E3889" w:rsidR="00235A3B" w:rsidRPr="00A912DD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69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7.1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Charakterystyka techniczna i funkcjonalna drogi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_Toc148525369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EA64388" w14:textId="02B654EA" w:rsidR="00235A3B" w:rsidRPr="00A912DD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0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7.2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Ukształtowanie drogi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_Toc148525370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B7974F3" w14:textId="79A406E7" w:rsidR="00235A3B" w:rsidRPr="00A912DD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1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7.3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Przekrój drogi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_Toc148525371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885F21" w14:textId="1F2B687B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2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8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Projekt organizacji ruchu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_Toc148525372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B62818" w14:textId="314DD870" w:rsidR="00235A3B" w:rsidRPr="00A912DD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3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8.1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Parametry techniczno-funkcjonalne znaków drogowych i UBR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_Toc148525373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2CCF8C" w14:textId="30D8269B" w:rsidR="00235A3B" w:rsidRPr="00A912DD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4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8.2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Widoczność i bezpieczeństwo ruchu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_Toc148525374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7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231BDB" w14:textId="17461BDF" w:rsidR="00235A3B" w:rsidRPr="00A912DD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kern w:val="2"/>
              <w:sz w:val="20"/>
              <w:szCs w:val="20"/>
              <w14:ligatures w14:val="standardContextual"/>
            </w:rPr>
          </w:pPr>
          <w:hyperlink w:anchor="_Toc148525375" w:history="1"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9</w:t>
            </w:r>
            <w:r w:rsidR="00235A3B" w:rsidRPr="00A912DD">
              <w:rPr>
                <w:rFonts w:ascii="Arial" w:eastAsiaTheme="minorEastAsia" w:hAnsi="Arial" w:cs="Arial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35A3B" w:rsidRPr="00A912DD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Przewidywany termin wprowadzenia zmian w organizacji ruchu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_Toc148525375 \h </w:instrTex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AA2C7B">
              <w:rPr>
                <w:rFonts w:ascii="Arial" w:hAnsi="Arial" w:cs="Arial"/>
                <w:noProof/>
                <w:webHidden/>
                <w:sz w:val="22"/>
                <w:szCs w:val="22"/>
              </w:rPr>
              <w:t>7</w:t>
            </w:r>
            <w:r w:rsidR="00235A3B" w:rsidRPr="00A912DD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1815B82" w14:textId="65F06CE9" w:rsidR="00235A3B" w:rsidRPr="00235A3B" w:rsidRDefault="00235A3B" w:rsidP="00235A3B">
          <w:pPr>
            <w:pStyle w:val="Spistreci2"/>
            <w:tabs>
              <w:tab w:val="left" w:pos="658"/>
              <w:tab w:val="right" w:leader="dot" w:pos="9062"/>
            </w:tabs>
            <w:spacing w:after="60"/>
            <w:ind w:left="221"/>
            <w:rPr>
              <w:rFonts w:ascii="Arial" w:hAnsi="Arial" w:cs="Arial"/>
            </w:rPr>
          </w:pPr>
          <w:r w:rsidRPr="00A912DD">
            <w:rPr>
              <w:rStyle w:val="Hipercze"/>
              <w:rFonts w:ascii="Arial" w:hAnsi="Arial" w:cs="Arial"/>
              <w:noProof/>
              <w:color w:val="auto"/>
              <w:szCs w:val="20"/>
              <w:lang w:eastAsia="en-US" w:bidi="en-US"/>
            </w:rPr>
            <w:fldChar w:fldCharType="end"/>
          </w:r>
        </w:p>
      </w:sdtContent>
    </w:sdt>
    <w:p w14:paraId="6A792991" w14:textId="77777777" w:rsidR="00A912DD" w:rsidRDefault="00A912DD" w:rsidP="00282658">
      <w:pPr>
        <w:spacing w:after="0" w:line="240" w:lineRule="auto"/>
        <w:jc w:val="left"/>
        <w:rPr>
          <w:rFonts w:ascii="Arial" w:hAnsi="Arial" w:cs="Arial"/>
          <w:sz w:val="22"/>
          <w:szCs w:val="22"/>
        </w:rPr>
      </w:pPr>
    </w:p>
    <w:p w14:paraId="2F44B84D" w14:textId="5CAD9009" w:rsidR="00A912DD" w:rsidRPr="00A912DD" w:rsidRDefault="00A912DD" w:rsidP="00282658">
      <w:pPr>
        <w:spacing w:after="0" w:line="240" w:lineRule="auto"/>
        <w:jc w:val="left"/>
        <w:rPr>
          <w:rFonts w:ascii="Arial" w:hAnsi="Arial" w:cs="Arial"/>
          <w:b/>
          <w:bCs/>
          <w:sz w:val="22"/>
          <w:szCs w:val="22"/>
        </w:rPr>
      </w:pPr>
      <w:bookmarkStart w:id="0" w:name="_Hlk148525617"/>
      <w:r w:rsidRPr="00A912DD">
        <w:rPr>
          <w:rFonts w:ascii="Arial" w:hAnsi="Arial" w:cs="Arial"/>
          <w:b/>
          <w:bCs/>
          <w:sz w:val="22"/>
          <w:szCs w:val="22"/>
        </w:rPr>
        <w:t>Część rysunkowa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912DD" w:rsidRPr="00235A3B" w14:paraId="6FABE4CD" w14:textId="77777777" w:rsidTr="00A912DD">
        <w:tc>
          <w:tcPr>
            <w:tcW w:w="4531" w:type="dxa"/>
          </w:tcPr>
          <w:p w14:paraId="453C8A73" w14:textId="77777777" w:rsidR="00A912DD" w:rsidRPr="00235A3B" w:rsidRDefault="00A912DD" w:rsidP="00A912DD">
            <w:pPr>
              <w:ind w:firstLine="17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5A3B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5A3B">
              <w:rPr>
                <w:rFonts w:ascii="Arial" w:hAnsi="Arial" w:cs="Arial"/>
                <w:sz w:val="22"/>
                <w:szCs w:val="22"/>
              </w:rPr>
              <w:t>Plan orientacyjny</w:t>
            </w:r>
          </w:p>
        </w:tc>
        <w:tc>
          <w:tcPr>
            <w:tcW w:w="4531" w:type="dxa"/>
            <w:vAlign w:val="center"/>
          </w:tcPr>
          <w:p w14:paraId="3E983166" w14:textId="77777777" w:rsidR="00A912DD" w:rsidRPr="00235A3B" w:rsidRDefault="00A912DD" w:rsidP="00F82B42">
            <w:pPr>
              <w:spacing w:line="276" w:lineRule="auto"/>
              <w:ind w:firstLine="70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5A3B">
              <w:rPr>
                <w:rFonts w:ascii="Arial" w:hAnsi="Arial" w:cs="Arial"/>
                <w:sz w:val="22"/>
                <w:szCs w:val="22"/>
              </w:rPr>
              <w:t>skala 1:25 000</w:t>
            </w:r>
          </w:p>
        </w:tc>
      </w:tr>
      <w:tr w:rsidR="00A912DD" w:rsidRPr="00235A3B" w14:paraId="659A34CE" w14:textId="77777777" w:rsidTr="00A912DD">
        <w:tc>
          <w:tcPr>
            <w:tcW w:w="4531" w:type="dxa"/>
          </w:tcPr>
          <w:p w14:paraId="30758901" w14:textId="77777777" w:rsidR="00A912DD" w:rsidRPr="00235A3B" w:rsidRDefault="00A912DD" w:rsidP="00A912DD">
            <w:pPr>
              <w:ind w:firstLine="1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235A3B">
              <w:rPr>
                <w:rFonts w:ascii="Arial" w:hAnsi="Arial" w:cs="Arial"/>
                <w:sz w:val="22"/>
                <w:szCs w:val="22"/>
              </w:rPr>
              <w:t>Projekt stałej organizacji ruchu</w:t>
            </w:r>
          </w:p>
        </w:tc>
        <w:tc>
          <w:tcPr>
            <w:tcW w:w="4531" w:type="dxa"/>
            <w:vAlign w:val="center"/>
          </w:tcPr>
          <w:p w14:paraId="2815C102" w14:textId="77777777" w:rsidR="00A912DD" w:rsidRPr="00235A3B" w:rsidRDefault="00A912DD" w:rsidP="00F82B42">
            <w:pPr>
              <w:spacing w:line="276" w:lineRule="auto"/>
              <w:ind w:firstLine="70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5A3B">
              <w:rPr>
                <w:rFonts w:ascii="Arial" w:hAnsi="Arial" w:cs="Arial"/>
                <w:sz w:val="22"/>
                <w:szCs w:val="22"/>
              </w:rPr>
              <w:t>skala 1:1 000</w:t>
            </w:r>
          </w:p>
        </w:tc>
      </w:tr>
      <w:bookmarkEnd w:id="0"/>
    </w:tbl>
    <w:p w14:paraId="73BF21A8" w14:textId="67D827BB" w:rsidR="00F423BA" w:rsidRPr="00235A3B" w:rsidRDefault="00000000" w:rsidP="00282658">
      <w:pPr>
        <w:spacing w:after="0" w:line="240" w:lineRule="auto"/>
        <w:jc w:val="left"/>
        <w:rPr>
          <w:rFonts w:ascii="Arial" w:hAnsi="Arial" w:cs="Arial"/>
          <w:b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br w:type="page"/>
      </w:r>
    </w:p>
    <w:p w14:paraId="374601CE" w14:textId="77777777" w:rsidR="006C0883" w:rsidRDefault="006C0883">
      <w:pPr>
        <w:rPr>
          <w:b/>
          <w:sz w:val="28"/>
          <w:szCs w:val="28"/>
        </w:rPr>
      </w:pPr>
      <w:r>
        <w:lastRenderedPageBreak/>
        <w:br w:type="page"/>
      </w:r>
    </w:p>
    <w:p w14:paraId="5AB2B27B" w14:textId="7E7A5CC6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hyperlink w:anchor="_heading=h.z337ya">
        <w:bookmarkStart w:id="1" w:name="_Toc148525362"/>
        <w:r w:rsidRPr="00235A3B">
          <w:rPr>
            <w:rFonts w:ascii="Arial" w:hAnsi="Arial" w:cs="Arial"/>
            <w:sz w:val="22"/>
            <w:szCs w:val="22"/>
          </w:rPr>
          <w:t>Lokalizacja</w:t>
        </w:r>
      </w:hyperlink>
      <w:r w:rsidRPr="00235A3B">
        <w:rPr>
          <w:rFonts w:ascii="Arial" w:hAnsi="Arial" w:cs="Arial"/>
          <w:sz w:val="22"/>
          <w:szCs w:val="22"/>
        </w:rPr>
        <w:t xml:space="preserve"> inwestycji</w:t>
      </w:r>
      <w:bookmarkEnd w:id="1"/>
    </w:p>
    <w:p w14:paraId="14760A81" w14:textId="77777777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Inwestycja zlokalizowana jest na terenie województwa łódzkiego, powiatu pajęczańskiego, gminy Nowa Brzeźnica i obejmuje przebudowę dróg oraz równanie dróg obiektu Kruplin.</w:t>
      </w:r>
    </w:p>
    <w:p w14:paraId="1D7A4226" w14:textId="77777777" w:rsidR="00282658" w:rsidRPr="00235A3B" w:rsidRDefault="00282658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0F7DA6F8" w14:textId="77777777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z337ya">
        <w:bookmarkStart w:id="2" w:name="_Toc148525363"/>
        <w:r w:rsidRPr="00235A3B">
          <w:rPr>
            <w:rFonts w:ascii="Arial" w:hAnsi="Arial" w:cs="Arial"/>
            <w:sz w:val="22"/>
            <w:szCs w:val="22"/>
          </w:rPr>
          <w:t>Cel</w:t>
        </w:r>
      </w:hyperlink>
      <w:r w:rsidRPr="00235A3B">
        <w:rPr>
          <w:rFonts w:ascii="Arial" w:hAnsi="Arial" w:cs="Arial"/>
          <w:sz w:val="22"/>
          <w:szCs w:val="22"/>
        </w:rPr>
        <w:t xml:space="preserve"> opracowania</w:t>
      </w:r>
      <w:bookmarkEnd w:id="2"/>
    </w:p>
    <w:p w14:paraId="627B4318" w14:textId="73D3709E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Celem opracowania jest projekt stałej organizacji ruchu w związku z inwestycją pn.</w:t>
      </w:r>
      <w:r w:rsidR="00010875" w:rsidRPr="00010875">
        <w:t xml:space="preserve"> </w:t>
      </w:r>
      <w:r w:rsidR="00010875" w:rsidRPr="00010875">
        <w:rPr>
          <w:rFonts w:ascii="Arial" w:hAnsi="Arial" w:cs="Arial"/>
          <w:sz w:val="22"/>
          <w:szCs w:val="22"/>
        </w:rPr>
        <w:t>Budowa i przebudowa dróg dla zadania pn. „Scalenie gruntów obiektu Kruplin gmina Nowa Brzeźnica, powiat pajęczański, województwo łódzkie”</w:t>
      </w:r>
      <w:r w:rsidR="00282658" w:rsidRPr="00235A3B">
        <w:rPr>
          <w:rFonts w:ascii="Arial" w:hAnsi="Arial" w:cs="Arial"/>
          <w:sz w:val="22"/>
          <w:szCs w:val="22"/>
        </w:rPr>
        <w:t>.</w:t>
      </w:r>
    </w:p>
    <w:p w14:paraId="2DC9E91B" w14:textId="77777777" w:rsidR="00F423BA" w:rsidRPr="00235A3B" w:rsidRDefault="00F423BA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36006E2D" w14:textId="77777777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3" w:name="_Toc148525364"/>
      <w:r w:rsidRPr="00235A3B">
        <w:rPr>
          <w:rFonts w:ascii="Arial" w:hAnsi="Arial" w:cs="Arial"/>
          <w:sz w:val="22"/>
          <w:szCs w:val="22"/>
        </w:rPr>
        <w:t>Nazwa zamawiającego</w:t>
      </w:r>
      <w:bookmarkEnd w:id="3"/>
    </w:p>
    <w:p w14:paraId="498F851F" w14:textId="77777777" w:rsidR="00F423BA" w:rsidRPr="00235A3B" w:rsidRDefault="00000000" w:rsidP="00282658">
      <w:pPr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Powiat Pajęczański</w:t>
      </w:r>
    </w:p>
    <w:p w14:paraId="21F2C8C3" w14:textId="77777777" w:rsidR="00F423BA" w:rsidRPr="00235A3B" w:rsidRDefault="00000000" w:rsidP="00282658">
      <w:pPr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ul. Kościuszki 76</w:t>
      </w:r>
    </w:p>
    <w:p w14:paraId="7A0C93CA" w14:textId="77777777" w:rsidR="00F423BA" w:rsidRPr="00235A3B" w:rsidRDefault="00000000" w:rsidP="00282658">
      <w:pPr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98-330 Pajęczno</w:t>
      </w:r>
    </w:p>
    <w:p w14:paraId="6203739E" w14:textId="77777777" w:rsidR="00282658" w:rsidRPr="00235A3B" w:rsidRDefault="00282658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4F8E9A01" w14:textId="77777777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4" w:name="_Toc148525365"/>
      <w:r w:rsidRPr="00235A3B">
        <w:rPr>
          <w:rFonts w:ascii="Arial" w:hAnsi="Arial" w:cs="Arial"/>
          <w:sz w:val="22"/>
          <w:szCs w:val="22"/>
        </w:rPr>
        <w:t>Nazwa jednostki projektującej</w:t>
      </w:r>
      <w:bookmarkEnd w:id="4"/>
      <w:r w:rsidRPr="00235A3B">
        <w:rPr>
          <w:rFonts w:ascii="Arial" w:hAnsi="Arial" w:cs="Arial"/>
          <w:sz w:val="22"/>
          <w:szCs w:val="22"/>
        </w:rPr>
        <w:t xml:space="preserve"> </w:t>
      </w:r>
    </w:p>
    <w:p w14:paraId="2CB6E850" w14:textId="77777777" w:rsidR="00F423BA" w:rsidRPr="00235A3B" w:rsidRDefault="00000000" w:rsidP="0028265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Via Ambra Sebastian Grabiński</w:t>
      </w:r>
    </w:p>
    <w:p w14:paraId="7FFB17A1" w14:textId="77777777" w:rsidR="00F423BA" w:rsidRPr="00235A3B" w:rsidRDefault="00000000" w:rsidP="0028265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ul. Adama Mickiewicza 37/58</w:t>
      </w:r>
    </w:p>
    <w:p w14:paraId="5EC68222" w14:textId="77777777" w:rsidR="00F423BA" w:rsidRPr="00235A3B" w:rsidRDefault="00000000" w:rsidP="0028265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01 - 625 Warszawa</w:t>
      </w:r>
    </w:p>
    <w:p w14:paraId="007B3BEE" w14:textId="77777777" w:rsidR="00F423BA" w:rsidRPr="00235A3B" w:rsidRDefault="00F423BA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12B6CA51" w14:textId="77777777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3j2qqm3">
        <w:bookmarkStart w:id="5" w:name="_Toc148525366"/>
        <w:r w:rsidRPr="00235A3B">
          <w:rPr>
            <w:rFonts w:ascii="Arial" w:hAnsi="Arial" w:cs="Arial"/>
            <w:sz w:val="22"/>
            <w:szCs w:val="22"/>
          </w:rPr>
          <w:t>Formalno-prawne podstawy opracowania</w:t>
        </w:r>
        <w:bookmarkEnd w:id="5"/>
      </w:hyperlink>
    </w:p>
    <w:p w14:paraId="0A48DF5D" w14:textId="77777777" w:rsidR="00282658" w:rsidRPr="00235A3B" w:rsidRDefault="00282658" w:rsidP="00282658">
      <w:pPr>
        <w:spacing w:after="0"/>
        <w:ind w:firstLine="567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Materiały opracowano na podstawie następujących danych wyjściowych:</w:t>
      </w:r>
    </w:p>
    <w:p w14:paraId="28AD9DB9" w14:textId="77777777" w:rsidR="00282658" w:rsidRPr="00235A3B" w:rsidRDefault="00282658" w:rsidP="00282658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235A3B">
        <w:rPr>
          <w:rFonts w:cs="Arial"/>
          <w:szCs w:val="22"/>
          <w:lang w:val="pl-PL"/>
        </w:rPr>
        <w:t>Ustawa z dnia 20 czerwca 1997 roku Prawo o ruchu drogowym (Dz.U.2023.1047);</w:t>
      </w:r>
    </w:p>
    <w:p w14:paraId="278878C2" w14:textId="77777777" w:rsidR="00282658" w:rsidRPr="00235A3B" w:rsidRDefault="00282658" w:rsidP="00282658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235A3B">
        <w:rPr>
          <w:rFonts w:cs="Arial"/>
          <w:szCs w:val="22"/>
          <w:lang w:val="pl-PL"/>
        </w:rPr>
        <w:t>Rozporządzenie Ministrów Infrastruktury oraz Spraw Wewnętrznych i Administracji z dnia 31 lipca 2002 roku w sprawie znaków i sygnałów drogowych (Dz.U.2019.2310 ze zm.);</w:t>
      </w:r>
    </w:p>
    <w:p w14:paraId="398D66F2" w14:textId="77777777" w:rsidR="00282658" w:rsidRPr="00235A3B" w:rsidRDefault="00282658" w:rsidP="00282658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235A3B">
        <w:rPr>
          <w:rFonts w:cs="Arial"/>
          <w:szCs w:val="22"/>
          <w:lang w:val="pl-PL"/>
        </w:rPr>
        <w:t>Rozporządzenie Ministra Infrastruktury z dnia 3 lipca 2003 roku w sprawie szczegółowych warunków technicznych dla znaków i sygnałów drogowych oraz urządzeń bezpieczeństwa ruchu drogowego i warunków ich umieszczania na drogach (Dz.U.2019.2311 ze zm.);</w:t>
      </w:r>
    </w:p>
    <w:p w14:paraId="00B31BCC" w14:textId="77777777" w:rsidR="00282658" w:rsidRPr="00235A3B" w:rsidRDefault="00282658" w:rsidP="00282658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235A3B">
        <w:rPr>
          <w:rFonts w:cs="Arial"/>
          <w:szCs w:val="22"/>
          <w:lang w:val="pl-PL"/>
        </w:rPr>
        <w:t>Rozporządzenie Ministra Infrastruktury z dnia 23 września 2003 roku w sprawie szczegółowych warunków zarządzania ruchem na drogach oraz wykonywania nadzoru nad tym zarządzaniem (Dz.U.2017.784);</w:t>
      </w:r>
    </w:p>
    <w:p w14:paraId="723E1854" w14:textId="77777777" w:rsidR="00282658" w:rsidRPr="00235A3B" w:rsidRDefault="00282658" w:rsidP="00282658">
      <w:pPr>
        <w:pStyle w:val="P1"/>
        <w:tabs>
          <w:tab w:val="clear" w:pos="1418"/>
        </w:tabs>
        <w:ind w:left="567" w:hanging="425"/>
        <w:rPr>
          <w:rFonts w:cs="Arial"/>
          <w:szCs w:val="22"/>
          <w:lang w:val="pl-PL"/>
        </w:rPr>
      </w:pPr>
      <w:r w:rsidRPr="00235A3B">
        <w:rPr>
          <w:rFonts w:cs="Arial"/>
          <w:szCs w:val="22"/>
          <w:lang w:val="pl-PL"/>
        </w:rPr>
        <w:t>Rozporządzenie Ministra Infrastruktury z dnia 24 czerwca 2022 r. w sprawie przepisów techniczno-budowlanych dotyczących dróg publicznych (Dz.U.2022.1518).</w:t>
      </w:r>
    </w:p>
    <w:p w14:paraId="533849B3" w14:textId="77777777" w:rsidR="00282658" w:rsidRPr="00235A3B" w:rsidRDefault="00282658" w:rsidP="00282658">
      <w:pPr>
        <w:pStyle w:val="P1"/>
        <w:numPr>
          <w:ilvl w:val="0"/>
          <w:numId w:val="0"/>
        </w:numPr>
        <w:rPr>
          <w:rFonts w:cs="Arial"/>
          <w:szCs w:val="22"/>
          <w:lang w:val="pl-PL"/>
        </w:rPr>
      </w:pPr>
    </w:p>
    <w:p w14:paraId="778C03F7" w14:textId="77777777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1y810tw">
        <w:bookmarkStart w:id="6" w:name="_Toc148525367"/>
        <w:r w:rsidRPr="00235A3B">
          <w:rPr>
            <w:rFonts w:ascii="Arial" w:hAnsi="Arial" w:cs="Arial"/>
            <w:sz w:val="22"/>
            <w:szCs w:val="22"/>
          </w:rPr>
          <w:t>Stan istniejący</w:t>
        </w:r>
        <w:bookmarkEnd w:id="6"/>
      </w:hyperlink>
    </w:p>
    <w:p w14:paraId="4B1B8DD7" w14:textId="77777777" w:rsidR="000420CD" w:rsidRPr="00235A3B" w:rsidRDefault="000420CD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Inwestycja zlokalizowana jest na terenie województwa łódzkiego, powiatu pajęczańskiego, gminy Nowa Brzeźnica i obejmuje przebudowę dróg oraz równanie dróg obiektu Kruplin. Szczegółowa lokalizacja jest przedstawiona na załączniku graficznym.</w:t>
      </w:r>
    </w:p>
    <w:p w14:paraId="2DE47B46" w14:textId="77777777" w:rsidR="000420CD" w:rsidRPr="00235A3B" w:rsidRDefault="000420CD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Przedmiotowe drogi w stanie istniejącym, poza drogą nr 109361E (odcinek dr nr 1), nie posiadają nawierzchni bitumicznej. Całe zadanie zlokalizowane jest na terenie wiejskim, sporadyczna zabudowa oraz brak chodników czy ścieżek rowerowych.</w:t>
      </w:r>
    </w:p>
    <w:p w14:paraId="3A4E2C69" w14:textId="0313E929" w:rsidR="000420CD" w:rsidRPr="00235A3B" w:rsidRDefault="000420CD" w:rsidP="000420CD">
      <w:pPr>
        <w:spacing w:after="0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Ruch na drodze jest znikomy, o charakterze lokalnym.</w:t>
      </w:r>
      <w:r w:rsidRPr="00235A3B">
        <w:rPr>
          <w:rFonts w:ascii="Arial" w:hAnsi="Arial" w:cs="Arial"/>
          <w:sz w:val="22"/>
          <w:szCs w:val="22"/>
        </w:rPr>
        <w:br w:type="page"/>
      </w:r>
    </w:p>
    <w:p w14:paraId="59EDBE70" w14:textId="77777777" w:rsidR="000420CD" w:rsidRPr="00235A3B" w:rsidRDefault="000420CD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6C27AAD2" w14:textId="77777777" w:rsidR="000420CD" w:rsidRPr="00235A3B" w:rsidRDefault="00000000" w:rsidP="000420CD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2xcytpi">
        <w:bookmarkStart w:id="7" w:name="_Toc148525368"/>
        <w:r w:rsidR="000420CD" w:rsidRPr="00235A3B">
          <w:rPr>
            <w:rFonts w:ascii="Arial" w:hAnsi="Arial" w:cs="Arial"/>
            <w:sz w:val="22"/>
            <w:szCs w:val="22"/>
          </w:rPr>
          <w:t>Projektowany</w:t>
        </w:r>
      </w:hyperlink>
      <w:r w:rsidR="000420CD" w:rsidRPr="00235A3B">
        <w:rPr>
          <w:rFonts w:ascii="Arial" w:hAnsi="Arial" w:cs="Arial"/>
          <w:sz w:val="22"/>
          <w:szCs w:val="22"/>
        </w:rPr>
        <w:t xml:space="preserve"> stan zagospodarowania</w:t>
      </w:r>
      <w:bookmarkEnd w:id="7"/>
    </w:p>
    <w:p w14:paraId="2F8C8E08" w14:textId="77777777" w:rsidR="000420CD" w:rsidRPr="00235A3B" w:rsidRDefault="00000000" w:rsidP="000420CD">
      <w:pPr>
        <w:pStyle w:val="Nagwek2"/>
        <w:numPr>
          <w:ilvl w:val="2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4i7ojhp">
        <w:bookmarkStart w:id="8" w:name="_Toc148525369"/>
        <w:r w:rsidR="000420CD" w:rsidRPr="00235A3B">
          <w:rPr>
            <w:rFonts w:ascii="Arial" w:hAnsi="Arial" w:cs="Arial"/>
            <w:sz w:val="22"/>
            <w:szCs w:val="22"/>
          </w:rPr>
          <w:t xml:space="preserve">Charakterystyka techniczna i funkcjonalna </w:t>
        </w:r>
      </w:hyperlink>
      <w:r w:rsidR="000420CD" w:rsidRPr="00235A3B">
        <w:rPr>
          <w:rFonts w:ascii="Arial" w:hAnsi="Arial" w:cs="Arial"/>
          <w:sz w:val="22"/>
          <w:szCs w:val="22"/>
        </w:rPr>
        <w:t>drogi</w:t>
      </w:r>
      <w:bookmarkEnd w:id="8"/>
    </w:p>
    <w:p w14:paraId="05DEE104" w14:textId="613411D3" w:rsidR="00282658" w:rsidRPr="00235A3B" w:rsidRDefault="00282658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Zakres opracowania obejmuje drogi publiczne oraz drogi wewnętrzne gminne. Do dróg publicznych zaliczamy: drogę nr 109361E (dr nr 1 i dr nr 2), 109362E (dr nr 4), 109363E (dr nr 6), 109367E (dr nr 14a). Pozostałe drogi są drogami gminnymi wewnętrznymi.</w:t>
      </w:r>
    </w:p>
    <w:p w14:paraId="06AFE8DB" w14:textId="2794ABDE" w:rsidR="00F423BA" w:rsidRPr="00235A3B" w:rsidRDefault="00000000" w:rsidP="000420CD">
      <w:pPr>
        <w:pStyle w:val="Nagwek2"/>
        <w:numPr>
          <w:ilvl w:val="2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1ci93xb">
        <w:bookmarkStart w:id="9" w:name="_Toc148525370"/>
        <w:r w:rsidRPr="00235A3B">
          <w:rPr>
            <w:rFonts w:ascii="Arial" w:hAnsi="Arial" w:cs="Arial"/>
            <w:sz w:val="22"/>
            <w:szCs w:val="22"/>
          </w:rPr>
          <w:t>Ukształtowanie drogi</w:t>
        </w:r>
        <w:bookmarkEnd w:id="9"/>
      </w:hyperlink>
    </w:p>
    <w:p w14:paraId="2584C83E" w14:textId="77777777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Drogi na przedmiotowych odcinkach składają się z odcinków prostych i łuków kołowych. Inwestycja zakłada wykonanie ok 8,5 km dróg o nawierzchni bitumicznej dla których przedłożono projekt PSOR.</w:t>
      </w:r>
    </w:p>
    <w:p w14:paraId="6B95B4EF" w14:textId="59BF277B" w:rsidR="00F423BA" w:rsidRPr="00235A3B" w:rsidRDefault="000420CD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Układ wysokościowy zaprojektowano z uwzględnieniem istniejących rzędnych terenu, z zachowaniem spadków umożliwiających spływ wody z nawierzchni utwardzonych.</w:t>
      </w:r>
    </w:p>
    <w:p w14:paraId="0115AC83" w14:textId="190479DA" w:rsidR="000420CD" w:rsidRPr="00235A3B" w:rsidRDefault="000420CD" w:rsidP="000420CD">
      <w:pPr>
        <w:pStyle w:val="Nagwek2"/>
        <w:numPr>
          <w:ilvl w:val="2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10" w:name="_Toc148525371"/>
      <w:r w:rsidRPr="00235A3B">
        <w:rPr>
          <w:rFonts w:ascii="Arial" w:hAnsi="Arial" w:cs="Arial"/>
          <w:sz w:val="22"/>
          <w:szCs w:val="22"/>
        </w:rPr>
        <w:t>Przekrój drogi</w:t>
      </w:r>
      <w:bookmarkEnd w:id="10"/>
    </w:p>
    <w:p w14:paraId="3787CE38" w14:textId="73A86FA5" w:rsidR="000420CD" w:rsidRPr="00235A3B" w:rsidRDefault="000420CD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Zaprojektowano jezdnie bitumiczne o pochyleniu poprzecznym wynoszącym 2%. Projektowane pobocza będą miały pochylenie 8% w kierunku rowu.</w:t>
      </w:r>
    </w:p>
    <w:p w14:paraId="3556EBE9" w14:textId="197168D4" w:rsidR="00282658" w:rsidRPr="00235A3B" w:rsidRDefault="000420CD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 xml:space="preserve">Prace związane z przebudową należy prowadzić bez naruszania istniejącej konstrukcji </w:t>
      </w:r>
      <w:r w:rsidR="00235A3B" w:rsidRPr="00235A3B">
        <w:rPr>
          <w:rFonts w:ascii="Arial" w:hAnsi="Arial" w:cs="Arial"/>
          <w:sz w:val="22"/>
          <w:szCs w:val="22"/>
        </w:rPr>
        <w:t>dróg publicznych nie objętych opracowaniem</w:t>
      </w:r>
      <w:r w:rsidRPr="00235A3B">
        <w:rPr>
          <w:rFonts w:ascii="Arial" w:hAnsi="Arial" w:cs="Arial"/>
          <w:sz w:val="22"/>
          <w:szCs w:val="22"/>
        </w:rPr>
        <w:t xml:space="preserve">, tak, aby nie zmniejszyć stateczności i nośności podłoża oraz nawierzchni drogi </w:t>
      </w:r>
      <w:r w:rsidR="00235A3B" w:rsidRPr="00235A3B">
        <w:rPr>
          <w:rFonts w:ascii="Arial" w:hAnsi="Arial" w:cs="Arial"/>
          <w:sz w:val="22"/>
          <w:szCs w:val="22"/>
        </w:rPr>
        <w:t>publicznej</w:t>
      </w:r>
      <w:r w:rsidRPr="00235A3B">
        <w:rPr>
          <w:rFonts w:ascii="Arial" w:hAnsi="Arial" w:cs="Arial"/>
          <w:sz w:val="22"/>
          <w:szCs w:val="22"/>
        </w:rPr>
        <w:t>.</w:t>
      </w:r>
    </w:p>
    <w:p w14:paraId="604BAF0C" w14:textId="77777777" w:rsidR="00235A3B" w:rsidRPr="00235A3B" w:rsidRDefault="00235A3B" w:rsidP="000420C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19B6F217" w14:textId="77777777" w:rsidR="00F423BA" w:rsidRPr="00235A3B" w:rsidRDefault="00000000" w:rsidP="000420CD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qsh70q">
        <w:bookmarkStart w:id="11" w:name="_Toc148525372"/>
        <w:r w:rsidRPr="00235A3B">
          <w:rPr>
            <w:rFonts w:ascii="Arial" w:hAnsi="Arial" w:cs="Arial"/>
            <w:sz w:val="22"/>
            <w:szCs w:val="22"/>
          </w:rPr>
          <w:t>Projekt</w:t>
        </w:r>
      </w:hyperlink>
      <w:r w:rsidRPr="00235A3B">
        <w:rPr>
          <w:rFonts w:ascii="Arial" w:hAnsi="Arial" w:cs="Arial"/>
          <w:sz w:val="22"/>
          <w:szCs w:val="22"/>
        </w:rPr>
        <w:t xml:space="preserve"> organizacji ruchu</w:t>
      </w:r>
      <w:bookmarkEnd w:id="11"/>
      <w:r w:rsidRPr="00235A3B">
        <w:rPr>
          <w:rFonts w:ascii="Arial" w:hAnsi="Arial" w:cs="Arial"/>
          <w:sz w:val="22"/>
          <w:szCs w:val="22"/>
        </w:rPr>
        <w:t xml:space="preserve"> </w:t>
      </w:r>
    </w:p>
    <w:p w14:paraId="1A720E56" w14:textId="157151A8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Na odcinku drogi publicznej</w:t>
      </w:r>
      <w:r w:rsidR="00282658" w:rsidRPr="00235A3B">
        <w:rPr>
          <w:rFonts w:ascii="Arial" w:hAnsi="Arial" w:cs="Arial"/>
          <w:sz w:val="22"/>
          <w:szCs w:val="22"/>
        </w:rPr>
        <w:t xml:space="preserve"> </w:t>
      </w:r>
      <w:r w:rsidRPr="00235A3B">
        <w:rPr>
          <w:rFonts w:ascii="Arial" w:hAnsi="Arial" w:cs="Arial"/>
          <w:sz w:val="22"/>
          <w:szCs w:val="22"/>
        </w:rPr>
        <w:t>nr 109363E (dr nr 6) oraz 109361E (dr nr 1) wprowadzono oznakowanie definiujące pierwszeństwo (</w:t>
      </w:r>
      <w:r w:rsidR="00235A3B" w:rsidRPr="00235A3B">
        <w:rPr>
          <w:rFonts w:ascii="Arial" w:hAnsi="Arial" w:cs="Arial"/>
          <w:sz w:val="22"/>
          <w:szCs w:val="22"/>
        </w:rPr>
        <w:t>z</w:t>
      </w:r>
      <w:r w:rsidRPr="00235A3B">
        <w:rPr>
          <w:rFonts w:ascii="Arial" w:hAnsi="Arial" w:cs="Arial"/>
          <w:sz w:val="22"/>
          <w:szCs w:val="22"/>
        </w:rPr>
        <w:t>naki A-6a oraz A-7)</w:t>
      </w:r>
      <w:r w:rsidR="00235A3B" w:rsidRPr="00235A3B">
        <w:rPr>
          <w:rFonts w:ascii="Arial" w:hAnsi="Arial" w:cs="Arial"/>
          <w:sz w:val="22"/>
          <w:szCs w:val="22"/>
        </w:rPr>
        <w:t>,</w:t>
      </w:r>
      <w:r w:rsidRPr="00235A3B">
        <w:rPr>
          <w:rFonts w:ascii="Arial" w:hAnsi="Arial" w:cs="Arial"/>
          <w:sz w:val="22"/>
          <w:szCs w:val="22"/>
        </w:rPr>
        <w:t xml:space="preserve"> a także oznakowanie D-1</w:t>
      </w:r>
      <w:r w:rsidR="00235A3B" w:rsidRPr="00235A3B">
        <w:rPr>
          <w:rFonts w:ascii="Arial" w:hAnsi="Arial" w:cs="Arial"/>
          <w:sz w:val="22"/>
          <w:szCs w:val="22"/>
        </w:rPr>
        <w:t xml:space="preserve">. Na skrzyżowaniu dróg 109363E (dr nr 6) i 109361E łamane pierwszeństwo oznakowano tabliczkami </w:t>
      </w:r>
      <w:r w:rsidRPr="00235A3B">
        <w:rPr>
          <w:rFonts w:ascii="Arial" w:hAnsi="Arial" w:cs="Arial"/>
          <w:sz w:val="22"/>
          <w:szCs w:val="22"/>
        </w:rPr>
        <w:t>T-6a</w:t>
      </w:r>
      <w:r w:rsidR="00235A3B" w:rsidRPr="00235A3B">
        <w:rPr>
          <w:rFonts w:ascii="Arial" w:hAnsi="Arial" w:cs="Arial"/>
          <w:sz w:val="22"/>
          <w:szCs w:val="22"/>
        </w:rPr>
        <w:t xml:space="preserve"> oraz T-6c</w:t>
      </w:r>
      <w:r w:rsidRPr="00235A3B">
        <w:rPr>
          <w:rFonts w:ascii="Arial" w:hAnsi="Arial" w:cs="Arial"/>
          <w:sz w:val="22"/>
          <w:szCs w:val="22"/>
        </w:rPr>
        <w:t>.</w:t>
      </w:r>
    </w:p>
    <w:p w14:paraId="249CB2A4" w14:textId="28AAEEC0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 xml:space="preserve">Na drodze nr 109367E </w:t>
      </w:r>
      <w:r w:rsidR="00235A3B" w:rsidRPr="00235A3B">
        <w:rPr>
          <w:rFonts w:ascii="Arial" w:hAnsi="Arial" w:cs="Arial"/>
          <w:sz w:val="22"/>
          <w:szCs w:val="22"/>
        </w:rPr>
        <w:t xml:space="preserve">(dr nr 14a) </w:t>
      </w:r>
      <w:r w:rsidRPr="00235A3B">
        <w:rPr>
          <w:rFonts w:ascii="Arial" w:hAnsi="Arial" w:cs="Arial"/>
          <w:sz w:val="22"/>
          <w:szCs w:val="22"/>
        </w:rPr>
        <w:t>wprowadzono oznakowanie pionowe A-7 oraz D-1</w:t>
      </w:r>
      <w:r w:rsidR="00235A3B" w:rsidRPr="00235A3B">
        <w:rPr>
          <w:rFonts w:ascii="Arial" w:hAnsi="Arial" w:cs="Arial"/>
          <w:sz w:val="22"/>
          <w:szCs w:val="22"/>
        </w:rPr>
        <w:t>, uzupełnione o odpowiednie tabliczki typu T-6</w:t>
      </w:r>
      <w:r w:rsidRPr="00235A3B">
        <w:rPr>
          <w:rFonts w:ascii="Arial" w:hAnsi="Arial" w:cs="Arial"/>
          <w:sz w:val="22"/>
          <w:szCs w:val="22"/>
        </w:rPr>
        <w:t xml:space="preserve">. </w:t>
      </w:r>
    </w:p>
    <w:p w14:paraId="2A7DF64D" w14:textId="77777777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Na dr nr 9 należy ustawić oznakowanie A-7.</w:t>
      </w:r>
    </w:p>
    <w:p w14:paraId="3D5EAEB5" w14:textId="137843C3" w:rsidR="00F423BA" w:rsidRPr="00235A3B" w:rsidRDefault="00000000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 xml:space="preserve">Istniejące </w:t>
      </w:r>
      <w:hyperlink w:anchor="_heading=h.3as4poj">
        <w:r w:rsidRPr="00235A3B">
          <w:rPr>
            <w:rFonts w:ascii="Arial" w:hAnsi="Arial" w:cs="Arial"/>
            <w:sz w:val="22"/>
            <w:szCs w:val="22"/>
          </w:rPr>
          <w:t>oznakowanie</w:t>
        </w:r>
      </w:hyperlink>
      <w:r w:rsidRPr="00235A3B">
        <w:rPr>
          <w:rFonts w:ascii="Arial" w:hAnsi="Arial" w:cs="Arial"/>
          <w:sz w:val="22"/>
          <w:szCs w:val="22"/>
        </w:rPr>
        <w:t xml:space="preserve"> w okolicy inwestycji zostało zinwentaryzowane i</w:t>
      </w:r>
      <w:r w:rsidR="000420CD" w:rsidRPr="00235A3B">
        <w:rPr>
          <w:rFonts w:ascii="Arial" w:hAnsi="Arial" w:cs="Arial"/>
          <w:sz w:val="22"/>
          <w:szCs w:val="22"/>
        </w:rPr>
        <w:t xml:space="preserve"> </w:t>
      </w:r>
      <w:r w:rsidRPr="00235A3B">
        <w:rPr>
          <w:rFonts w:ascii="Arial" w:hAnsi="Arial" w:cs="Arial"/>
          <w:sz w:val="22"/>
          <w:szCs w:val="22"/>
        </w:rPr>
        <w:t>przedstawiono na projekcie stałej organizacji ruchu.</w:t>
      </w:r>
    </w:p>
    <w:p w14:paraId="31C154A4" w14:textId="77777777" w:rsidR="00282658" w:rsidRPr="00235A3B" w:rsidRDefault="00282658" w:rsidP="00282658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74611B36" w14:textId="77777777" w:rsidR="00F423BA" w:rsidRPr="00235A3B" w:rsidRDefault="00000000" w:rsidP="00282658">
      <w:pPr>
        <w:pStyle w:val="Nagwek2"/>
        <w:numPr>
          <w:ilvl w:val="2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hyperlink w:anchor="_heading=h.1pxezwc">
        <w:bookmarkStart w:id="12" w:name="_Toc148525373"/>
        <w:r w:rsidRPr="00235A3B">
          <w:rPr>
            <w:rFonts w:ascii="Arial" w:hAnsi="Arial" w:cs="Arial"/>
            <w:sz w:val="22"/>
            <w:szCs w:val="22"/>
          </w:rPr>
          <w:t xml:space="preserve">Parametry techniczno-funkcjonalne znaków drogowych i </w:t>
        </w:r>
      </w:hyperlink>
      <w:r w:rsidRPr="00235A3B">
        <w:rPr>
          <w:rFonts w:ascii="Arial" w:hAnsi="Arial" w:cs="Arial"/>
          <w:sz w:val="22"/>
          <w:szCs w:val="22"/>
        </w:rPr>
        <w:t>UBR</w:t>
      </w:r>
      <w:bookmarkEnd w:id="12"/>
    </w:p>
    <w:p w14:paraId="25D33174" w14:textId="77777777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Wszystkie elementy znaku, tj. wymiary tarcz, wielkość liter oraz zasady umieszczania znaków należy przyjmować zgodnie z Rozporządzeniem, Ministra Infrastruktury z dnia 3 lipca 2003 r. w sprawie szczegółowych warunków technicznych dla znaków i sygnałów drogowych oraz urządzeń bezpieczeństwa ruchu drogowego i warunków ich umieszczania na drogach (tekst. jedn. Dz.U.2019.2311 ze zm.).</w:t>
      </w:r>
    </w:p>
    <w:p w14:paraId="694C7C25" w14:textId="0115365D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Znaki należy umieści poza skrajnią drogową, rowerową i pieszą tj. min. 0,50 m od krawędzi jezdni i na wysokości 2,5 m. Słupek ani tablica znaku drogowego nie może ograniczać skrajni samochodowej, pieszych ani rowerzystów.</w:t>
      </w:r>
    </w:p>
    <w:p w14:paraId="60788FAE" w14:textId="77777777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 xml:space="preserve">Należy zastosować znaki małe, </w:t>
      </w:r>
      <w:r w:rsidRPr="00235A3B">
        <w:rPr>
          <w:rFonts w:ascii="Arial" w:hAnsi="Arial" w:cs="Arial"/>
          <w:b/>
          <w:bCs/>
          <w:sz w:val="22"/>
          <w:szCs w:val="22"/>
        </w:rPr>
        <w:t>znak A-7 wielkości średniej</w:t>
      </w:r>
      <w:r w:rsidRPr="00235A3B">
        <w:rPr>
          <w:rFonts w:ascii="Arial" w:hAnsi="Arial" w:cs="Arial"/>
          <w:sz w:val="22"/>
          <w:szCs w:val="22"/>
        </w:rPr>
        <w:t>. Lica znaków i tabliczek powinny zostać wykonane z blachy stalowej ocynkowanej, z podwójnie zagiętą krawędzią na całym obwodzie, z zastosowaniem folii odblaskowej typu 2. Tył znaku powinien być koloru szarego. Treść znaku powinna być nanoszona na lico znaku metodą sitodruku lub wyklejana. Znaki należy umieścić na słupkach z rury metalowej, ocynkowanej, o średnicy 60 mm oraz grubości ścianki 3,2 mm. Na znaki powinna być udzielona gwarancja na okres co najmniej 60 miesięcy.</w:t>
      </w:r>
    </w:p>
    <w:p w14:paraId="4D18521B" w14:textId="0390AE3A" w:rsidR="00F423BA" w:rsidRPr="00235A3B" w:rsidRDefault="00000000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Nie dopuszcza się ustawiania znaków w sposób uniemożliwiający ominięcie go przez osoby niepełnosprawne poruszające się na wózkach inwalidzkich.</w:t>
      </w:r>
    </w:p>
    <w:p w14:paraId="3716AFC9" w14:textId="77777777" w:rsidR="00235A3B" w:rsidRPr="00235A3B" w:rsidRDefault="00235A3B">
      <w:pPr>
        <w:rPr>
          <w:rFonts w:ascii="Arial" w:hAnsi="Arial" w:cs="Arial"/>
          <w:b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br w:type="page"/>
      </w:r>
    </w:p>
    <w:p w14:paraId="0511E0F4" w14:textId="748540DF" w:rsidR="00235A3B" w:rsidRPr="00235A3B" w:rsidRDefault="00235A3B" w:rsidP="00235A3B">
      <w:pPr>
        <w:pStyle w:val="Nagwek2"/>
        <w:numPr>
          <w:ilvl w:val="2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13" w:name="_Toc148525374"/>
      <w:r w:rsidRPr="00235A3B">
        <w:rPr>
          <w:rFonts w:ascii="Arial" w:hAnsi="Arial" w:cs="Arial"/>
          <w:sz w:val="22"/>
          <w:szCs w:val="22"/>
        </w:rPr>
        <w:lastRenderedPageBreak/>
        <w:t>Widoczność i bezpieczeństwo ruchu</w:t>
      </w:r>
      <w:bookmarkEnd w:id="13"/>
      <w:r w:rsidRPr="00235A3B">
        <w:rPr>
          <w:rFonts w:ascii="Arial" w:hAnsi="Arial" w:cs="Arial"/>
          <w:sz w:val="22"/>
          <w:szCs w:val="22"/>
        </w:rPr>
        <w:t xml:space="preserve"> </w:t>
      </w:r>
    </w:p>
    <w:p w14:paraId="19EFAA43" w14:textId="77777777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 xml:space="preserve">Nie stwierdzono negatywnego wpływu na widoczność. </w:t>
      </w:r>
    </w:p>
    <w:p w14:paraId="126373FC" w14:textId="1FBEB9EE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Przebudowa dróg nie zmniejsza widoczności poziomej.  Przebudowa dróg nie zmniejsza widoczności pionowej.</w:t>
      </w:r>
    </w:p>
    <w:p w14:paraId="5583A754" w14:textId="77777777" w:rsidR="00235A3B" w:rsidRPr="00235A3B" w:rsidRDefault="00235A3B" w:rsidP="00235A3B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</w:p>
    <w:p w14:paraId="1CCF6625" w14:textId="0C2CF149" w:rsidR="00F423BA" w:rsidRPr="00235A3B" w:rsidRDefault="00000000" w:rsidP="00282658">
      <w:pPr>
        <w:pStyle w:val="Nagwek1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14" w:name="_Toc148525375"/>
      <w:r w:rsidRPr="00235A3B">
        <w:rPr>
          <w:rFonts w:ascii="Arial" w:hAnsi="Arial" w:cs="Arial"/>
          <w:sz w:val="22"/>
          <w:szCs w:val="22"/>
        </w:rPr>
        <w:t>Przewidywany termin wprowadzenia zmian w organizacji ruchu</w:t>
      </w:r>
      <w:bookmarkEnd w:id="14"/>
    </w:p>
    <w:p w14:paraId="1AD0E7A9" w14:textId="6D3507AE" w:rsidR="00235A3B" w:rsidRPr="00235A3B" w:rsidRDefault="00000000" w:rsidP="00A912DD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235A3B">
        <w:rPr>
          <w:rFonts w:ascii="Arial" w:hAnsi="Arial" w:cs="Arial"/>
          <w:sz w:val="22"/>
          <w:szCs w:val="22"/>
        </w:rPr>
        <w:t>Przewidywany termin wprowadzenia organizacji ruchu</w:t>
      </w:r>
      <w:r w:rsidR="00235A3B" w:rsidRPr="00235A3B">
        <w:rPr>
          <w:rFonts w:ascii="Arial" w:hAnsi="Arial" w:cs="Arial"/>
          <w:sz w:val="22"/>
          <w:szCs w:val="22"/>
        </w:rPr>
        <w:t xml:space="preserve"> III kwartał 2024.</w:t>
      </w:r>
    </w:p>
    <w:sectPr w:rsidR="00235A3B" w:rsidRPr="00235A3B" w:rsidSect="006C0883">
      <w:footerReference w:type="default" r:id="rId9"/>
      <w:headerReference w:type="first" r:id="rId10"/>
      <w:footerReference w:type="first" r:id="rId11"/>
      <w:pgSz w:w="11907" w:h="16839"/>
      <w:pgMar w:top="1134" w:right="1134" w:bottom="1134" w:left="1134" w:header="567" w:footer="567" w:gutter="567"/>
      <w:pgNumType w:start="3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E7377" w14:textId="77777777" w:rsidR="00586F9A" w:rsidRDefault="00586F9A">
      <w:pPr>
        <w:spacing w:after="0" w:line="240" w:lineRule="auto"/>
      </w:pPr>
      <w:r>
        <w:separator/>
      </w:r>
    </w:p>
  </w:endnote>
  <w:endnote w:type="continuationSeparator" w:id="0">
    <w:p w14:paraId="4929D124" w14:textId="77777777" w:rsidR="00586F9A" w:rsidRDefault="0058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7321" w14:textId="77777777" w:rsidR="00F423BA" w:rsidRPr="0028265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22"/>
        <w:szCs w:val="22"/>
      </w:rPr>
    </w:pPr>
    <w:r w:rsidRPr="00282658">
      <w:rPr>
        <w:rFonts w:ascii="Arial" w:hAnsi="Arial" w:cs="Arial"/>
        <w:color w:val="000000"/>
        <w:sz w:val="22"/>
        <w:szCs w:val="22"/>
      </w:rPr>
      <w:fldChar w:fldCharType="begin"/>
    </w:r>
    <w:r w:rsidRPr="00282658">
      <w:rPr>
        <w:rFonts w:ascii="Arial" w:hAnsi="Arial" w:cs="Arial"/>
        <w:color w:val="000000"/>
        <w:sz w:val="22"/>
        <w:szCs w:val="22"/>
      </w:rPr>
      <w:instrText>PAGE</w:instrText>
    </w:r>
    <w:r w:rsidRPr="00282658">
      <w:rPr>
        <w:rFonts w:ascii="Arial" w:hAnsi="Arial" w:cs="Arial"/>
        <w:color w:val="000000"/>
        <w:sz w:val="22"/>
        <w:szCs w:val="22"/>
      </w:rPr>
      <w:fldChar w:fldCharType="separate"/>
    </w:r>
    <w:r w:rsidR="00282658" w:rsidRPr="00282658">
      <w:rPr>
        <w:rFonts w:ascii="Arial" w:hAnsi="Arial" w:cs="Arial"/>
        <w:noProof/>
        <w:color w:val="000000"/>
        <w:sz w:val="22"/>
        <w:szCs w:val="22"/>
      </w:rPr>
      <w:t>2</w:t>
    </w:r>
    <w:r w:rsidRPr="00282658">
      <w:rPr>
        <w:rFonts w:ascii="Arial" w:hAnsi="Arial" w:cs="Arial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A0F2" w14:textId="7DA6AE51" w:rsidR="00282658" w:rsidRPr="006C0883" w:rsidRDefault="00282658" w:rsidP="006C0883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9B49" w14:textId="77777777" w:rsidR="00586F9A" w:rsidRDefault="00586F9A">
      <w:pPr>
        <w:spacing w:after="0" w:line="240" w:lineRule="auto"/>
      </w:pPr>
      <w:r>
        <w:separator/>
      </w:r>
    </w:p>
  </w:footnote>
  <w:footnote w:type="continuationSeparator" w:id="0">
    <w:p w14:paraId="3722C8ED" w14:textId="77777777" w:rsidR="00586F9A" w:rsidRDefault="00586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1FEB5" w14:textId="77777777" w:rsidR="00F423B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</w:rPr>
    </w:pPr>
    <w:r>
      <w:rPr>
        <w:rFonts w:ascii="Arial" w:eastAsia="Arial" w:hAnsi="Arial" w:cs="Arial"/>
        <w:color w:val="00000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282D"/>
    <w:multiLevelType w:val="multilevel"/>
    <w:tmpl w:val="E926DA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05A2C"/>
    <w:multiLevelType w:val="multilevel"/>
    <w:tmpl w:val="0694D2A0"/>
    <w:lvl w:ilvl="0">
      <w:start w:val="1"/>
      <w:numFmt w:val="upperRoman"/>
      <w:lvlText w:val="%1"/>
      <w:lvlJc w:val="left"/>
      <w:pPr>
        <w:ind w:left="432" w:hanging="432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b/>
      </w:rPr>
    </w:lvl>
    <w:lvl w:ilvl="2">
      <w:start w:val="1"/>
      <w:numFmt w:val="decimal"/>
      <w:lvlText w:val="%2.%3"/>
      <w:lvlJc w:val="left"/>
      <w:pPr>
        <w:ind w:left="720" w:hanging="720"/>
      </w:pPr>
    </w:lvl>
    <w:lvl w:ilvl="3">
      <w:start w:val="1"/>
      <w:numFmt w:val="decimal"/>
      <w:lvlText w:val="%2.%3.%4"/>
      <w:lvlJc w:val="left"/>
      <w:pPr>
        <w:ind w:left="1005" w:hanging="864"/>
      </w:pPr>
      <w:rPr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EF83B53"/>
    <w:multiLevelType w:val="hybridMultilevel"/>
    <w:tmpl w:val="E2FA32D6"/>
    <w:lvl w:ilvl="0" w:tplc="D7CAF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A942EA"/>
    <w:multiLevelType w:val="multilevel"/>
    <w:tmpl w:val="82846098"/>
    <w:lvl w:ilvl="0">
      <w:numFmt w:val="bullet"/>
      <w:lvlText w:val="−"/>
      <w:lvlJc w:val="left"/>
      <w:pPr>
        <w:ind w:left="283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DB51AA7"/>
    <w:multiLevelType w:val="hybridMultilevel"/>
    <w:tmpl w:val="8366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57A8D"/>
    <w:multiLevelType w:val="hybridMultilevel"/>
    <w:tmpl w:val="D34211A6"/>
    <w:lvl w:ilvl="0" w:tplc="7842F8C4">
      <w:start w:val="1"/>
      <w:numFmt w:val="bullet"/>
      <w:pStyle w:val="P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6816">
    <w:abstractNumId w:val="1"/>
  </w:num>
  <w:num w:numId="2" w16cid:durableId="1150905370">
    <w:abstractNumId w:val="0"/>
  </w:num>
  <w:num w:numId="3" w16cid:durableId="699013343">
    <w:abstractNumId w:val="3"/>
  </w:num>
  <w:num w:numId="4" w16cid:durableId="515919966">
    <w:abstractNumId w:val="5"/>
  </w:num>
  <w:num w:numId="5" w16cid:durableId="1926763944">
    <w:abstractNumId w:val="5"/>
  </w:num>
  <w:num w:numId="6" w16cid:durableId="451553707">
    <w:abstractNumId w:val="4"/>
  </w:num>
  <w:num w:numId="7" w16cid:durableId="1478230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BA"/>
    <w:rsid w:val="00010875"/>
    <w:rsid w:val="000420CD"/>
    <w:rsid w:val="00194336"/>
    <w:rsid w:val="00235A3B"/>
    <w:rsid w:val="00282658"/>
    <w:rsid w:val="00503038"/>
    <w:rsid w:val="00586F9A"/>
    <w:rsid w:val="006C0883"/>
    <w:rsid w:val="00A52B69"/>
    <w:rsid w:val="00A912DD"/>
    <w:rsid w:val="00AA2C7B"/>
    <w:rsid w:val="00B61534"/>
    <w:rsid w:val="00D43B34"/>
    <w:rsid w:val="00F4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965E"/>
  <w15:docId w15:val="{541E9DB0-727E-4F48-99B3-C9C4D500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spacing w:after="60"/>
      <w:ind w:left="576" w:hanging="576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after="60"/>
      <w:ind w:left="720" w:hanging="720"/>
      <w:outlineLvl w:val="1"/>
    </w:pPr>
    <w:rPr>
      <w:b/>
    </w:rPr>
  </w:style>
  <w:style w:type="paragraph" w:styleId="Nagwek3">
    <w:name w:val="heading 3"/>
    <w:basedOn w:val="Normalny"/>
    <w:next w:val="Normalny"/>
    <w:uiPriority w:val="9"/>
    <w:unhideWhenUsed/>
    <w:qFormat/>
    <w:pPr>
      <w:spacing w:after="60"/>
      <w:ind w:left="1005" w:hanging="864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unhideWhenUsed/>
    <w:qFormat/>
    <w:pPr>
      <w:spacing w:after="60"/>
      <w:ind w:left="432" w:hanging="432"/>
      <w:outlineLvl w:val="3"/>
    </w:pPr>
  </w:style>
  <w:style w:type="paragraph" w:styleId="Nagwek5">
    <w:name w:val="heading 5"/>
    <w:basedOn w:val="Normalny"/>
    <w:next w:val="Normalny"/>
    <w:uiPriority w:val="9"/>
    <w:semiHidden/>
    <w:unhideWhenUsed/>
    <w:qFormat/>
    <w:pPr>
      <w:spacing w:before="200" w:after="0"/>
      <w:outlineLvl w:val="4"/>
    </w:pPr>
    <w:rPr>
      <w:rFonts w:ascii="Cambria" w:eastAsia="Cambria" w:hAnsi="Cambria" w:cs="Cambria"/>
      <w:b/>
      <w:color w:val="7F7F7F"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spacing w:after="0" w:line="271" w:lineRule="auto"/>
      <w:outlineLvl w:val="5"/>
    </w:pPr>
    <w:rPr>
      <w:rFonts w:ascii="Cambria" w:eastAsia="Cambria" w:hAnsi="Cambria" w:cs="Cambria"/>
      <w:b/>
      <w:i/>
      <w:color w:val="7F7F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bottom w:val="single" w:sz="4" w:space="1" w:color="000000"/>
      </w:pBdr>
      <w:spacing w:line="240" w:lineRule="auto"/>
    </w:pPr>
    <w:rPr>
      <w:rFonts w:ascii="Cambria" w:eastAsia="Cambria" w:hAnsi="Cambria" w:cs="Cambria"/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spacing w:after="600"/>
    </w:pPr>
    <w:rPr>
      <w:rFonts w:ascii="Cambria" w:eastAsia="Cambria" w:hAnsi="Cambria" w:cs="Cambria"/>
      <w:i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658"/>
  </w:style>
  <w:style w:type="paragraph" w:styleId="Stopka">
    <w:name w:val="footer"/>
    <w:basedOn w:val="Normalny"/>
    <w:link w:val="StopkaZnak"/>
    <w:unhideWhenUsed/>
    <w:rsid w:val="0028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82658"/>
  </w:style>
  <w:style w:type="paragraph" w:customStyle="1" w:styleId="P1">
    <w:name w:val="P1"/>
    <w:basedOn w:val="Normalny"/>
    <w:rsid w:val="00282658"/>
    <w:pPr>
      <w:numPr>
        <w:numId w:val="4"/>
      </w:numPr>
      <w:spacing w:after="0" w:line="320" w:lineRule="atLeast"/>
      <w:jc w:val="both"/>
    </w:pPr>
    <w:rPr>
      <w:rFonts w:ascii="Arial" w:hAnsi="Arial"/>
      <w:sz w:val="22"/>
      <w:szCs w:val="20"/>
      <w:lang w:val="en-GB" w:eastAsia="de-DE"/>
    </w:rPr>
  </w:style>
  <w:style w:type="paragraph" w:styleId="Akapitzlist">
    <w:name w:val="List Paragraph"/>
    <w:basedOn w:val="Normalny"/>
    <w:uiPriority w:val="34"/>
    <w:qFormat/>
    <w:rsid w:val="000420CD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35A3B"/>
    <w:pPr>
      <w:keepNext/>
      <w:keepLines/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35A3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35A3B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235A3B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35A3B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23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/5EYokirktC3lwYBJC9tvCPY2g==">CgMxLjAyCGguZ2pkZ3hzMgloLjMwajB6bGwyCWguMWZvYjl0ZTIJaC4zem55c2g3MgloLjJldDkycDAyCGgudHlqY3d0MgloLjNkeTZ2a20yCWguMXQzaDVzZjIJaC40ZDM0b2c4MgloLjJzOGV5bzEyCWguMTdkcDh2dTIJaC4zcmRjcmpuMgloLjI2aW4xcmcyCGgubG54Yno5MgloLjM1bmt1bjIyCWguMWtzdjR1djIJaC40NHNpbmlvOAByITE2cHpqT002NmlmOXBwcHZPNHRzYWowRDZ5R0g0Ym5VQ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A66334-074D-4DA7-88E0-C285BDDB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Zembura</cp:lastModifiedBy>
  <cp:revision>6</cp:revision>
  <cp:lastPrinted>2023-11-03T14:54:00Z</cp:lastPrinted>
  <dcterms:created xsi:type="dcterms:W3CDTF">2023-10-18T10:10:00Z</dcterms:created>
  <dcterms:modified xsi:type="dcterms:W3CDTF">2023-11-03T14:54:00Z</dcterms:modified>
</cp:coreProperties>
</file>