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9592" w14:textId="4DB6DA99" w:rsidR="008563BD" w:rsidRPr="00795B48" w:rsidRDefault="00897CA2">
      <w:pPr>
        <w:pStyle w:val="Standard"/>
        <w:autoSpaceDE w:val="0"/>
        <w:spacing w:line="240" w:lineRule="auto"/>
        <w:jc w:val="right"/>
        <w:rPr>
          <w:rFonts w:asciiTheme="minorHAnsi" w:eastAsia="TimesNewRomanPS-BoldMT" w:hAnsiTheme="minorHAnsi" w:cstheme="minorHAnsi"/>
          <w:sz w:val="22"/>
          <w:szCs w:val="22"/>
        </w:rPr>
      </w:pPr>
      <w:r w:rsidRPr="00795B48">
        <w:rPr>
          <w:rFonts w:asciiTheme="minorHAnsi" w:eastAsia="TimesNewRomanPS-BoldMT" w:hAnsiTheme="minorHAnsi" w:cstheme="minorHAnsi"/>
          <w:sz w:val="22"/>
          <w:szCs w:val="22"/>
        </w:rPr>
        <w:t>Załącznik nr 10 do swz</w:t>
      </w:r>
    </w:p>
    <w:p w14:paraId="6364C562" w14:textId="77777777" w:rsidR="008563BD" w:rsidRDefault="008563BD">
      <w:pPr>
        <w:pStyle w:val="Standard"/>
        <w:autoSpaceDE w:val="0"/>
        <w:spacing w:line="240" w:lineRule="auto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2BF53E68" w14:textId="77777777" w:rsidR="008563BD" w:rsidRDefault="00897CA2">
      <w:pPr>
        <w:pStyle w:val="Standard"/>
        <w:autoSpaceDE w:val="0"/>
        <w:spacing w:line="240" w:lineRule="auto"/>
        <w:jc w:val="center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  <w:bCs/>
          <w:sz w:val="22"/>
          <w:szCs w:val="22"/>
        </w:rPr>
        <w:t>Szczegółowy opis przedmiotu zamówienia</w:t>
      </w:r>
    </w:p>
    <w:p w14:paraId="7A67F4A5" w14:textId="77777777" w:rsidR="008563BD" w:rsidRDefault="008563BD">
      <w:pPr>
        <w:pStyle w:val="Standard"/>
        <w:autoSpaceDE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121481E" w14:textId="77777777" w:rsidR="008563BD" w:rsidRDefault="00897CA2">
      <w:pPr>
        <w:pStyle w:val="Standard"/>
        <w:widowControl w:val="0"/>
        <w:numPr>
          <w:ilvl w:val="0"/>
          <w:numId w:val="1"/>
        </w:numPr>
        <w:autoSpaceDE w:val="0"/>
        <w:spacing w:line="240" w:lineRule="auto"/>
        <w:ind w:left="426" w:hanging="426"/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bidi="ar-SA"/>
        </w:rPr>
        <w:t>Przedmiotem zamówienia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jest </w:t>
      </w:r>
      <w:r>
        <w:rPr>
          <w:rFonts w:asciiTheme="minorHAnsi" w:eastAsia="TimesNewRomanPS-BoldMT" w:hAnsiTheme="minorHAnsi" w:cstheme="minorHAnsi"/>
          <w:sz w:val="22"/>
          <w:szCs w:val="22"/>
          <w:shd w:val="clear" w:color="auto" w:fill="FFFFFF"/>
        </w:rPr>
        <w:t>wykonanie</w:t>
      </w:r>
      <w:r>
        <w:rPr>
          <w:rFonts w:asciiTheme="minorHAnsi" w:eastAsia="FrutigerCE-Roman" w:hAnsiTheme="minorHAnsi" w:cstheme="minorHAnsi"/>
          <w:sz w:val="22"/>
          <w:szCs w:val="22"/>
          <w:shd w:val="clear" w:color="auto" w:fill="FFFFFF"/>
        </w:rPr>
        <w:t xml:space="preserve"> i sukcesywna dostawa tablic rejestracyjnych dla Staros</w:t>
      </w:r>
      <w:r>
        <w:rPr>
          <w:rFonts w:asciiTheme="minorHAnsi" w:eastAsia="FrutigerCE-Roman" w:hAnsiTheme="minorHAnsi" w:cstheme="minorHAnsi"/>
          <w:sz w:val="22"/>
          <w:szCs w:val="22"/>
        </w:rPr>
        <w:t xml:space="preserve">twa Powiatowego w Krapkowicach </w:t>
      </w:r>
      <w:r>
        <w:rPr>
          <w:rFonts w:asciiTheme="minorHAnsi" w:eastAsia="Verdana,Bold" w:hAnsiTheme="minorHAnsi" w:cstheme="minorHAnsi"/>
          <w:sz w:val="22"/>
          <w:szCs w:val="22"/>
        </w:rPr>
        <w:t>wraz z usługą odbioru i złomowania tablic</w:t>
      </w:r>
      <w:r>
        <w:rPr>
          <w:rFonts w:asciiTheme="minorHAnsi" w:eastAsia="TimesNewRomanPS-BoldMT" w:hAnsiTheme="minorHAnsi" w:cstheme="minorHAnsi"/>
          <w:color w:val="000000"/>
          <w:sz w:val="22"/>
          <w:szCs w:val="22"/>
        </w:rPr>
        <w:t xml:space="preserve">. </w:t>
      </w:r>
    </w:p>
    <w:p w14:paraId="74D86935" w14:textId="77777777" w:rsidR="008563BD" w:rsidRDefault="00897CA2">
      <w:pPr>
        <w:pStyle w:val="Standard"/>
        <w:widowControl w:val="0"/>
        <w:numPr>
          <w:ilvl w:val="0"/>
          <w:numId w:val="1"/>
        </w:numPr>
        <w:autoSpaceDE w:val="0"/>
        <w:spacing w:line="240" w:lineRule="auto"/>
        <w:ind w:left="426" w:hanging="426"/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>
        <w:rPr>
          <w:rFonts w:asciiTheme="minorHAnsi" w:eastAsia="TimesNewRomanPS-BoldMT" w:hAnsiTheme="minorHAnsi" w:cstheme="minorHAnsi"/>
          <w:color w:val="000000"/>
          <w:sz w:val="22"/>
          <w:szCs w:val="22"/>
        </w:rPr>
        <w:t>Zamówienie obejmuje odbiór zużytych tablic rejestracyjnych wycofanych z użytku, ich złomowanie lub utylizację w sposób uniemożliwiający ich powtórne wykorzystanie.</w:t>
      </w:r>
    </w:p>
    <w:p w14:paraId="2D490CF1" w14:textId="77777777" w:rsidR="008563BD" w:rsidRDefault="00897CA2">
      <w:pPr>
        <w:pStyle w:val="Standard"/>
        <w:widowControl w:val="0"/>
        <w:numPr>
          <w:ilvl w:val="0"/>
          <w:numId w:val="2"/>
        </w:numPr>
        <w:autoSpaceDE w:val="0"/>
        <w:spacing w:line="240" w:lineRule="auto"/>
        <w:ind w:left="426" w:hanging="426"/>
        <w:jc w:val="both"/>
        <w:rPr>
          <w:rFonts w:asciiTheme="minorHAnsi" w:eastAsia="TimesNewRomanPS-BoldMT" w:hAnsiTheme="minorHAnsi" w:cstheme="minorHAnsi"/>
          <w:color w:val="000000"/>
          <w:sz w:val="22"/>
          <w:szCs w:val="22"/>
        </w:rPr>
      </w:pPr>
      <w:r>
        <w:rPr>
          <w:rFonts w:asciiTheme="minorHAnsi" w:eastAsia="TimesNewRomanPS-BoldMT" w:hAnsiTheme="minorHAnsi" w:cstheme="minorHAnsi"/>
          <w:color w:val="000000"/>
          <w:sz w:val="22"/>
          <w:szCs w:val="22"/>
        </w:rPr>
        <w:t>Odbiór zużytych tablic rejestracyjnych i ich złomowanie powinno odbywać się zgodnie z przepisami prawa, w szczególności w zgodzie z ustawą z dnia 14 grudnia 2012 r. o odpadach (Dz.U. z 2023 r. poz. 1587 z późn. zm.).</w:t>
      </w:r>
    </w:p>
    <w:p w14:paraId="66825423" w14:textId="77777777" w:rsidR="008563BD" w:rsidRDefault="00897CA2">
      <w:pPr>
        <w:pStyle w:val="Standard"/>
        <w:widowControl w:val="0"/>
        <w:numPr>
          <w:ilvl w:val="0"/>
          <w:numId w:val="2"/>
        </w:numPr>
        <w:autoSpaceDE w:val="0"/>
        <w:spacing w:line="240" w:lineRule="auto"/>
        <w:ind w:left="426" w:hanging="426"/>
        <w:jc w:val="both"/>
        <w:rPr>
          <w:rFonts w:asciiTheme="minorHAnsi" w:eastAsia="TimesNewRoman" w:hAnsiTheme="minorHAnsi" w:cstheme="minorHAnsi"/>
          <w:color w:val="000000"/>
          <w:sz w:val="22"/>
          <w:szCs w:val="22"/>
          <w:lang w:bidi="ar-SA"/>
        </w:rPr>
      </w:pPr>
      <w:r>
        <w:rPr>
          <w:rFonts w:asciiTheme="minorHAnsi" w:eastAsia="TimesNewRoman" w:hAnsiTheme="minorHAnsi" w:cstheme="minorHAnsi"/>
          <w:color w:val="000000"/>
          <w:sz w:val="22"/>
          <w:szCs w:val="22"/>
          <w:lang w:bidi="ar-SA"/>
        </w:rPr>
        <w:t>Szczegółowe wymagania Zamawiającego co do przedmiotu zamówienia wyszczególnione są w tabeli poniżej:</w:t>
      </w:r>
    </w:p>
    <w:p w14:paraId="30E2B3B5" w14:textId="77777777" w:rsidR="008563BD" w:rsidRDefault="008563BD">
      <w:pPr>
        <w:pStyle w:val="Standard"/>
        <w:spacing w:line="240" w:lineRule="auto"/>
        <w:rPr>
          <w:rFonts w:asciiTheme="minorHAnsi" w:eastAsia="TimesNewRomanPS-BoldMT" w:hAnsiTheme="minorHAnsi" w:cstheme="minorHAnsi"/>
          <w:color w:val="000000"/>
          <w:sz w:val="22"/>
          <w:szCs w:val="22"/>
        </w:rPr>
      </w:pPr>
    </w:p>
    <w:tbl>
      <w:tblPr>
        <w:tblW w:w="92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4922"/>
        <w:gridCol w:w="1276"/>
        <w:gridCol w:w="2693"/>
      </w:tblGrid>
      <w:tr w:rsidR="008563BD" w14:paraId="6B7A5C81" w14:textId="77777777">
        <w:trPr>
          <w:cantSplit/>
          <w:trHeight w:val="71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FD4D" w14:textId="77777777" w:rsidR="008563BD" w:rsidRDefault="00897CA2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E95" w14:textId="77777777" w:rsidR="008563BD" w:rsidRDefault="00897CA2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Rodzaj tablicy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0908" w14:textId="77777777" w:rsidR="008563BD" w:rsidRDefault="00897CA2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szacunkowa</w:t>
            </w:r>
          </w:p>
          <w:p w14:paraId="5F3735A5" w14:textId="77777777" w:rsidR="008563BD" w:rsidRDefault="00897CA2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Ilość </w:t>
            </w:r>
          </w:p>
          <w:p w14:paraId="6411EE8E" w14:textId="77777777" w:rsidR="008563BD" w:rsidRDefault="00897CA2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AD4E" w14:textId="77777777" w:rsidR="008563BD" w:rsidRDefault="00897CA2">
            <w:pPr>
              <w:pStyle w:val="TableContents"/>
              <w:spacing w:line="240" w:lineRule="auto"/>
              <w:jc w:val="center"/>
              <w:rPr>
                <w:rFonts w:asciiTheme="minorHAnsi" w:eastAsia="Arial-BoldMT" w:hAnsiTheme="minorHAnsi" w:cstheme="minorHAnsi"/>
                <w:sz w:val="18"/>
                <w:szCs w:val="18"/>
              </w:rPr>
            </w:pPr>
            <w:r>
              <w:rPr>
                <w:rFonts w:asciiTheme="minorHAnsi" w:eastAsia="ArialMT" w:hAnsiTheme="minorHAnsi" w:cstheme="minorHAnsi"/>
                <w:sz w:val="18"/>
                <w:szCs w:val="18"/>
              </w:rPr>
              <w:t>Przepisy określające wzory tablic</w:t>
            </w:r>
          </w:p>
        </w:tc>
      </w:tr>
      <w:tr w:rsidR="008563BD" w14:paraId="5C4C856B" w14:textId="77777777">
        <w:trPr>
          <w:trHeight w:val="10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B287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D404" w14:textId="77777777" w:rsidR="008563BD" w:rsidRDefault="00897CA2">
            <w:pPr>
              <w:pStyle w:val="Tekstpodstawowywcity"/>
              <w:spacing w:after="0"/>
              <w:ind w:left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Samochodowe zwyczajne jednorzędowe (w tym dla pojazdów elektrycznych)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514E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8100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EB7C" w14:textId="77777777" w:rsidR="008563BD" w:rsidRDefault="00897CA2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MT" w:hAnsiTheme="minorHAnsi" w:cstheme="minorHAnsi"/>
                <w:sz w:val="18"/>
                <w:szCs w:val="18"/>
              </w:rPr>
              <w:t xml:space="preserve">Wzór wg załącznika Nr 12 do 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Rozporządzenia Ministra Infrastruktury z dnia 31 sierpnia 2022 r.</w:t>
            </w:r>
          </w:p>
          <w:p w14:paraId="6BD3DF31" w14:textId="77777777" w:rsidR="008563BD" w:rsidRDefault="00897CA2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sprawie rejestracji i oznaczania pojazdów, wymagań dla tablic rejestracyjnych oraz wzorów innych dokumentów związanych z rejestracją pojazdów</w:t>
            </w:r>
          </w:p>
          <w:p w14:paraId="3A26516A" w14:textId="77777777" w:rsidR="008563BD" w:rsidRDefault="00897CA2">
            <w:pPr>
              <w:pStyle w:val="Zwyky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(Dz. U. poz. 1847 z późn. zm.)</w:t>
            </w:r>
          </w:p>
          <w:p w14:paraId="6B0E17A9" w14:textId="77777777" w:rsidR="008563BD" w:rsidRDefault="008563BD">
            <w:pPr>
              <w:pStyle w:val="Zwyky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AEAB87" w14:textId="77777777" w:rsidR="008563BD" w:rsidRDefault="00897CA2">
            <w:pPr>
              <w:pStyle w:val="Zwykytek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</w:p>
          <w:p w14:paraId="45F71AB5" w14:textId="77777777" w:rsidR="008563BD" w:rsidRDefault="008563BD">
            <w:pPr>
              <w:pStyle w:val="Zwykytekst"/>
              <w:jc w:val="center"/>
              <w:rPr>
                <w:rFonts w:asciiTheme="minorHAnsi" w:eastAsia="ArialMT" w:hAnsiTheme="minorHAnsi" w:cstheme="minorHAnsi"/>
                <w:sz w:val="18"/>
                <w:szCs w:val="18"/>
              </w:rPr>
            </w:pPr>
          </w:p>
          <w:p w14:paraId="33C8623A" w14:textId="77777777" w:rsidR="008563BD" w:rsidRDefault="00897CA2">
            <w:pPr>
              <w:pStyle w:val="Zwykytekst"/>
              <w:jc w:val="center"/>
              <w:rPr>
                <w:rFonts w:asciiTheme="minorHAnsi" w:eastAsia="ArialMT" w:hAnsiTheme="minorHAnsi" w:cstheme="minorHAnsi"/>
                <w:sz w:val="18"/>
                <w:szCs w:val="18"/>
              </w:rPr>
            </w:pPr>
            <w:r>
              <w:rPr>
                <w:rFonts w:asciiTheme="minorHAnsi" w:eastAsia="ArialMT" w:hAnsiTheme="minorHAnsi" w:cstheme="minorHAnsi"/>
                <w:sz w:val="18"/>
                <w:szCs w:val="18"/>
              </w:rPr>
              <w:t xml:space="preserve">Wzór wg załącznika nr 9 </w:t>
            </w:r>
          </w:p>
          <w:p w14:paraId="296D280F" w14:textId="77777777" w:rsidR="008563BD" w:rsidRDefault="00897CA2">
            <w:pPr>
              <w:pStyle w:val="Zwykytekst"/>
              <w:jc w:val="center"/>
              <w:rPr>
                <w:rFonts w:asciiTheme="minorHAnsi" w:eastAsia="Segoe UI" w:hAnsiTheme="minorHAnsi" w:cstheme="minorHAnsi"/>
                <w:sz w:val="18"/>
                <w:szCs w:val="18"/>
              </w:rPr>
            </w:pPr>
            <w:r>
              <w:rPr>
                <w:rFonts w:asciiTheme="minorHAnsi" w:eastAsia="ArialMT" w:hAnsiTheme="minorHAnsi" w:cstheme="minorHAnsi"/>
                <w:sz w:val="18"/>
                <w:szCs w:val="18"/>
              </w:rPr>
              <w:t xml:space="preserve">do </w:t>
            </w:r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Rozporządzenia Ministra Infrastruktury </w:t>
            </w:r>
          </w:p>
          <w:p w14:paraId="5BA68AE2" w14:textId="77777777" w:rsidR="008563BD" w:rsidRDefault="00897CA2">
            <w:pPr>
              <w:pStyle w:val="Zwykytekst"/>
              <w:jc w:val="center"/>
              <w:rPr>
                <w:rFonts w:asciiTheme="minorHAnsi" w:eastAsia="Segoe UI" w:hAnsiTheme="minorHAnsi" w:cstheme="minorHAnsi"/>
                <w:sz w:val="18"/>
                <w:szCs w:val="18"/>
              </w:rPr>
            </w:pPr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z dnia 12 marca 2019 r. </w:t>
            </w:r>
          </w:p>
          <w:p w14:paraId="1F2AEC3A" w14:textId="77777777" w:rsidR="008563BD" w:rsidRDefault="00897CA2">
            <w:pPr>
              <w:pStyle w:val="Zwykytekst"/>
              <w:jc w:val="center"/>
              <w:rPr>
                <w:rFonts w:asciiTheme="minorHAnsi" w:eastAsia="Segoe UI" w:hAnsiTheme="minorHAnsi" w:cstheme="minorHAnsi"/>
                <w:sz w:val="18"/>
                <w:szCs w:val="18"/>
              </w:rPr>
            </w:pPr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w sprawie profesjonalnej rejestracji pojazdów, stosowanych oznaczeń oraz opłat związanych z profesjonalną rejestracją pojazdów </w:t>
            </w:r>
          </w:p>
          <w:p w14:paraId="4CB524AB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Theme="minorHAnsi" w:eastAsia="Segoe UI" w:hAnsiTheme="minorHAnsi" w:cstheme="minorHAnsi"/>
                <w:sz w:val="18"/>
                <w:szCs w:val="18"/>
              </w:rPr>
              <w:t>(Dz.U. poz. 546 z późn. zm.)</w:t>
            </w:r>
          </w:p>
        </w:tc>
      </w:tr>
      <w:tr w:rsidR="008563BD" w14:paraId="2C6F882D" w14:textId="77777777">
        <w:trPr>
          <w:trHeight w:val="32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6C7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797C" w14:textId="77777777" w:rsidR="008563BD" w:rsidRDefault="00897CA2">
            <w:pPr>
              <w:pStyle w:val="Tekstpodstawowywcity"/>
              <w:spacing w:after="0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Samochodowe zwyczajne dwurzędowe (w tym dla pojazdów elektrycznych)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7A5E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266B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5820D11C" w14:textId="77777777">
        <w:trPr>
          <w:trHeight w:val="32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EDC1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2ED" w14:textId="77777777" w:rsidR="008563BD" w:rsidRDefault="00897CA2">
            <w:pPr>
              <w:pStyle w:val="Zwykytek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Samochodowe zwyczajne jednorzędowe zmniejszone (w tym dla pojazdów elektrycznych)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6176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AAA8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3802D90E" w14:textId="77777777">
        <w:trPr>
          <w:trHeight w:val="32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1674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66EF" w14:textId="77777777" w:rsidR="008563BD" w:rsidRDefault="00897CA2">
            <w:pPr>
              <w:pStyle w:val="Zwykytek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Samochodowe indywidualne (w tym dla pojazdów elektrycznych)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D656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7038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714946E6" w14:textId="77777777">
        <w:trPr>
          <w:trHeight w:val="32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737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9D9D" w14:textId="77777777" w:rsidR="008563BD" w:rsidRDefault="00897CA2">
            <w:pPr>
              <w:pStyle w:val="Zwykytek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Samochodowe zabytkowe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157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6E04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737A1CCF" w14:textId="77777777">
        <w:trPr>
          <w:trHeight w:val="32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CF48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C78F" w14:textId="77777777" w:rsidR="008563BD" w:rsidRDefault="00897CA2">
            <w:pPr>
              <w:pStyle w:val="Zwykyteks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Motocyklowe zwyczajne (w tym dla pojazdów elektrycznych)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A0F3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689C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1EB488A6" w14:textId="77777777">
        <w:trPr>
          <w:trHeight w:val="32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1FDF" w14:textId="77777777" w:rsidR="008563BD" w:rsidRDefault="008563BD">
            <w:pPr>
              <w:pStyle w:val="Zwykyteks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6C6E" w14:textId="77777777" w:rsidR="008563BD" w:rsidRDefault="00897CA2">
            <w:pPr>
              <w:pStyle w:val="Zwykyteks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Motocyklowe indywidualne (w tym dla pojazdów elektrycznych)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734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C50E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049C9A86" w14:textId="77777777">
        <w:trPr>
          <w:trHeight w:val="32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04A0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2A11" w14:textId="77777777" w:rsidR="008563BD" w:rsidRDefault="00897CA2">
            <w:pPr>
              <w:pStyle w:val="Zwykyteks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Motocyklowe, motorowerowe zabytkowe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B401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5E6F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3348052C" w14:textId="77777777">
        <w:trPr>
          <w:trHeight w:val="32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C420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100" w14:textId="77777777" w:rsidR="008563BD" w:rsidRDefault="00897CA2">
            <w:pPr>
              <w:pStyle w:val="Zwykytek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Motorowerowe zwyczajne (w tym dla pojazdów elektrycznych)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41BE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C981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1576959F" w14:textId="77777777">
        <w:trPr>
          <w:trHeight w:val="10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425F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2B19" w14:textId="77777777" w:rsidR="008563BD" w:rsidRDefault="00897CA2">
            <w:pPr>
              <w:pStyle w:val="Zwykytek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Tymczasowe samochodowe, motocyklowe, motorowerowe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5033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8095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3277BEF6" w14:textId="77777777">
        <w:trPr>
          <w:trHeight w:val="10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ECD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CE20" w14:textId="77777777" w:rsidR="008563BD" w:rsidRDefault="00897CA2">
            <w:pPr>
              <w:pStyle w:val="Zwykytek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Profesjonalne samochodowe jednorzędowe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8F8C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BEDB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26136681" w14:textId="77777777">
        <w:trPr>
          <w:trHeight w:val="10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B052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022C" w14:textId="77777777" w:rsidR="008563BD" w:rsidRDefault="00897CA2">
            <w:pPr>
              <w:pStyle w:val="Zwykytek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Profesjonalne samochodowe dwurzędowe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74B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72C3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22FCCDC9" w14:textId="77777777">
        <w:trPr>
          <w:trHeight w:val="10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172A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77DC" w14:textId="77777777" w:rsidR="008563BD" w:rsidRDefault="00897CA2">
            <w:pPr>
              <w:pStyle w:val="Zwykytek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Profesjonalne motocyklowe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DEFA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1588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563BD" w14:paraId="0FEBAE64" w14:textId="77777777">
        <w:trPr>
          <w:trHeight w:val="10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6784" w14:textId="77777777" w:rsidR="008563BD" w:rsidRDefault="008563BD">
            <w:pPr>
              <w:pStyle w:val="Zwykytekst"/>
              <w:numPr>
                <w:ilvl w:val="0"/>
                <w:numId w:val="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870" w14:textId="77777777" w:rsidR="008563BD" w:rsidRDefault="00897CA2">
            <w:pPr>
              <w:pStyle w:val="Zwykytek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Profesjonalne motorowerowe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49B3" w14:textId="77777777" w:rsidR="008563BD" w:rsidRDefault="00897CA2">
            <w:pPr>
              <w:pStyle w:val="Zwykytek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18E9" w14:textId="77777777" w:rsidR="008563BD" w:rsidRDefault="008563BD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</w:tbl>
    <w:p w14:paraId="5F8DDCA9" w14:textId="77777777" w:rsidR="008563BD" w:rsidRDefault="008563BD">
      <w:pPr>
        <w:pStyle w:val="Standard"/>
        <w:spacing w:line="240" w:lineRule="auto"/>
        <w:rPr>
          <w:rFonts w:asciiTheme="minorHAnsi" w:eastAsia="TimesNewRomanPS-BoldMT" w:hAnsiTheme="minorHAnsi" w:cstheme="minorHAnsi"/>
          <w:color w:val="000000"/>
          <w:sz w:val="22"/>
          <w:szCs w:val="22"/>
        </w:rPr>
      </w:pPr>
    </w:p>
    <w:p w14:paraId="60573149" w14:textId="77777777" w:rsidR="008563BD" w:rsidRDefault="00897CA2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eastAsia="Arial, 'Arial Narrow'" w:hAnsiTheme="minorHAnsi" w:cstheme="minorHAnsi"/>
          <w:sz w:val="22"/>
          <w:szCs w:val="22"/>
        </w:rPr>
      </w:pPr>
      <w:r>
        <w:rPr>
          <w:rFonts w:asciiTheme="minorHAnsi" w:eastAsia="Arial, 'Arial Narrow'" w:hAnsiTheme="minorHAnsi" w:cstheme="minorHAnsi"/>
          <w:sz w:val="22"/>
          <w:szCs w:val="22"/>
        </w:rPr>
        <w:t>Tablice rejestracyjne muszą być zgodne z wzorem i wymaganiami określonymi w przepisach obowiązujących na dzień ich dostawy do siedziby Zamawiającego a</w:t>
      </w:r>
      <w:r>
        <w:rPr>
          <w:rFonts w:asciiTheme="minorHAnsi" w:eastAsia="Arial, 'Arial Narrow'" w:hAnsiTheme="minorHAnsi" w:cstheme="minorHAnsi"/>
          <w:color w:val="auto"/>
          <w:sz w:val="22"/>
          <w:szCs w:val="22"/>
        </w:rPr>
        <w:t> w szczególności z:</w:t>
      </w:r>
    </w:p>
    <w:p w14:paraId="0C0A9AF5" w14:textId="77777777" w:rsidR="008563BD" w:rsidRDefault="00897CA2">
      <w:pPr>
        <w:pStyle w:val="Default"/>
        <w:numPr>
          <w:ilvl w:val="1"/>
          <w:numId w:val="4"/>
        </w:numPr>
        <w:ind w:left="851" w:hanging="284"/>
        <w:jc w:val="both"/>
        <w:rPr>
          <w:rFonts w:asciiTheme="minorHAnsi" w:eastAsia="Arial, 'Arial Narrow'" w:hAnsiTheme="minorHAnsi" w:cstheme="minorHAnsi"/>
          <w:color w:val="auto"/>
          <w:sz w:val="22"/>
          <w:szCs w:val="22"/>
        </w:rPr>
      </w:pPr>
      <w:r>
        <w:rPr>
          <w:rFonts w:asciiTheme="minorHAnsi" w:eastAsia="Arial, 'Arial Narrow'" w:hAnsiTheme="minorHAnsi" w:cstheme="minorHAnsi"/>
          <w:color w:val="auto"/>
          <w:sz w:val="22"/>
          <w:szCs w:val="22"/>
        </w:rPr>
        <w:t xml:space="preserve">rozporządzeniem Ministra Infrastruktury z dnia 31 sierpnia 2022 r. w sprawie rejestracji </w:t>
      </w:r>
      <w:r>
        <w:rPr>
          <w:rFonts w:asciiTheme="minorHAnsi" w:eastAsia="Arial, 'Arial Narrow'" w:hAnsiTheme="minorHAnsi" w:cstheme="minorHAnsi"/>
          <w:color w:val="auto"/>
          <w:sz w:val="22"/>
          <w:szCs w:val="22"/>
        </w:rPr>
        <w:br/>
        <w:t>i oznaczania pojazdów, wymagań dla tablic rejestracyjnych oraz wzorów innych dokumentów związanych z rejestracją pojazdów (Dz.U. poz. 1847 z późn. zm.);</w:t>
      </w:r>
    </w:p>
    <w:p w14:paraId="0DE76FE4" w14:textId="77777777" w:rsidR="008563BD" w:rsidRDefault="00897CA2">
      <w:pPr>
        <w:pStyle w:val="Default"/>
        <w:numPr>
          <w:ilvl w:val="1"/>
          <w:numId w:val="4"/>
        </w:numPr>
        <w:ind w:left="851" w:hanging="284"/>
        <w:jc w:val="both"/>
        <w:rPr>
          <w:rFonts w:asciiTheme="minorHAnsi" w:eastAsia="Arial, 'Arial Narrow'" w:hAnsiTheme="minorHAnsi" w:cstheme="minorHAnsi"/>
          <w:color w:val="auto"/>
          <w:sz w:val="22"/>
          <w:szCs w:val="22"/>
        </w:rPr>
      </w:pPr>
      <w:r>
        <w:rPr>
          <w:rFonts w:asciiTheme="minorHAnsi" w:eastAsia="Arial, 'Arial Narrow'" w:hAnsiTheme="minorHAnsi" w:cstheme="minorHAnsi"/>
          <w:color w:val="auto"/>
          <w:sz w:val="22"/>
          <w:szCs w:val="22"/>
        </w:rPr>
        <w:t>rozporządzeniem Ministra Transportu, Budownictwa i Gospodarki Morskiej z dnia 2 maja 2012 r. w sprawie warunków produkcji i sposobu dystrybucji tablic rejestracyjnych i znaków legalizacyjnych (Dz.U. z 2022 r. poz. 1885 z późn. zm.);</w:t>
      </w:r>
    </w:p>
    <w:p w14:paraId="02BC2ADD" w14:textId="77777777" w:rsidR="008563BD" w:rsidRDefault="00897CA2">
      <w:pPr>
        <w:pStyle w:val="Default"/>
        <w:numPr>
          <w:ilvl w:val="1"/>
          <w:numId w:val="4"/>
        </w:numPr>
        <w:ind w:left="851" w:hanging="284"/>
        <w:jc w:val="both"/>
        <w:rPr>
          <w:rFonts w:asciiTheme="minorHAnsi" w:eastAsia="Arial, 'Arial Narrow'" w:hAnsiTheme="minorHAnsi" w:cstheme="minorHAnsi"/>
          <w:color w:val="auto"/>
          <w:sz w:val="22"/>
          <w:szCs w:val="22"/>
        </w:rPr>
      </w:pPr>
      <w:r>
        <w:rPr>
          <w:rFonts w:asciiTheme="minorHAnsi" w:eastAsia="Arial, 'Arial Narrow'" w:hAnsiTheme="minorHAnsi" w:cstheme="minorHAnsi"/>
          <w:color w:val="auto"/>
          <w:sz w:val="22"/>
          <w:szCs w:val="22"/>
        </w:rPr>
        <w:t>rozporządzeniem Ministra Infrastruktury z dnia 12 marca 2019 r. w sprawie warunków produkcji i sposobu dystrybucji profesjonalnych tablic rejestracyjnych i znaków legalizacyjnych oraz trybu legalizacji profesjonalnych tablic rejestracyjnych (Dz.U. poz. 547);</w:t>
      </w:r>
    </w:p>
    <w:p w14:paraId="07C51A22" w14:textId="77777777" w:rsidR="008563BD" w:rsidRDefault="00897CA2">
      <w:pPr>
        <w:pStyle w:val="Default"/>
        <w:numPr>
          <w:ilvl w:val="1"/>
          <w:numId w:val="4"/>
        </w:numPr>
        <w:ind w:left="851" w:hanging="284"/>
        <w:jc w:val="both"/>
        <w:rPr>
          <w:rFonts w:asciiTheme="minorHAnsi" w:eastAsia="Arial, 'Arial Narrow'" w:hAnsiTheme="minorHAnsi" w:cstheme="minorHAnsi"/>
          <w:color w:val="auto"/>
          <w:sz w:val="22"/>
          <w:szCs w:val="22"/>
        </w:rPr>
      </w:pPr>
      <w:r>
        <w:rPr>
          <w:rFonts w:asciiTheme="minorHAnsi" w:eastAsia="Arial, 'Arial Narrow'" w:hAnsiTheme="minorHAnsi" w:cstheme="minorHAnsi"/>
          <w:color w:val="auto"/>
          <w:sz w:val="22"/>
          <w:szCs w:val="22"/>
        </w:rPr>
        <w:lastRenderedPageBreak/>
        <w:t>rozporządzeniem Ministra Infrastruktury z dnia 12 marca 2019 r. w sprawie profesjonalnej rejestracji pojazdów, stosowanych oznaczeń oraz opłat związanych z profesjonalną rejestracją pojazdów (Dz.U. poz. 546 z późn. zm.);</w:t>
      </w:r>
    </w:p>
    <w:p w14:paraId="2F884686" w14:textId="77777777" w:rsidR="008563BD" w:rsidRDefault="00897CA2">
      <w:pPr>
        <w:pStyle w:val="Default"/>
        <w:numPr>
          <w:ilvl w:val="1"/>
          <w:numId w:val="4"/>
        </w:numPr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Arial, 'Arial Narrow'" w:hAnsiTheme="minorHAnsi" w:cstheme="minorHAnsi"/>
          <w:color w:val="auto"/>
          <w:sz w:val="22"/>
          <w:szCs w:val="22"/>
        </w:rPr>
        <w:t>normami lub specyfikacjami technicznymi, o których mowa w ustawie z dnia 30 sierpnia 2002 r. o systemie oceny zgodności (Dz.U. z 2023 r. poz. 215) potwierdzonymi certyfikatami dotyczącymi zgodności tablic rejestracyjnych lub materiałów służących do ich produkcji z warunkami technicznymi.</w:t>
      </w:r>
    </w:p>
    <w:p w14:paraId="1A0647AF" w14:textId="77777777" w:rsidR="008563BD" w:rsidRDefault="00897CA2">
      <w:pPr>
        <w:pStyle w:val="rozdzia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eastAsia="TimesNewRomanPS-BoldMT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TimesNewRomanPS-BoldMT" w:hAnsiTheme="minorHAnsi" w:cstheme="minorHAnsi"/>
          <w:b w:val="0"/>
          <w:bCs w:val="0"/>
          <w:sz w:val="22"/>
          <w:szCs w:val="22"/>
        </w:rPr>
        <w:t>Przedsiębiorca produkujący tablice rejestracyjne musi spełniać wymogi określone w art. 75a ustawy z dnia 20 czerwca 1997 r. Prawo o ruchu drogowym (Dz.U. z 2023 r. poz. 1047 z późn. zm.).</w:t>
      </w:r>
    </w:p>
    <w:p w14:paraId="7DF8B3F7" w14:textId="77777777" w:rsidR="008563BD" w:rsidRDefault="00897CA2">
      <w:pPr>
        <w:pStyle w:val="rozdzia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eastAsia="TimesNewRomanPS-BoldMT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TimesNewRomanPS-BoldMT" w:hAnsiTheme="minorHAnsi" w:cstheme="minorHAnsi"/>
          <w:b w:val="0"/>
          <w:bCs w:val="0"/>
          <w:sz w:val="22"/>
          <w:szCs w:val="22"/>
        </w:rPr>
        <w:t>Zamówienia na tablice rejestracyjne składane będą w formie elektronicznej.</w:t>
      </w:r>
    </w:p>
    <w:p w14:paraId="491CF371" w14:textId="77777777" w:rsidR="008563BD" w:rsidRDefault="00897CA2">
      <w:pPr>
        <w:pStyle w:val="Standard"/>
        <w:widowControl w:val="0"/>
        <w:numPr>
          <w:ilvl w:val="0"/>
          <w:numId w:val="2"/>
        </w:numPr>
        <w:autoSpaceDE w:val="0"/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color w:val="000000"/>
          <w:sz w:val="22"/>
          <w:szCs w:val="22"/>
        </w:rPr>
        <w:t xml:space="preserve">W zestawieniu ilościowo-cenowym – </w:t>
      </w:r>
      <w:r>
        <w:rPr>
          <w:rFonts w:asciiTheme="minorHAnsi" w:eastAsia="TimesNewRomanPS-BoldMT" w:hAnsiTheme="minorHAnsi" w:cstheme="minorHAnsi"/>
          <w:b/>
          <w:bCs/>
          <w:color w:val="000000"/>
          <w:sz w:val="22"/>
          <w:szCs w:val="22"/>
        </w:rPr>
        <w:t xml:space="preserve">Załącznik nr 3 </w:t>
      </w:r>
      <w:r>
        <w:rPr>
          <w:rFonts w:asciiTheme="minorHAnsi" w:eastAsia="TimesNewRomanPS-BoldMT" w:hAnsiTheme="minorHAnsi" w:cstheme="minorHAnsi"/>
          <w:color w:val="000000"/>
          <w:sz w:val="22"/>
          <w:szCs w:val="22"/>
        </w:rPr>
        <w:t xml:space="preserve">do Umowy – tablice rejestracyjne, ich ilość i rodzaj zaprezentowano na potrzeby oszacowania wartości przedmiotu zamówienia. Ilości tablic rejestracyjnych poszczególnych rodzajów mogą ulec zmianie w trakcie wykonywania zamówienia, w zależności od potrzeb Zamawiającego, na co Wykonawca wyraża zgodę, tym samym oświadczając, że nie będzie dochodził roszczeń z tytułu zmian rodzajowych i ilościowych w trakcie realizacji umowy. Jednocześnie Zamawiający wskazuje, że zamówienie podstawowe zostanie zrealizowane przynajmniej w wysokości </w:t>
      </w:r>
      <w:r>
        <w:rPr>
          <w:rFonts w:asciiTheme="minorHAnsi" w:eastAsia="TimesNewRomanPS-BoldMT" w:hAnsiTheme="minorHAnsi" w:cstheme="minorHAnsi"/>
          <w:b/>
          <w:bCs/>
          <w:color w:val="000000"/>
          <w:sz w:val="22"/>
          <w:szCs w:val="22"/>
        </w:rPr>
        <w:t>85 %</w:t>
      </w:r>
      <w:r>
        <w:rPr>
          <w:rFonts w:asciiTheme="minorHAnsi" w:eastAsia="TimesNewRomanPS-BoldMT" w:hAnsiTheme="minorHAnsi" w:cstheme="minorHAnsi"/>
          <w:color w:val="000000"/>
          <w:sz w:val="22"/>
          <w:szCs w:val="22"/>
        </w:rPr>
        <w:t xml:space="preserve"> wartości umowy brutto.</w:t>
      </w:r>
    </w:p>
    <w:p w14:paraId="76B41D13" w14:textId="77777777" w:rsidR="008563BD" w:rsidRDefault="00897CA2">
      <w:pPr>
        <w:pStyle w:val="Standard"/>
        <w:widowControl w:val="0"/>
        <w:numPr>
          <w:ilvl w:val="0"/>
          <w:numId w:val="2"/>
        </w:numPr>
        <w:autoSpaceDE w:val="0"/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color w:val="000000"/>
          <w:sz w:val="22"/>
          <w:szCs w:val="22"/>
        </w:rPr>
        <w:t xml:space="preserve">Rozliczenia pomiędzy Wykonawcą a Zamawiającym będą dokonywane na podstawie rzeczywistych ilości dostarczonych tablic rejestracyjnych według cen jednostkowych określonych w zestawieniu ilościowo-cenowym - </w:t>
      </w:r>
      <w:r>
        <w:rPr>
          <w:rFonts w:asciiTheme="minorHAnsi" w:eastAsia="TimesNewRomanPS-BoldMT" w:hAnsiTheme="minorHAnsi" w:cstheme="minorHAnsi"/>
          <w:b/>
          <w:bCs/>
          <w:color w:val="000000"/>
          <w:sz w:val="22"/>
          <w:szCs w:val="22"/>
        </w:rPr>
        <w:t xml:space="preserve">Załącznik nr 3 </w:t>
      </w:r>
      <w:r>
        <w:rPr>
          <w:rFonts w:asciiTheme="minorHAnsi" w:eastAsia="TimesNewRomanPS-BoldMT" w:hAnsiTheme="minorHAnsi" w:cstheme="minorHAnsi"/>
          <w:color w:val="000000"/>
          <w:sz w:val="22"/>
          <w:szCs w:val="22"/>
        </w:rPr>
        <w:t>do Umowy - które zostanie również dołączone do umowy z zastrzeżeniem, że wartość wszystkich dostaw nie może przekroczyć ceny ofertowej brutto – z wyjątkiem sytuacji, w której Zamawiający będzie korzystał z prawa opcji.</w:t>
      </w:r>
    </w:p>
    <w:p w14:paraId="76CC58BC" w14:textId="77777777" w:rsidR="008563BD" w:rsidRDefault="00897CA2">
      <w:pPr>
        <w:pStyle w:val="Standard"/>
        <w:widowControl w:val="0"/>
        <w:numPr>
          <w:ilvl w:val="0"/>
          <w:numId w:val="2"/>
        </w:numPr>
        <w:autoSpaceDE w:val="0"/>
        <w:spacing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7870072"/>
      <w:r>
        <w:rPr>
          <w:rFonts w:asciiTheme="minorHAnsi" w:hAnsiTheme="minorHAnsi" w:cstheme="minorHAnsi"/>
          <w:sz w:val="22"/>
          <w:szCs w:val="22"/>
        </w:rPr>
        <w:t>Zamawiający zastrzega sobie prawo do skorzystania z prawa opcji, o którym mowa w art. 441 ust. 1 ustawy Pzp w zakresie możliwości zwiększenia przewidywanej wielkości przedmiotu zamówienia – tj. szacowanej ilości tablic rejestracyjnych wskazanej w Załączniku nr 3 do Umowy – zestawieniu ilościowo-cenowym, w taki sposób, który może powodować zwiększenie wartości wskazanej w § 4 ust. 1 pkt 2 Umowy dla przewidywanej wielkości przedmiotu zamówienia o nie więcej niż 15 %, z zastrzeżeniem że:</w:t>
      </w:r>
    </w:p>
    <w:p w14:paraId="187527CC" w14:textId="77777777" w:rsidR="008563BD" w:rsidRDefault="00897CA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niewykonanie przez Zamawiającego Umowy w zakresie dodatkowych 15% ponad przewidywaną wartość przedmiotu zamówienia nie wymaga podania przyczyn i nie stanowi podstawy odpowiedzialności Zamawiającego z tytułu niewykonania lub nienależytego wykonania Umowy – Wykonawcy nie przysługują żadne roszczenia z tego tytułu;</w:t>
      </w:r>
    </w:p>
    <w:p w14:paraId="61848E8E" w14:textId="77777777" w:rsidR="008563BD" w:rsidRDefault="00897CA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celem potwierdzenia skorzystania z prawa opcji Zamawiający przekaże Wykonawcy oświadczenie w formie pisemnej, zawierające informację o uruchomieniu prawa opcji ze wskazaniem ilości zamawianych tablic rejestracyjnych w ramach opcji;</w:t>
      </w:r>
    </w:p>
    <w:p w14:paraId="355DC86F" w14:textId="77777777" w:rsidR="008563BD" w:rsidRDefault="00897CA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jest uprawniony do skorzystania z prawa opcji poprzez złożenie jednokrotnie lub kilkukrotnie oświadczenia, o którym mowa w pkt 2), w zakresie określonym w tym punkcie; </w:t>
      </w:r>
    </w:p>
    <w:p w14:paraId="69DF24E9" w14:textId="77777777" w:rsidR="008563BD" w:rsidRDefault="00897CA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wynagrodzenie Wykonawcy z tytułu dostawy tablic rejestracyjnych dostarczonych w ramach prawa opcji zostanie ustalone na podstawie cen jednostkowych, o których mowa w Załączniku 3 do Umowy;</w:t>
      </w:r>
    </w:p>
    <w:p w14:paraId="3097EFA3" w14:textId="77777777" w:rsidR="008563BD" w:rsidRDefault="00897CA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dostawy objęte prawem opcji zostaną wykonane na zasadach określonych w postanowieniach Umowy, w tym w szczególności na zasadach określonych w § 3 ust. 3 Umowy;</w:t>
      </w:r>
    </w:p>
    <w:p w14:paraId="4FD116C2" w14:textId="77777777" w:rsidR="008563BD" w:rsidRDefault="00897CA2">
      <w:pPr>
        <w:pStyle w:val="Standard"/>
        <w:numPr>
          <w:ilvl w:val="0"/>
          <w:numId w:val="5"/>
        </w:numPr>
        <w:autoSpaceDE w:val="0"/>
        <w:spacing w:line="240" w:lineRule="auto"/>
        <w:jc w:val="both"/>
        <w:rPr>
          <w:rFonts w:asciiTheme="minorHAnsi" w:eastAsia="TT188t00" w:hAnsiTheme="minorHAnsi" w:cstheme="minorHAnsi"/>
          <w:sz w:val="22"/>
          <w:szCs w:val="22"/>
        </w:rPr>
      </w:pPr>
      <w:r>
        <w:rPr>
          <w:rFonts w:asciiTheme="minorHAnsi" w:eastAsia="TT188t00" w:hAnsiTheme="minorHAnsi" w:cstheme="minorHAnsi"/>
          <w:sz w:val="22"/>
          <w:szCs w:val="22"/>
        </w:rPr>
        <w:t xml:space="preserve">Zamawiający jest uprawniony do skorzystania z prawa opcji w przypadku, gdy wartość zamówienia określonego w § 4 ust.1 pkt 2 Umowy zostanie wyczerpana przed upływem terminu, o którym mowa </w:t>
      </w:r>
      <w:r>
        <w:rPr>
          <w:rFonts w:asciiTheme="minorHAnsi" w:eastAsia="TT188t00" w:hAnsiTheme="minorHAnsi" w:cstheme="minorHAnsi"/>
          <w:b/>
          <w:bCs/>
          <w:sz w:val="22"/>
          <w:szCs w:val="22"/>
        </w:rPr>
        <w:t xml:space="preserve">w </w:t>
      </w:r>
      <w:r>
        <w:rPr>
          <w:rFonts w:ascii="Sitka Display" w:eastAsia="TT188t00" w:hAnsi="Sitka Display" w:cstheme="minorHAnsi"/>
          <w:b/>
          <w:bCs/>
          <w:sz w:val="22"/>
          <w:szCs w:val="22"/>
        </w:rPr>
        <w:t>§ 3</w:t>
      </w:r>
      <w:r>
        <w:rPr>
          <w:rFonts w:asciiTheme="minorHAnsi" w:eastAsia="TT188t00" w:hAnsiTheme="minorHAnsi" w:cstheme="minorHAnsi"/>
          <w:sz w:val="22"/>
          <w:szCs w:val="22"/>
        </w:rPr>
        <w:t xml:space="preserve"> </w:t>
      </w:r>
      <w:r>
        <w:rPr>
          <w:rFonts w:asciiTheme="minorHAnsi" w:eastAsia="TT188t00" w:hAnsiTheme="minorHAnsi" w:cstheme="minorHAnsi"/>
          <w:b/>
          <w:bCs/>
          <w:sz w:val="22"/>
          <w:szCs w:val="22"/>
        </w:rPr>
        <w:t xml:space="preserve">ust. 1 </w:t>
      </w:r>
      <w:r>
        <w:rPr>
          <w:rFonts w:asciiTheme="minorHAnsi" w:eastAsia="TT188t00" w:hAnsiTheme="minorHAnsi" w:cstheme="minorHAnsi"/>
          <w:sz w:val="22"/>
          <w:szCs w:val="22"/>
        </w:rPr>
        <w:t>Umowy.</w:t>
      </w:r>
    </w:p>
    <w:bookmarkEnd w:id="0"/>
    <w:p w14:paraId="2362E273" w14:textId="77777777" w:rsidR="008563BD" w:rsidRDefault="00897CA2">
      <w:pPr>
        <w:pStyle w:val="rozdzia"/>
        <w:keepNext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ramach realizacji przedmiotu zamówienia Wykonawca zobowiązany będzie do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239624AE" w14:textId="77777777" w:rsidR="008563BD" w:rsidRDefault="00897CA2">
      <w:pPr>
        <w:pStyle w:val="rozdzia"/>
        <w:keepNext w:val="0"/>
        <w:numPr>
          <w:ilvl w:val="1"/>
          <w:numId w:val="6"/>
        </w:numPr>
        <w:spacing w:line="240" w:lineRule="auto"/>
        <w:ind w:left="851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Uwzględnienia, w ramach cen poszczególnych tablic, kosztu opakowania, dowozu wraz z rozładunkiem, w sposób gwarantujący bezpieczeństwo transportu oraz z uwzględnieniem kosztów związanych z odbiorem i złomowaniem zużytych tablic;</w:t>
      </w:r>
    </w:p>
    <w:p w14:paraId="5209E4F3" w14:textId="77777777" w:rsidR="008563BD" w:rsidRDefault="00897CA2">
      <w:pPr>
        <w:pStyle w:val="rozdzia"/>
        <w:keepNext w:val="0"/>
        <w:numPr>
          <w:ilvl w:val="1"/>
          <w:numId w:val="6"/>
        </w:numPr>
        <w:spacing w:line="240" w:lineRule="auto"/>
        <w:ind w:left="851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dostarczania Zamawiającemu tablic rejestracyjnych na własny koszt i własne ryzyko do siedziby </w:t>
      </w:r>
      <w:r>
        <w:rPr>
          <w:rFonts w:ascii="Calibri" w:hAnsi="Calibri"/>
          <w:b w:val="0"/>
          <w:bCs w:val="0"/>
          <w:sz w:val="22"/>
          <w:szCs w:val="22"/>
        </w:rPr>
        <w:lastRenderedPageBreak/>
        <w:t xml:space="preserve">zamawiającego w terminie </w:t>
      </w:r>
      <w:r>
        <w:rPr>
          <w:rFonts w:ascii="Calibri" w:hAnsi="Calibri"/>
          <w:sz w:val="22"/>
          <w:szCs w:val="22"/>
        </w:rPr>
        <w:t>trzech dni roboczych</w:t>
      </w:r>
      <w:r>
        <w:rPr>
          <w:rFonts w:ascii="Calibri" w:hAnsi="Calibri"/>
          <w:b w:val="0"/>
          <w:bCs w:val="0"/>
          <w:sz w:val="22"/>
          <w:szCs w:val="22"/>
        </w:rPr>
        <w:t xml:space="preserve"> od chwili zgłoszenia pisemnego zapotrzebowania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, z zastrzeżeniem pkt 5;</w:t>
      </w:r>
    </w:p>
    <w:p w14:paraId="60A131E4" w14:textId="77777777" w:rsidR="008563BD" w:rsidRDefault="00897CA2">
      <w:pPr>
        <w:pStyle w:val="rozdzia"/>
        <w:keepNext w:val="0"/>
        <w:numPr>
          <w:ilvl w:val="1"/>
          <w:numId w:val="6"/>
        </w:numPr>
        <w:spacing w:line="240" w:lineRule="auto"/>
        <w:ind w:left="851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dostarczenia tablic trwale opakowanych nie więcej niż po 25 kompletów w paczce i czytelnie opisanych serią, numerami, a ich odbiór ilościowy następuje w siedzibie Zamawiającego, tj. w Krapkowicach przy ul. Kilińskiego 1 – parter, pokój nr 10, Wydział Komunikacji;</w:t>
      </w:r>
    </w:p>
    <w:p w14:paraId="2303DC16" w14:textId="77777777" w:rsidR="008563BD" w:rsidRDefault="00897CA2">
      <w:pPr>
        <w:pStyle w:val="rozdzia"/>
        <w:keepNext w:val="0"/>
        <w:numPr>
          <w:ilvl w:val="1"/>
          <w:numId w:val="6"/>
        </w:numPr>
        <w:spacing w:line="240" w:lineRule="auto"/>
        <w:ind w:left="851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nieodpłatnego odbierania tablic rejestracyjnych wycofanych z użytku, przekazanych Zamawiającemu w związku z ich wymianą, przerejestrowaniem oraz wyrejestrowaniem pojazdu, </w:t>
      </w:r>
      <w:r>
        <w:rPr>
          <w:rFonts w:ascii="Calibri" w:hAnsi="Calibri"/>
          <w:sz w:val="22"/>
          <w:szCs w:val="22"/>
        </w:rPr>
        <w:t>w ciągu siedmiu dni</w:t>
      </w:r>
      <w:r>
        <w:rPr>
          <w:rFonts w:ascii="Calibri" w:hAnsi="Calibri"/>
          <w:b w:val="0"/>
          <w:bCs w:val="0"/>
          <w:sz w:val="22"/>
          <w:szCs w:val="22"/>
        </w:rPr>
        <w:t xml:space="preserve"> od daty otrzymania powiadomienia,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zgodnie z przepisami prawa w tym zakresie, w szczególności zgodnie z ustawą z dnia 14 grudnia 2012 r. o odpadach i następnie złomowania zużytych tablic rejestracyjnych na swój koszt;</w:t>
      </w:r>
    </w:p>
    <w:p w14:paraId="661EECD1" w14:textId="77777777" w:rsidR="008563BD" w:rsidRDefault="00897CA2">
      <w:pPr>
        <w:pStyle w:val="rozdzia"/>
        <w:keepNext w:val="0"/>
        <w:numPr>
          <w:ilvl w:val="1"/>
          <w:numId w:val="6"/>
        </w:numPr>
        <w:spacing w:line="240" w:lineRule="auto"/>
        <w:ind w:left="851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wykonania i dostarczenia Zamawiającemu </w:t>
      </w:r>
      <w:r>
        <w:rPr>
          <w:rFonts w:ascii="Calibri" w:hAnsi="Calibri"/>
          <w:sz w:val="22"/>
          <w:szCs w:val="22"/>
        </w:rPr>
        <w:t>w terminie dwóch dni</w:t>
      </w:r>
      <w:r>
        <w:rPr>
          <w:rFonts w:ascii="Calibri" w:hAnsi="Calibri"/>
          <w:b w:val="0"/>
          <w:bCs w:val="0"/>
          <w:sz w:val="22"/>
          <w:szCs w:val="22"/>
        </w:rPr>
        <w:t xml:space="preserve"> od daty powiadomienia wtórników tablic rejestracyjnych i awaryjnych dostaw tablic w przypadku zwiększonego popytu.</w:t>
      </w:r>
    </w:p>
    <w:p w14:paraId="4B6FE9F0" w14:textId="77777777" w:rsidR="008563BD" w:rsidRDefault="00897CA2">
      <w:pPr>
        <w:pStyle w:val="rozdzia"/>
        <w:keepNext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Ustalenia i decyzje dotyczące wykonywania zamówienia uzgadniane będą wyłącznie przez ustanowionych przedstawicieli Zamawiającego i Wykonawcy</w:t>
      </w:r>
      <w:r>
        <w:rPr>
          <w:rFonts w:asciiTheme="minorHAnsi" w:eastAsia="TimesNewRomanPS-BoldMT" w:hAnsiTheme="minorHAnsi" w:cstheme="minorHAnsi"/>
          <w:b w:val="0"/>
          <w:bCs w:val="0"/>
          <w:sz w:val="22"/>
          <w:szCs w:val="22"/>
        </w:rPr>
        <w:t xml:space="preserve"> określonych w § 2 pkt 7 Umowy.</w:t>
      </w:r>
    </w:p>
    <w:p w14:paraId="1F6E7820" w14:textId="77777777" w:rsidR="008563BD" w:rsidRDefault="00897CA2">
      <w:pPr>
        <w:pStyle w:val="rozdzia"/>
        <w:keepNext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Przedmiot zamówienia obejmuje również użyczenie i instalację oprogramowania umożliwiającego elektroniczne składanie zamówień na tablice rejestracyjne:</w:t>
      </w:r>
    </w:p>
    <w:p w14:paraId="6C033897" w14:textId="77777777" w:rsidR="008563BD" w:rsidRDefault="00897CA2">
      <w:pPr>
        <w:pStyle w:val="Akapitzlist"/>
        <w:widowControl/>
        <w:numPr>
          <w:ilvl w:val="1"/>
          <w:numId w:val="2"/>
        </w:numPr>
        <w:tabs>
          <w:tab w:val="left" w:pos="1276"/>
        </w:tabs>
        <w:autoSpaceDN/>
        <w:ind w:left="851" w:hanging="425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wymaga aby oprogramowanie posiadało co najmniej następujące cechy funkcjonalności:</w:t>
      </w:r>
    </w:p>
    <w:p w14:paraId="529EF84F" w14:textId="77777777" w:rsidR="008563BD" w:rsidRDefault="00897CA2">
      <w:pPr>
        <w:widowControl/>
        <w:numPr>
          <w:ilvl w:val="0"/>
          <w:numId w:val="7"/>
        </w:numPr>
        <w:tabs>
          <w:tab w:val="left" w:pos="1418"/>
        </w:tabs>
        <w:autoSpaceDN/>
        <w:ind w:left="1418" w:hanging="284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możliwość automatycznego tworzenia formularza na wszystkie wymagane rodzaje tablic z możliwością wysyłania go w formie elektronicznej;</w:t>
      </w:r>
    </w:p>
    <w:p w14:paraId="37A8C77D" w14:textId="77777777" w:rsidR="008563BD" w:rsidRDefault="00897CA2">
      <w:pPr>
        <w:widowControl/>
        <w:numPr>
          <w:ilvl w:val="0"/>
          <w:numId w:val="7"/>
        </w:numPr>
        <w:tabs>
          <w:tab w:val="left" w:pos="1418"/>
        </w:tabs>
        <w:autoSpaceDN/>
        <w:ind w:left="1418" w:hanging="284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automatyczna weryfikacja wyróżników już wykorzystanych tzw. gospodarka numerami (aplikacja musi umożliwiać śledzenie jakie numery rejestracyjne zostały już zamówione i nie dopuścić do powtórnego zamawiania tych samych numerów tablic);</w:t>
      </w:r>
    </w:p>
    <w:p w14:paraId="60F9E99D" w14:textId="77777777" w:rsidR="008563BD" w:rsidRDefault="00897CA2">
      <w:pPr>
        <w:widowControl/>
        <w:numPr>
          <w:ilvl w:val="0"/>
          <w:numId w:val="7"/>
        </w:numPr>
        <w:tabs>
          <w:tab w:val="left" w:pos="1418"/>
        </w:tabs>
        <w:autoSpaceDN/>
        <w:ind w:left="1418" w:hanging="284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ewidencja zamówień oraz weryfikacja wartościowa i ilościowa stanu realizacji umowy;</w:t>
      </w:r>
    </w:p>
    <w:p w14:paraId="6E8418C1" w14:textId="77777777" w:rsidR="008563BD" w:rsidRDefault="00897CA2">
      <w:pPr>
        <w:widowControl/>
        <w:numPr>
          <w:ilvl w:val="0"/>
          <w:numId w:val="7"/>
        </w:numPr>
        <w:tabs>
          <w:tab w:val="left" w:pos="1418"/>
        </w:tabs>
        <w:autoSpaceDN/>
        <w:ind w:left="1418" w:hanging="284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baza danych wszystkich dostępnych wyróżników wynikających z przepisów Ministerstwa Infrastruktury w sprawie rejestracji i oznaczania pojazdów.</w:t>
      </w:r>
    </w:p>
    <w:p w14:paraId="5CB69375" w14:textId="77777777" w:rsidR="008563BD" w:rsidRDefault="00897CA2">
      <w:pPr>
        <w:pStyle w:val="Akapitzlist"/>
        <w:widowControl/>
        <w:numPr>
          <w:ilvl w:val="1"/>
          <w:numId w:val="2"/>
        </w:numPr>
        <w:tabs>
          <w:tab w:val="left" w:pos="851"/>
        </w:tabs>
        <w:autoSpaceDN/>
        <w:ind w:left="851" w:hanging="425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minimalne parametry sprzętu, na którym zainstalowane będzie zaproponowane przez Wykonawcę wyżej wymagane oprogramowanie:</w:t>
      </w:r>
    </w:p>
    <w:p w14:paraId="6343C658" w14:textId="77777777" w:rsidR="008563BD" w:rsidRDefault="00897CA2">
      <w:pPr>
        <w:widowControl/>
        <w:numPr>
          <w:ilvl w:val="0"/>
          <w:numId w:val="8"/>
        </w:numPr>
        <w:tabs>
          <w:tab w:val="clear" w:pos="1800"/>
        </w:tabs>
        <w:suppressAutoHyphens w:val="0"/>
        <w:autoSpaceDN/>
        <w:ind w:left="1418" w:hanging="284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komputer z systemem operacyjnym Microsoft Windows 7;</w:t>
      </w:r>
    </w:p>
    <w:p w14:paraId="3A1D0BD0" w14:textId="77777777" w:rsidR="008563BD" w:rsidRDefault="00897CA2">
      <w:pPr>
        <w:widowControl/>
        <w:numPr>
          <w:ilvl w:val="0"/>
          <w:numId w:val="8"/>
        </w:numPr>
        <w:tabs>
          <w:tab w:val="clear" w:pos="1800"/>
        </w:tabs>
        <w:suppressAutoHyphens w:val="0"/>
        <w:autoSpaceDN/>
        <w:ind w:left="1418" w:hanging="284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procesor 2-rdzeniowy;</w:t>
      </w:r>
    </w:p>
    <w:p w14:paraId="075B0F58" w14:textId="77777777" w:rsidR="008563BD" w:rsidRDefault="00897CA2">
      <w:pPr>
        <w:widowControl/>
        <w:numPr>
          <w:ilvl w:val="0"/>
          <w:numId w:val="8"/>
        </w:numPr>
        <w:tabs>
          <w:tab w:val="clear" w:pos="1800"/>
        </w:tabs>
        <w:suppressAutoHyphens w:val="0"/>
        <w:autoSpaceDN/>
        <w:ind w:left="1418" w:hanging="284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pamięć RAM 4 GB;</w:t>
      </w:r>
    </w:p>
    <w:p w14:paraId="4B686235" w14:textId="77777777" w:rsidR="008563BD" w:rsidRDefault="00897CA2">
      <w:pPr>
        <w:widowControl/>
        <w:numPr>
          <w:ilvl w:val="0"/>
          <w:numId w:val="8"/>
        </w:numPr>
        <w:tabs>
          <w:tab w:val="clear" w:pos="1800"/>
        </w:tabs>
        <w:suppressAutoHyphens w:val="0"/>
        <w:autoSpaceDN/>
        <w:ind w:left="1418" w:hanging="284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dysk 256 GB;</w:t>
      </w:r>
    </w:p>
    <w:p w14:paraId="7E8C70C7" w14:textId="77777777" w:rsidR="008563BD" w:rsidRDefault="00897CA2">
      <w:pPr>
        <w:pStyle w:val="Akapitzlist"/>
        <w:widowControl/>
        <w:numPr>
          <w:ilvl w:val="1"/>
          <w:numId w:val="2"/>
        </w:numPr>
        <w:tabs>
          <w:tab w:val="left" w:pos="1276"/>
        </w:tabs>
        <w:autoSpaceDN/>
        <w:ind w:left="851" w:hanging="425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oprogramowanie będzie przeznaczone dla minimum dwóch stanowisk. Wykonawca zapewni przeszkolenie minimum 2 osób w zakresie prawidłowej obsługi oprogramowania.</w:t>
      </w:r>
    </w:p>
    <w:p w14:paraId="6CCF8737" w14:textId="77777777" w:rsidR="008563BD" w:rsidRDefault="00897CA2">
      <w:pPr>
        <w:pStyle w:val="Akapitzlist"/>
        <w:widowControl/>
        <w:numPr>
          <w:ilvl w:val="1"/>
          <w:numId w:val="2"/>
        </w:numPr>
        <w:autoSpaceDN/>
        <w:ind w:left="851" w:hanging="425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zapewni bezpłatną opiekę techniczną związaną z oprogramowaniem.</w:t>
      </w:r>
    </w:p>
    <w:p w14:paraId="70832BCF" w14:textId="77777777" w:rsidR="008563BD" w:rsidRDefault="00897CA2">
      <w:pPr>
        <w:widowControl/>
        <w:autoSpaceDN/>
        <w:spacing w:before="120" w:line="360" w:lineRule="auto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hAnsi="Calibri" w:cs="Arial"/>
          <w:sz w:val="22"/>
          <w:szCs w:val="22"/>
        </w:rPr>
        <w:t xml:space="preserve">14. </w:t>
      </w:r>
      <w:r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Wykonawca zobowiązany jest realizować usługę dostawy zgodnie z ustawą z dnia 11 stycznia 2018 r.   o elektromobilności i paliwach alternatywnych (Dz. U. z 2023 r. poz. 875 z późn. zm.).</w:t>
      </w:r>
    </w:p>
    <w:p w14:paraId="73349484" w14:textId="77777777" w:rsidR="008563BD" w:rsidRDefault="008563BD">
      <w:pPr>
        <w:widowControl/>
        <w:autoSpaceDN/>
        <w:jc w:val="both"/>
        <w:textAlignment w:val="auto"/>
        <w:rPr>
          <w:rFonts w:ascii="Calibri" w:hAnsi="Calibri" w:cs="Arial"/>
          <w:sz w:val="22"/>
          <w:szCs w:val="22"/>
        </w:rPr>
      </w:pPr>
    </w:p>
    <w:sectPr w:rsidR="00856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973B" w14:textId="77777777" w:rsidR="008563BD" w:rsidRDefault="00897CA2">
      <w:r>
        <w:separator/>
      </w:r>
    </w:p>
  </w:endnote>
  <w:endnote w:type="continuationSeparator" w:id="0">
    <w:p w14:paraId="41128B7D" w14:textId="77777777" w:rsidR="008563BD" w:rsidRDefault="0089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Segoe Print"/>
    <w:charset w:val="00"/>
    <w:family w:val="auto"/>
    <w:pitch w:val="default"/>
  </w:font>
  <w:font w:name="TimesNewRoman">
    <w:altName w:val="Segoe Print"/>
    <w:charset w:val="00"/>
    <w:family w:val="roman"/>
    <w:pitch w:val="default"/>
  </w:font>
  <w:font w:name="FrutigerCE-Roman">
    <w:altName w:val="Segoe Print"/>
    <w:charset w:val="00"/>
    <w:family w:val="swiss"/>
    <w:pitch w:val="default"/>
  </w:font>
  <w:font w:name="Verdana,Bold">
    <w:altName w:val="Verdana"/>
    <w:charset w:val="00"/>
    <w:family w:val="auto"/>
    <w:pitch w:val="default"/>
  </w:font>
  <w:font w:name="ArialMT">
    <w:altName w:val="Arial"/>
    <w:charset w:val="00"/>
    <w:family w:val="swiss"/>
    <w:pitch w:val="default"/>
    <w:sig w:usb0="00000000" w:usb1="00000000" w:usb2="00000000" w:usb3="00000000" w:csb0="00000002" w:csb1="00000000"/>
  </w:font>
  <w:font w:name="Arial-BoldMT">
    <w:altName w:val="Segoe Print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'Arial Narrow'">
    <w:altName w:val="Segoe Print"/>
    <w:charset w:val="00"/>
    <w:family w:val="swiss"/>
    <w:pitch w:val="default"/>
  </w:font>
  <w:font w:name="TT188t00">
    <w:altName w:val="Segoe Print"/>
    <w:charset w:val="00"/>
    <w:family w:val="auto"/>
    <w:pitch w:val="default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3628" w14:textId="77777777" w:rsidR="0041242A" w:rsidRDefault="004124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72DB" w14:textId="77777777" w:rsidR="0041242A" w:rsidRDefault="004124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29ED" w14:textId="77777777" w:rsidR="0041242A" w:rsidRDefault="00412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7095" w14:textId="77777777" w:rsidR="008563BD" w:rsidRDefault="00897CA2">
      <w:r>
        <w:separator/>
      </w:r>
    </w:p>
  </w:footnote>
  <w:footnote w:type="continuationSeparator" w:id="0">
    <w:p w14:paraId="3EA0C863" w14:textId="77777777" w:rsidR="008563BD" w:rsidRDefault="0089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DF96" w14:textId="77777777" w:rsidR="0041242A" w:rsidRDefault="004124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8AF3" w14:textId="10A7BC56" w:rsidR="00EF0411" w:rsidRPr="0041242A" w:rsidRDefault="00EF0411">
    <w:pPr>
      <w:pStyle w:val="Nagwek"/>
      <w:rPr>
        <w:rFonts w:asciiTheme="minorHAnsi" w:hAnsiTheme="minorHAnsi" w:cstheme="minorHAnsi"/>
        <w:b/>
        <w:bCs/>
        <w:color w:val="A6A6A6" w:themeColor="background1" w:themeShade="A6"/>
        <w:sz w:val="18"/>
        <w:szCs w:val="18"/>
      </w:rPr>
    </w:pPr>
    <w:r w:rsidRPr="0041242A">
      <w:rPr>
        <w:rFonts w:asciiTheme="minorHAnsi" w:hAnsiTheme="minorHAnsi" w:cstheme="minorHAnsi"/>
        <w:b/>
        <w:bCs/>
        <w:color w:val="A6A6A6" w:themeColor="background1" w:themeShade="A6"/>
        <w:sz w:val="18"/>
        <w:szCs w:val="18"/>
      </w:rPr>
      <w:t>ZP.272.13.2023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16D4" w14:textId="77777777" w:rsidR="0041242A" w:rsidRDefault="004124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2ECC"/>
    <w:multiLevelType w:val="multilevel"/>
    <w:tmpl w:val="1EFE2E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hint="default"/>
        <w:b w:val="0"/>
        <w:bCs w:val="0"/>
      </w:rPr>
    </w:lvl>
  </w:abstractNum>
  <w:abstractNum w:abstractNumId="1" w15:restartNumberingAfterBreak="0">
    <w:nsid w:val="2BBA4D07"/>
    <w:multiLevelType w:val="multilevel"/>
    <w:tmpl w:val="2BBA4D0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ind w:left="1440" w:hanging="360"/>
      </w:pPr>
      <w:rPr>
        <w:rFonts w:ascii="Calibri" w:hAnsi="Calibri" w:cs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156CA"/>
    <w:multiLevelType w:val="multilevel"/>
    <w:tmpl w:val="34E156CA"/>
    <w:lvl w:ilvl="0">
      <w:start w:val="1"/>
      <w:numFmt w:val="decimal"/>
      <w:lvlText w:val="%1."/>
      <w:lvlJc w:val="left"/>
      <w:pPr>
        <w:tabs>
          <w:tab w:val="left" w:pos="340"/>
        </w:tabs>
        <w:ind w:left="340" w:hanging="340"/>
      </w:pPr>
      <w:rPr>
        <w:rFonts w:ascii="Calibri" w:hAnsi="Calibri" w:hint="default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4EE43D2"/>
    <w:multiLevelType w:val="multilevel"/>
    <w:tmpl w:val="34EE43D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hint="default"/>
        <w:b w:val="0"/>
        <w:bCs w:val="0"/>
      </w:rPr>
    </w:lvl>
  </w:abstractNum>
  <w:abstractNum w:abstractNumId="4" w15:restartNumberingAfterBreak="0">
    <w:nsid w:val="4E4B5617"/>
    <w:multiLevelType w:val="multilevel"/>
    <w:tmpl w:val="4E4B5617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16B6D"/>
    <w:multiLevelType w:val="multilevel"/>
    <w:tmpl w:val="53116B6D"/>
    <w:lvl w:ilvl="0">
      <w:start w:val="1"/>
      <w:numFmt w:val="lowerLetter"/>
      <w:lvlText w:val="%1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55B42783"/>
    <w:multiLevelType w:val="multilevel"/>
    <w:tmpl w:val="55B42783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Calibri" w:hAnsi="Calibri" w:hint="default"/>
        <w:b w:val="0"/>
        <w:i w:val="0"/>
        <w:sz w:val="22"/>
        <w:szCs w:val="24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7605">
    <w:abstractNumId w:val="3"/>
    <w:lvlOverride w:ilvl="0">
      <w:startOverride w:val="1"/>
    </w:lvlOverride>
  </w:num>
  <w:num w:numId="2" w16cid:durableId="620769251">
    <w:abstractNumId w:val="3"/>
  </w:num>
  <w:num w:numId="3" w16cid:durableId="1742672952">
    <w:abstractNumId w:val="2"/>
  </w:num>
  <w:num w:numId="4" w16cid:durableId="1301838222">
    <w:abstractNumId w:val="1"/>
  </w:num>
  <w:num w:numId="5" w16cid:durableId="871040780">
    <w:abstractNumId w:val="4"/>
  </w:num>
  <w:num w:numId="6" w16cid:durableId="114259406">
    <w:abstractNumId w:val="6"/>
  </w:num>
  <w:num w:numId="7" w16cid:durableId="992099868">
    <w:abstractNumId w:val="0"/>
  </w:num>
  <w:num w:numId="8" w16cid:durableId="375279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3E"/>
    <w:rsid w:val="00080C17"/>
    <w:rsid w:val="000B20E4"/>
    <w:rsid w:val="000C4BAE"/>
    <w:rsid w:val="000C61A0"/>
    <w:rsid w:val="000F1B07"/>
    <w:rsid w:val="000F6F0D"/>
    <w:rsid w:val="0014668D"/>
    <w:rsid w:val="001E73F4"/>
    <w:rsid w:val="002050A8"/>
    <w:rsid w:val="002B3D4B"/>
    <w:rsid w:val="002D1EE5"/>
    <w:rsid w:val="00327974"/>
    <w:rsid w:val="00363C17"/>
    <w:rsid w:val="003A5B60"/>
    <w:rsid w:val="00402B8A"/>
    <w:rsid w:val="0040373B"/>
    <w:rsid w:val="0041242A"/>
    <w:rsid w:val="004411A4"/>
    <w:rsid w:val="0044583E"/>
    <w:rsid w:val="00506F36"/>
    <w:rsid w:val="00536553"/>
    <w:rsid w:val="005807E1"/>
    <w:rsid w:val="005B19EC"/>
    <w:rsid w:val="005D26E8"/>
    <w:rsid w:val="00656CC4"/>
    <w:rsid w:val="007646DF"/>
    <w:rsid w:val="0077070D"/>
    <w:rsid w:val="00795B48"/>
    <w:rsid w:val="007B3B0E"/>
    <w:rsid w:val="00823E5F"/>
    <w:rsid w:val="00841C4B"/>
    <w:rsid w:val="00850205"/>
    <w:rsid w:val="008563BD"/>
    <w:rsid w:val="008573CC"/>
    <w:rsid w:val="00887871"/>
    <w:rsid w:val="00891433"/>
    <w:rsid w:val="00897CA2"/>
    <w:rsid w:val="008C1023"/>
    <w:rsid w:val="008F517A"/>
    <w:rsid w:val="008F5F31"/>
    <w:rsid w:val="009711E2"/>
    <w:rsid w:val="0097730F"/>
    <w:rsid w:val="00B00782"/>
    <w:rsid w:val="00B0105C"/>
    <w:rsid w:val="00B05AB7"/>
    <w:rsid w:val="00B523DA"/>
    <w:rsid w:val="00C35715"/>
    <w:rsid w:val="00C36E6B"/>
    <w:rsid w:val="00C86AEE"/>
    <w:rsid w:val="00CB1BCF"/>
    <w:rsid w:val="00CB7D78"/>
    <w:rsid w:val="00D52331"/>
    <w:rsid w:val="00D831BA"/>
    <w:rsid w:val="00DA1463"/>
    <w:rsid w:val="00E15597"/>
    <w:rsid w:val="00E53C3E"/>
    <w:rsid w:val="00E82DDE"/>
    <w:rsid w:val="00EF0411"/>
    <w:rsid w:val="00EF25C4"/>
    <w:rsid w:val="00F06757"/>
    <w:rsid w:val="00F72569"/>
    <w:rsid w:val="12F6355D"/>
    <w:rsid w:val="32F71776"/>
    <w:rsid w:val="4C2832E3"/>
    <w:rsid w:val="57550A95"/>
    <w:rsid w:val="60E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50F7"/>
  <w15:docId w15:val="{16C1776C-5954-4748-9FF9-4748F546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4">
    <w:name w:val="heading 4"/>
    <w:basedOn w:val="Normalny"/>
    <w:link w:val="Nagwek4Znak"/>
    <w:uiPriority w:val="9"/>
    <w:qFormat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  <w:rPr>
      <w:szCs w:val="21"/>
    </w:rPr>
  </w:style>
  <w:style w:type="paragraph" w:styleId="Tekstpodstawowywcity">
    <w:name w:val="Body Text Indent"/>
    <w:basedOn w:val="Normalny"/>
    <w:link w:val="TekstpodstawowywcityZnak"/>
    <w:qFormat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qFormat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Zwykytekst">
    <w:name w:val="Plain Text"/>
    <w:basedOn w:val="Normalny"/>
    <w:link w:val="ZwykytekstZnak"/>
    <w:qFormat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paragraph" w:customStyle="1" w:styleId="Standard">
    <w:name w:val="Standard"/>
    <w:qFormat/>
    <w:pPr>
      <w:suppressAutoHyphens/>
      <w:autoSpaceDN w:val="0"/>
      <w:spacing w:line="360" w:lineRule="auto"/>
      <w:textAlignment w:val="baseline"/>
    </w:pPr>
    <w:rPr>
      <w:rFonts w:ascii="Verdana" w:eastAsia="NSimSun" w:hAnsi="Verdana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Default">
    <w:name w:val="Default"/>
    <w:qFormat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ar-SA" w:bidi="hi-IN"/>
    </w:rPr>
  </w:style>
  <w:style w:type="paragraph" w:customStyle="1" w:styleId="rozdzia">
    <w:name w:val="rozdział"/>
    <w:basedOn w:val="Normalny"/>
    <w:qFormat/>
    <w:pPr>
      <w:keepNext/>
      <w:autoSpaceDE w:val="0"/>
      <w:spacing w:line="360" w:lineRule="auto"/>
      <w:ind w:left="-15"/>
    </w:pPr>
    <w:rPr>
      <w:rFonts w:ascii="Verdana" w:eastAsia="TimesNewRomanPSMT" w:hAnsi="Verdana" w:cs="TimesNewRomanPSMT"/>
      <w:b/>
      <w:bCs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F0411"/>
    <w:pPr>
      <w:tabs>
        <w:tab w:val="center" w:pos="4703"/>
        <w:tab w:val="right" w:pos="9406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F0411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F0411"/>
    <w:pPr>
      <w:tabs>
        <w:tab w:val="center" w:pos="4703"/>
        <w:tab w:val="right" w:pos="9406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F0411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1374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Kręcichwost</dc:creator>
  <cp:lastModifiedBy>Iwona Kręcichwost</cp:lastModifiedBy>
  <cp:revision>9</cp:revision>
  <cp:lastPrinted>2021-12-17T09:10:00Z</cp:lastPrinted>
  <dcterms:created xsi:type="dcterms:W3CDTF">2023-10-20T06:02:00Z</dcterms:created>
  <dcterms:modified xsi:type="dcterms:W3CDTF">2023-10-20T08:01:00Z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546D84C071584520B27B7ECD8FC71EE6_13</vt:lpwstr>
  </property>
</Properties>
</file>