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7F0F1" w14:textId="3F628B2B" w:rsidR="00B83E8E" w:rsidRPr="000A252A" w:rsidRDefault="000A252A" w:rsidP="000135FE">
      <w:pPr>
        <w:spacing w:after="0" w:line="240" w:lineRule="auto"/>
        <w:rPr>
          <w:b/>
          <w:bCs/>
          <w:color w:val="0070C0"/>
          <w:sz w:val="32"/>
          <w:szCs w:val="32"/>
        </w:rPr>
      </w:pPr>
      <w:r w:rsidRPr="000A252A">
        <w:rPr>
          <w:b/>
          <w:bCs/>
          <w:color w:val="0070C0"/>
          <w:sz w:val="32"/>
          <w:szCs w:val="32"/>
        </w:rPr>
        <w:t>Załącznik do oferty na część 1</w:t>
      </w:r>
    </w:p>
    <w:p w14:paraId="76296C4A" w14:textId="77777777" w:rsidR="000A252A" w:rsidRPr="000A252A" w:rsidRDefault="000A252A" w:rsidP="000A252A">
      <w:pPr>
        <w:spacing w:after="0" w:line="276" w:lineRule="auto"/>
        <w:rPr>
          <w:b/>
          <w:bCs/>
          <w:color w:val="0070C0"/>
          <w:sz w:val="24"/>
          <w:szCs w:val="32"/>
        </w:rPr>
      </w:pPr>
    </w:p>
    <w:p w14:paraId="3C8F7E8C" w14:textId="4E775894" w:rsidR="001F68B0" w:rsidRDefault="00A75097" w:rsidP="001F68B0">
      <w:pPr>
        <w:spacing w:after="0" w:line="240" w:lineRule="auto"/>
        <w:rPr>
          <w:b/>
          <w:bCs/>
          <w:sz w:val="28"/>
          <w:szCs w:val="24"/>
        </w:rPr>
      </w:pPr>
      <w:r w:rsidRPr="00A75097">
        <w:rPr>
          <w:b/>
          <w:bCs/>
          <w:sz w:val="28"/>
          <w:szCs w:val="24"/>
        </w:rPr>
        <w:t>Przełącznik sieciowy - typ 1</w:t>
      </w:r>
    </w:p>
    <w:p w14:paraId="21A1C7E5" w14:textId="3D8EC8D0" w:rsidR="001F68B0" w:rsidRDefault="001F68B0" w:rsidP="001F68B0">
      <w:pPr>
        <w:spacing w:after="0" w:line="240" w:lineRule="auto"/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50"/>
        <w:gridCol w:w="1558"/>
        <w:gridCol w:w="686"/>
        <w:gridCol w:w="4678"/>
        <w:gridCol w:w="2693"/>
      </w:tblGrid>
      <w:tr w:rsidR="00A75097" w:rsidRPr="00A75097" w14:paraId="54338D64" w14:textId="77777777" w:rsidTr="00A75097">
        <w:trPr>
          <w:trHeight w:val="35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8CB13" w14:textId="43BF44FE" w:rsidR="00A75097" w:rsidRPr="00A75097" w:rsidRDefault="00A75097" w:rsidP="00A75097">
            <w:pPr>
              <w:rPr>
                <w:b/>
              </w:rPr>
            </w:pPr>
            <w:r w:rsidRPr="007D73A2">
              <w:rPr>
                <w:b/>
              </w:rPr>
              <w:t>Oferowane urządzenie:</w:t>
            </w:r>
          </w:p>
        </w:tc>
      </w:tr>
      <w:tr w:rsidR="00A75097" w:rsidRPr="00A75097" w14:paraId="30BDF0C4" w14:textId="77777777" w:rsidTr="00A75097">
        <w:trPr>
          <w:trHeight w:val="646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50F4D" w14:textId="656F532C" w:rsidR="00A75097" w:rsidRPr="007D73A2" w:rsidRDefault="00A75097" w:rsidP="00A75097">
            <w:pPr>
              <w:rPr>
                <w:b/>
              </w:rPr>
            </w:pPr>
            <w:r>
              <w:t>N</w:t>
            </w:r>
            <w:r w:rsidRPr="007D73A2">
              <w:t>azwa producenta: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B9773" w14:textId="19F3FEEC" w:rsidR="00A75097" w:rsidRPr="007D73A2" w:rsidRDefault="00A75097" w:rsidP="00A75097">
            <w:pPr>
              <w:jc w:val="center"/>
              <w:rPr>
                <w:b/>
              </w:rPr>
            </w:pPr>
            <w:r w:rsidRPr="00D46CAE">
              <w:rPr>
                <w:b/>
                <w:bCs/>
                <w:i/>
                <w:iCs/>
                <w:color w:val="0070C0"/>
              </w:rPr>
              <w:t xml:space="preserve">Podać </w:t>
            </w:r>
            <w:r>
              <w:rPr>
                <w:b/>
                <w:bCs/>
                <w:i/>
                <w:iCs/>
                <w:color w:val="0070C0"/>
              </w:rPr>
              <w:t>producenta</w:t>
            </w:r>
          </w:p>
        </w:tc>
      </w:tr>
      <w:tr w:rsidR="00A75097" w:rsidRPr="00A75097" w14:paraId="6EB0FF17" w14:textId="77777777" w:rsidTr="00A75097">
        <w:trPr>
          <w:trHeight w:val="683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3398F" w14:textId="4E54DC9F" w:rsidR="00A75097" w:rsidRPr="007D73A2" w:rsidRDefault="00A75097" w:rsidP="00A75097">
            <w:pPr>
              <w:rPr>
                <w:b/>
              </w:rPr>
            </w:pPr>
            <w:r w:rsidRPr="007D73A2">
              <w:t>Model urządzenia</w:t>
            </w:r>
            <w:r>
              <w:t>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9F2B6" w14:textId="4CC6DDB0" w:rsidR="00A75097" w:rsidRPr="007D73A2" w:rsidRDefault="00A75097" w:rsidP="00A75097">
            <w:pPr>
              <w:jc w:val="center"/>
              <w:rPr>
                <w:b/>
              </w:rPr>
            </w:pPr>
            <w:r>
              <w:rPr>
                <w:b/>
                <w:bCs/>
                <w:i/>
                <w:iCs/>
                <w:color w:val="0070C0"/>
              </w:rPr>
              <w:t xml:space="preserve">Podać </w:t>
            </w:r>
            <w:r w:rsidRPr="00D46CAE">
              <w:rPr>
                <w:b/>
                <w:bCs/>
                <w:i/>
                <w:iCs/>
                <w:color w:val="0070C0"/>
              </w:rPr>
              <w:t>model</w:t>
            </w:r>
            <w:r>
              <w:rPr>
                <w:b/>
                <w:bCs/>
                <w:i/>
                <w:iCs/>
                <w:color w:val="0070C0"/>
              </w:rPr>
              <w:t xml:space="preserve"> urządzenia</w:t>
            </w:r>
          </w:p>
        </w:tc>
      </w:tr>
      <w:tr w:rsidR="00A75097" w:rsidRPr="00A75097" w14:paraId="1C9112FA" w14:textId="685D4FF4" w:rsidTr="00A75097">
        <w:trPr>
          <w:trHeight w:val="3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D1251F" w14:textId="3439A06C" w:rsidR="00A75097" w:rsidRPr="00A75097" w:rsidRDefault="00A75097" w:rsidP="00A75097">
            <w:pPr>
              <w:rPr>
                <w:b/>
              </w:rPr>
            </w:pPr>
            <w:r w:rsidRPr="00A75097">
              <w:rPr>
                <w:b/>
              </w:rPr>
              <w:t>Parametry techniczne:</w:t>
            </w:r>
          </w:p>
        </w:tc>
      </w:tr>
      <w:tr w:rsidR="00A75097" w:rsidRPr="00A75097" w14:paraId="7186E058" w14:textId="1889FC2B" w:rsidTr="00A7509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91CBAD" w14:textId="77777777" w:rsidR="00A75097" w:rsidRPr="00A75097" w:rsidRDefault="00A75097" w:rsidP="00A75097">
            <w:r w:rsidRPr="00A75097">
              <w:t>lp.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3F70EE" w14:textId="77777777" w:rsidR="00A75097" w:rsidRPr="00A75097" w:rsidRDefault="00A75097" w:rsidP="00A75097">
            <w:r w:rsidRPr="00A75097">
              <w:t>Parametr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C466E" w14:textId="77777777" w:rsidR="00A75097" w:rsidRPr="00A75097" w:rsidRDefault="00A75097" w:rsidP="00A75097">
            <w:r w:rsidRPr="00A75097">
              <w:t>Minimalna wartość wymagana: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BB24D" w14:textId="23E4098C" w:rsidR="00A75097" w:rsidRPr="00A75097" w:rsidRDefault="00A75097" w:rsidP="00A75097">
            <w:r>
              <w:t>Parametr oferowany</w:t>
            </w:r>
          </w:p>
        </w:tc>
      </w:tr>
      <w:tr w:rsidR="00A75097" w:rsidRPr="00A75097" w14:paraId="728780A0" w14:textId="7013DBAF" w:rsidTr="00A75097">
        <w:trPr>
          <w:trHeight w:val="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8FDF" w14:textId="77777777" w:rsidR="00A75097" w:rsidRPr="00A75097" w:rsidRDefault="00A75097" w:rsidP="00A75097">
            <w:r w:rsidRPr="00A75097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3A40" w14:textId="77777777" w:rsidR="00A75097" w:rsidRPr="00A75097" w:rsidRDefault="00A75097" w:rsidP="00A75097">
            <w:pPr>
              <w:rPr>
                <w:b/>
              </w:rPr>
            </w:pPr>
            <w:r w:rsidRPr="00A75097">
              <w:rPr>
                <w:b/>
              </w:rPr>
              <w:t xml:space="preserve">Parametry 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73BB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Minimum 48 portów 10/100/1000BASE-T umieszczonych z przodu obudowy ze wsparciem dla protokołu 802.3at (</w:t>
            </w:r>
            <w:proofErr w:type="spellStart"/>
            <w:r w:rsidRPr="00A75097">
              <w:t>PoE</w:t>
            </w:r>
            <w:proofErr w:type="spellEnd"/>
            <w:r w:rsidRPr="00A75097">
              <w:t>+)</w:t>
            </w:r>
          </w:p>
          <w:p w14:paraId="6BE89589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Minimum 4 porty 1/10gigabitowe SFP+ umieszczone z przodu obudowy</w:t>
            </w:r>
          </w:p>
          <w:p w14:paraId="54BDA958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Przepustowość: minimum 176 </w:t>
            </w:r>
            <w:proofErr w:type="spellStart"/>
            <w:r w:rsidRPr="00A75097">
              <w:t>Gb</w:t>
            </w:r>
            <w:proofErr w:type="spellEnd"/>
            <w:r w:rsidRPr="00A75097">
              <w:t xml:space="preserve">/s (pełna prędkość, tzw. </w:t>
            </w:r>
            <w:proofErr w:type="spellStart"/>
            <w:r w:rsidRPr="00A75097">
              <w:t>wire-speed</w:t>
            </w:r>
            <w:proofErr w:type="spellEnd"/>
            <w:r w:rsidRPr="00A75097">
              <w:t xml:space="preserve">, na wszystkich portach przełącznika) </w:t>
            </w:r>
          </w:p>
          <w:p w14:paraId="0B16897C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Wydajność: minimum 130 </w:t>
            </w:r>
            <w:proofErr w:type="spellStart"/>
            <w:r w:rsidRPr="00A75097">
              <w:t>Mp</w:t>
            </w:r>
            <w:proofErr w:type="spellEnd"/>
            <w:r w:rsidRPr="00A75097">
              <w:t>/s</w:t>
            </w:r>
          </w:p>
          <w:p w14:paraId="7AA51ED4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Bufor pakietów: minimum 7.5 MB</w:t>
            </w:r>
          </w:p>
          <w:p w14:paraId="2B9CA17B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Minimum 8GB pamięci operacyjnej</w:t>
            </w:r>
          </w:p>
          <w:p w14:paraId="32EBA5E7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Minimum 15GB wewnętrznej pamięci ni</w:t>
            </w:r>
            <w:bookmarkStart w:id="0" w:name="_GoBack"/>
            <w:bookmarkEnd w:id="0"/>
            <w:r w:rsidRPr="00A75097">
              <w:t xml:space="preserve">eulotnej typu Flash (CF, SSD, SD, </w:t>
            </w:r>
            <w:proofErr w:type="spellStart"/>
            <w:r w:rsidRPr="00A75097">
              <w:t>eUSB</w:t>
            </w:r>
            <w:proofErr w:type="spellEnd"/>
            <w:r w:rsidRPr="00A75097">
              <w:t>, SPI Flash).</w:t>
            </w:r>
          </w:p>
          <w:p w14:paraId="15486DEE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Dedykowany port do zarządzania poza pasmowego (Ethernet, RJ-45), w pełni niezależny od portów liniowych</w:t>
            </w:r>
          </w:p>
          <w:p w14:paraId="16AE033A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Dedykowany port konsoli USB</w:t>
            </w:r>
          </w:p>
          <w:p w14:paraId="2CBE91A7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Port USB 2.0 (niezależny od portu konsoli USB)</w:t>
            </w:r>
          </w:p>
          <w:p w14:paraId="25E67562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Interfejs Bluetooth (dopuszcza się rozwiązanie w postaci adaptera Bluetooth, podłączanego do portu USB przełącznika, </w:t>
            </w:r>
            <w:proofErr w:type="spellStart"/>
            <w:r w:rsidRPr="00A75097">
              <w:t>przsy</w:t>
            </w:r>
            <w:proofErr w:type="spellEnd"/>
            <w:r w:rsidRPr="00A75097">
              <w:t xml:space="preserve"> czym adapter musi pochodzić od tego samego producenta co przełącznik)</w:t>
            </w:r>
          </w:p>
          <w:p w14:paraId="1531EF8B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Przełączniki tego samego typu muszą posiadać funkcję łączenia w stos (wirtualny przełącznik) złożony z minimum 8 urządzeń. Zarządzanie stosem musi odbywać się z jednego adresu IP. Z punktu widzenia zarządzania przełączniki muszą tworzyć jedno logiczne urządzenie (nie dopuszcza się rozwiązań typu klaster). Jeżeli łączenie w stos wymaga dodatkowych modułów lub licencji to dostarczenie ich jest wymagane w ramach tego postępowania. </w:t>
            </w:r>
            <w:bookmarkStart w:id="1" w:name="_Hlk41409593"/>
            <w:r w:rsidRPr="00A75097">
              <w:t>Dostępne metody łączenia przełączników muszą umożliwiać realizację stosów na odległość co najmniej 300m.</w:t>
            </w:r>
            <w:bookmarkEnd w:id="1"/>
          </w:p>
          <w:p w14:paraId="37BF7127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Realizacja łączy agregowanych w ramach różnych przełączników będących w stosie </w:t>
            </w:r>
          </w:p>
          <w:p w14:paraId="4664ADD9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Wewnętrzny zasilacz 230V zapewniający budżet mocy </w:t>
            </w:r>
            <w:proofErr w:type="spellStart"/>
            <w:r w:rsidRPr="00A75097">
              <w:t>PoE</w:t>
            </w:r>
            <w:proofErr w:type="spellEnd"/>
            <w:r w:rsidRPr="00A75097">
              <w:t xml:space="preserve"> na poziomie nie niższym niż 740W. </w:t>
            </w:r>
            <w:bookmarkStart w:id="2" w:name="_Hlk41409694"/>
            <w:r w:rsidRPr="00A75097">
              <w:t xml:space="preserve">Pobór mocy (bez </w:t>
            </w:r>
            <w:proofErr w:type="spellStart"/>
            <w:r w:rsidRPr="00A75097">
              <w:t>PoE</w:t>
            </w:r>
            <w:proofErr w:type="spellEnd"/>
            <w:r w:rsidRPr="00A75097">
              <w:t>) nie może być większy niż 80W.</w:t>
            </w:r>
            <w:bookmarkEnd w:id="2"/>
          </w:p>
          <w:p w14:paraId="1F6E3F04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lastRenderedPageBreak/>
              <w:t>Wielkość tablicy routingu: minimum 2000 wpisów IPv4, 1000 wpisów IPv6</w:t>
            </w:r>
          </w:p>
          <w:p w14:paraId="6374467B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Wielkość tablicy ARP co najmniej 8000 wpisów, wielkość tablicy ND co najmniej 8000 wpisów</w:t>
            </w:r>
          </w:p>
          <w:p w14:paraId="7EC0C834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Tablica adresów MAC o wielkości minimum 16000 pozycji</w:t>
            </w:r>
          </w:p>
          <w:p w14:paraId="44CD65D5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Obsługa Jumbo </w:t>
            </w:r>
            <w:proofErr w:type="spellStart"/>
            <w:r w:rsidRPr="00A75097">
              <w:t>Frames</w:t>
            </w:r>
            <w:proofErr w:type="spellEnd"/>
          </w:p>
          <w:p w14:paraId="16C8686F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Obsługa </w:t>
            </w:r>
            <w:proofErr w:type="spellStart"/>
            <w:r w:rsidRPr="00A75097">
              <w:t>sFlow</w:t>
            </w:r>
            <w:proofErr w:type="spellEnd"/>
            <w:r w:rsidRPr="00A75097">
              <w:t xml:space="preserve"> lub </w:t>
            </w:r>
            <w:proofErr w:type="spellStart"/>
            <w:r w:rsidRPr="00A75097">
              <w:t>Netflow</w:t>
            </w:r>
            <w:proofErr w:type="spellEnd"/>
          </w:p>
          <w:p w14:paraId="215B2BD0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Obsługa skryptów w języku </w:t>
            </w:r>
            <w:proofErr w:type="spellStart"/>
            <w:r w:rsidRPr="00A75097">
              <w:t>Python</w:t>
            </w:r>
            <w:proofErr w:type="spellEnd"/>
          </w:p>
          <w:p w14:paraId="41AC9AF6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Obsługa REST API</w:t>
            </w:r>
          </w:p>
          <w:p w14:paraId="15C1A563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Wbudowany mechanizm monitoringu, analizy i </w:t>
            </w:r>
            <w:proofErr w:type="spellStart"/>
            <w:r w:rsidRPr="00A75097">
              <w:t>troubleshootingu</w:t>
            </w:r>
            <w:proofErr w:type="spellEnd"/>
            <w:r w:rsidRPr="00A75097">
              <w:t xml:space="preserve"> anomalii i problemów oraz zbierania danych sieciowych. Musi być możliwe podejmowanie akcji na podstawie zdefiniowanych polityk oraz wgrywanie i eksport skryptów pozwalających na indywidualizację monitorowanych danych. Musi być dostępna publicznie strona producenta zawierająca zatwierdzone przez niego, gotowe do użycia skrypty.  </w:t>
            </w:r>
          </w:p>
          <w:p w14:paraId="40F28E86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Obsługa RMON (minimum grupy 1,2,3 i 9)</w:t>
            </w:r>
          </w:p>
          <w:p w14:paraId="34527010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Obsługa 4094 </w:t>
            </w:r>
            <w:proofErr w:type="spellStart"/>
            <w:r w:rsidRPr="00A75097">
              <w:t>tagów</w:t>
            </w:r>
            <w:proofErr w:type="spellEnd"/>
            <w:r w:rsidRPr="00A75097">
              <w:t xml:space="preserve"> IEEE 802.1Q oraz 2000 jednoczesnych sieci VLAN</w:t>
            </w:r>
          </w:p>
          <w:p w14:paraId="59A1F74B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Obsługa standardu 802.1v</w:t>
            </w:r>
          </w:p>
          <w:p w14:paraId="3598DE26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Obsługa protokołu MVRP</w:t>
            </w:r>
          </w:p>
          <w:p w14:paraId="448F32D8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Wsparcie dla VXLAN</w:t>
            </w:r>
          </w:p>
          <w:p w14:paraId="449E568B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Dostęp do urządzenia przez konsolę szeregową, HTTPS, SSHv2, SNMPv3, dedykowaną aplikację na urządzenia mobilne </w:t>
            </w:r>
          </w:p>
          <w:p w14:paraId="096AF6AE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  <w:rPr>
                <w:lang w:val="en-US"/>
              </w:rPr>
            </w:pPr>
            <w:proofErr w:type="spellStart"/>
            <w:r w:rsidRPr="00A75097">
              <w:rPr>
                <w:lang w:val="en-US"/>
              </w:rPr>
              <w:t>Obsługa</w:t>
            </w:r>
            <w:proofErr w:type="spellEnd"/>
            <w:r w:rsidRPr="00A75097">
              <w:rPr>
                <w:lang w:val="en-US"/>
              </w:rPr>
              <w:t xml:space="preserve"> Rapid Spanning Tree (802.1w) </w:t>
            </w:r>
            <w:proofErr w:type="spellStart"/>
            <w:r w:rsidRPr="00A75097">
              <w:rPr>
                <w:lang w:val="en-US"/>
              </w:rPr>
              <w:t>i</w:t>
            </w:r>
            <w:proofErr w:type="spellEnd"/>
            <w:r w:rsidRPr="00A75097">
              <w:rPr>
                <w:lang w:val="en-US"/>
              </w:rPr>
              <w:t xml:space="preserve"> Multiple Spanning Tree (802.1s)</w:t>
            </w:r>
          </w:p>
          <w:p w14:paraId="67861F11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Obsługa </w:t>
            </w:r>
            <w:proofErr w:type="spellStart"/>
            <w:r w:rsidRPr="00A75097">
              <w:t>Secure</w:t>
            </w:r>
            <w:proofErr w:type="spellEnd"/>
            <w:r w:rsidRPr="00A75097">
              <w:t xml:space="preserve"> FTP lub SCP</w:t>
            </w:r>
          </w:p>
          <w:p w14:paraId="1F62AF50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Obsługa łączy agregowanych zgodnie ze standardem 802.3ad Link </w:t>
            </w:r>
            <w:proofErr w:type="spellStart"/>
            <w:r w:rsidRPr="00A75097">
              <w:t>Aggregation</w:t>
            </w:r>
            <w:proofErr w:type="spellEnd"/>
            <w:r w:rsidRPr="00A75097">
              <w:t xml:space="preserve"> </w:t>
            </w:r>
            <w:proofErr w:type="spellStart"/>
            <w:r w:rsidRPr="00A75097">
              <w:t>Protocol</w:t>
            </w:r>
            <w:proofErr w:type="spellEnd"/>
            <w:r w:rsidRPr="00A75097">
              <w:t xml:space="preserve"> (LACP)</w:t>
            </w:r>
          </w:p>
          <w:p w14:paraId="27EC4543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  <w:rPr>
                <w:lang w:val="en-US"/>
              </w:rPr>
            </w:pPr>
            <w:proofErr w:type="spellStart"/>
            <w:r w:rsidRPr="00A75097">
              <w:rPr>
                <w:lang w:val="en-US"/>
              </w:rPr>
              <w:t>Obsługa</w:t>
            </w:r>
            <w:proofErr w:type="spellEnd"/>
            <w:r w:rsidRPr="00A75097">
              <w:rPr>
                <w:lang w:val="en-US"/>
              </w:rPr>
              <w:t xml:space="preserve"> SNTPv4 </w:t>
            </w:r>
            <w:proofErr w:type="spellStart"/>
            <w:r w:rsidRPr="00A75097">
              <w:rPr>
                <w:lang w:val="en-US"/>
              </w:rPr>
              <w:t>lub</w:t>
            </w:r>
            <w:proofErr w:type="spellEnd"/>
            <w:r w:rsidRPr="00A75097">
              <w:rPr>
                <w:lang w:val="en-US"/>
              </w:rPr>
              <w:t xml:space="preserve"> NTP</w:t>
            </w:r>
          </w:p>
          <w:p w14:paraId="2E29F3D5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  <w:rPr>
                <w:lang w:val="en-US"/>
              </w:rPr>
            </w:pPr>
            <w:proofErr w:type="spellStart"/>
            <w:r w:rsidRPr="00A75097">
              <w:rPr>
                <w:lang w:val="en-US"/>
              </w:rPr>
              <w:t>Wsparcie</w:t>
            </w:r>
            <w:proofErr w:type="spellEnd"/>
            <w:r w:rsidRPr="00A75097">
              <w:rPr>
                <w:lang w:val="en-US"/>
              </w:rPr>
              <w:t xml:space="preserve"> </w:t>
            </w:r>
            <w:proofErr w:type="spellStart"/>
            <w:r w:rsidRPr="00A75097">
              <w:rPr>
                <w:lang w:val="en-US"/>
              </w:rPr>
              <w:t>dla</w:t>
            </w:r>
            <w:proofErr w:type="spellEnd"/>
            <w:r w:rsidRPr="00A75097">
              <w:rPr>
                <w:lang w:val="en-US"/>
              </w:rPr>
              <w:t xml:space="preserve"> IPv6 (IPv6 host, dual stack, MLD snooping, ND snooping)</w:t>
            </w:r>
          </w:p>
          <w:p w14:paraId="1A7BF9B7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Obsługa protokołów </w:t>
            </w:r>
            <w:proofErr w:type="spellStart"/>
            <w:r w:rsidRPr="00A75097">
              <w:t>rutingu</w:t>
            </w:r>
            <w:proofErr w:type="spellEnd"/>
            <w:r w:rsidRPr="00A75097">
              <w:t xml:space="preserve">: </w:t>
            </w:r>
            <w:proofErr w:type="spellStart"/>
            <w:r w:rsidRPr="00A75097">
              <w:t>ruting</w:t>
            </w:r>
            <w:proofErr w:type="spellEnd"/>
            <w:r w:rsidRPr="00A75097">
              <w:t xml:space="preserve"> statyczny, OSPF, OSPFv3 </w:t>
            </w:r>
          </w:p>
          <w:p w14:paraId="212791F6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Obsługa ruchu </w:t>
            </w:r>
            <w:proofErr w:type="spellStart"/>
            <w:r w:rsidRPr="00A75097">
              <w:t>multicast</w:t>
            </w:r>
            <w:proofErr w:type="spellEnd"/>
            <w:r w:rsidRPr="00A75097">
              <w:t>: IGMPv1/v2/v3 (co najmniej 1000 grup), MLD (co najmniej 1000 grup)</w:t>
            </w:r>
          </w:p>
          <w:p w14:paraId="061751DA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  <w:rPr>
                <w:lang w:val="en-US"/>
              </w:rPr>
            </w:pPr>
            <w:proofErr w:type="spellStart"/>
            <w:r w:rsidRPr="00A75097">
              <w:rPr>
                <w:lang w:val="en-US"/>
              </w:rPr>
              <w:t>Obsługa</w:t>
            </w:r>
            <w:proofErr w:type="spellEnd"/>
            <w:r w:rsidRPr="00A75097">
              <w:rPr>
                <w:lang w:val="en-US"/>
              </w:rPr>
              <w:t xml:space="preserve"> IEEE 802.1AB Link Layer Discovery Protocol (LLDP) </w:t>
            </w:r>
            <w:proofErr w:type="spellStart"/>
            <w:r w:rsidRPr="00A75097">
              <w:rPr>
                <w:lang w:val="en-US"/>
              </w:rPr>
              <w:t>i</w:t>
            </w:r>
            <w:proofErr w:type="spellEnd"/>
            <w:r w:rsidRPr="00A75097">
              <w:rPr>
                <w:lang w:val="en-US"/>
              </w:rPr>
              <w:t xml:space="preserve"> LLDP Media Endpoint Discovery (LLDP-MED)</w:t>
            </w:r>
          </w:p>
          <w:p w14:paraId="47ABD69C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Automatyczna konfiguracja VLAN dla urządzeń VoIP oparta co najmniej o: RADIUS VLAN (użycie atrybutów RADIUS i mechanizmu LLDP-MED)</w:t>
            </w:r>
          </w:p>
          <w:p w14:paraId="26550447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Mechanizmy związane z zapewnieniem jakości usług w sieci: </w:t>
            </w:r>
            <w:proofErr w:type="spellStart"/>
            <w:r w:rsidRPr="00A75097">
              <w:t>prioryteryzacja</w:t>
            </w:r>
            <w:proofErr w:type="spellEnd"/>
            <w:r w:rsidRPr="00A75097">
              <w:t xml:space="preserve"> zgodna z 802.1p, </w:t>
            </w:r>
            <w:proofErr w:type="spellStart"/>
            <w:r w:rsidRPr="00A75097">
              <w:t>ToS</w:t>
            </w:r>
            <w:proofErr w:type="spellEnd"/>
            <w:r w:rsidRPr="00A75097">
              <w:t xml:space="preserve">, TCP/UDP, </w:t>
            </w:r>
            <w:proofErr w:type="spellStart"/>
            <w:r w:rsidRPr="00A75097">
              <w:t>DiffServ</w:t>
            </w:r>
            <w:proofErr w:type="spellEnd"/>
            <w:r w:rsidRPr="00A75097">
              <w:t xml:space="preserve">, wsparcie dla 8 kolejek sprzętowych, </w:t>
            </w:r>
            <w:proofErr w:type="spellStart"/>
            <w:r w:rsidRPr="00A75097">
              <w:t>rate-limiting</w:t>
            </w:r>
            <w:proofErr w:type="spellEnd"/>
          </w:p>
          <w:p w14:paraId="2691D6F6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Obsługa uwierzytelniania użytkowników zgodna z 802.1x </w:t>
            </w:r>
          </w:p>
          <w:p w14:paraId="43F05390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lastRenderedPageBreak/>
              <w:t>Obsługa uwierzytelniania użytkowników w oparciu o adres MAC i serwer RADIUS</w:t>
            </w:r>
          </w:p>
          <w:p w14:paraId="75C29DFD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Obsługa uwierzytelniania użytkowników w oparciu o stronę WWW z użyciem zewnętrznego serwera</w:t>
            </w:r>
          </w:p>
          <w:p w14:paraId="4633FB94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Obsługa uwierzytelniania wielu użytkowników na tym samym porcie w tym samym czasie</w:t>
            </w:r>
          </w:p>
          <w:p w14:paraId="53474298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Obsługa autoryzacji logowania do urządzenia za pomocą serwerów RADIUS albo TACACS+</w:t>
            </w:r>
          </w:p>
          <w:p w14:paraId="6FD29549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Obsługa autoryzacji komend wydawanych do urządzenia za pomocą serwerów RADIUS albo TACACS+</w:t>
            </w:r>
          </w:p>
          <w:p w14:paraId="7CB60A13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Wbudowany serwer DHCP</w:t>
            </w:r>
          </w:p>
          <w:p w14:paraId="6EAD8524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Obsługa blokowania nieautoryzowanych serwerów DHCP</w:t>
            </w:r>
          </w:p>
          <w:p w14:paraId="11D9BB3B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Obsługa mechanizmu wykrywania łączy jednokierunkowych typu Device Link </w:t>
            </w:r>
            <w:proofErr w:type="spellStart"/>
            <w:r w:rsidRPr="00A75097">
              <w:t>Detection</w:t>
            </w:r>
            <w:proofErr w:type="spellEnd"/>
            <w:r w:rsidRPr="00A75097">
              <w:t xml:space="preserve"> </w:t>
            </w:r>
            <w:proofErr w:type="spellStart"/>
            <w:r w:rsidRPr="00A75097">
              <w:t>Protocol</w:t>
            </w:r>
            <w:proofErr w:type="spellEnd"/>
            <w:r w:rsidRPr="00A75097">
              <w:t xml:space="preserve"> (DLDP), </w:t>
            </w:r>
            <w:proofErr w:type="spellStart"/>
            <w:r w:rsidRPr="00A75097">
              <w:t>Uni-Directional</w:t>
            </w:r>
            <w:proofErr w:type="spellEnd"/>
            <w:r w:rsidRPr="00A75097">
              <w:t xml:space="preserve"> Link </w:t>
            </w:r>
            <w:proofErr w:type="spellStart"/>
            <w:r w:rsidRPr="00A75097">
              <w:t>Detection</w:t>
            </w:r>
            <w:proofErr w:type="spellEnd"/>
            <w:r w:rsidRPr="00A75097">
              <w:t xml:space="preserve"> (UDLD), lub równoważnego</w:t>
            </w:r>
          </w:p>
          <w:p w14:paraId="68F0715E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Ochrona przed rekonfiguracją struktury topologii </w:t>
            </w:r>
            <w:proofErr w:type="spellStart"/>
            <w:r w:rsidRPr="00A75097">
              <w:t>Spanning</w:t>
            </w:r>
            <w:proofErr w:type="spellEnd"/>
            <w:r w:rsidRPr="00A75097">
              <w:t xml:space="preserve"> </w:t>
            </w:r>
            <w:proofErr w:type="spellStart"/>
            <w:r w:rsidRPr="00A75097">
              <w:t>Tree</w:t>
            </w:r>
            <w:proofErr w:type="spellEnd"/>
            <w:r w:rsidRPr="00A75097">
              <w:t xml:space="preserve"> (BPDU port </w:t>
            </w:r>
            <w:proofErr w:type="spellStart"/>
            <w:r w:rsidRPr="00A75097">
              <w:t>protection</w:t>
            </w:r>
            <w:proofErr w:type="spellEnd"/>
            <w:r w:rsidRPr="00A75097">
              <w:t>)</w:t>
            </w:r>
          </w:p>
          <w:p w14:paraId="6B3A000F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Obsługa list kontroli dostępu (ACL) bazujących na porcie lub na VLAN z uwzględnieniem adresów, MAC, IP i portów TCP/UDP. Co najmniej 5000 wpisów typu </w:t>
            </w:r>
            <w:proofErr w:type="spellStart"/>
            <w:r w:rsidRPr="00A75097">
              <w:t>ingress</w:t>
            </w:r>
            <w:proofErr w:type="spellEnd"/>
            <w:r w:rsidRPr="00A75097">
              <w:t xml:space="preserve"> i 2000 wpisów typu </w:t>
            </w:r>
            <w:proofErr w:type="spellStart"/>
            <w:r w:rsidRPr="00A75097">
              <w:t>egress</w:t>
            </w:r>
            <w:proofErr w:type="spellEnd"/>
            <w:r w:rsidRPr="00A75097">
              <w:t xml:space="preserve"> dla IPv4 i MAC</w:t>
            </w:r>
          </w:p>
          <w:p w14:paraId="2B212248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Wbudowana sonda IP SLA</w:t>
            </w:r>
          </w:p>
          <w:p w14:paraId="312CEE1D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Zakres pracy od 0 do 45°C</w:t>
            </w:r>
          </w:p>
          <w:p w14:paraId="23B78CBA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Przełącznik w obudowie 19”. Maksymalna wysokość obudowy 1U, maksymalna głębokość obudowy 35 cm.</w:t>
            </w:r>
          </w:p>
          <w:p w14:paraId="539E8C44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>Jeżeli do działania któregokolwiek z wymienionych protokołów i funkcji wymagana jest dodatkowa licencja to należy ją dostarczyć w ramach tego postępowania</w:t>
            </w:r>
          </w:p>
          <w:p w14:paraId="0477FE99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Wszystkie dostępne na przełączniku funkcje (tak wyspecyfikowane jak i nie wyspecyfikowane) muszą być dostępne przez cały okres jego użytkowania (permanentne), nie dopuszcza się licencji czasowych i subskrypcji.  </w:t>
            </w:r>
          </w:p>
          <w:p w14:paraId="0A6EEAA8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Zaoferowane przełączniki muszą tworzyć spójny ekosystem z posiadanymi przez Zamawiającego urządzeniami Aruba 8325, 6200F, 5406, 5412, a w szczególności posiadać jeden punkt serwisowy. </w:t>
            </w:r>
          </w:p>
          <w:p w14:paraId="5C2CF5E9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Oferowany przełącznik musi mieć możliwość </w:t>
            </w:r>
            <w:proofErr w:type="spellStart"/>
            <w:r w:rsidRPr="00A75097">
              <w:t>stackowania</w:t>
            </w:r>
            <w:proofErr w:type="spellEnd"/>
            <w:r w:rsidRPr="00A75097">
              <w:t xml:space="preserve"> z obecnie posiadanymi przełącznikami Aruba 6200F.</w:t>
            </w:r>
          </w:p>
          <w:p w14:paraId="43E2E567" w14:textId="77777777" w:rsidR="00A75097" w:rsidRPr="00A75097" w:rsidRDefault="00A75097" w:rsidP="00A75097">
            <w:pPr>
              <w:numPr>
                <w:ilvl w:val="0"/>
                <w:numId w:val="49"/>
              </w:numPr>
              <w:ind w:left="340" w:hanging="340"/>
            </w:pPr>
            <w:r w:rsidRPr="00A75097">
              <w:t xml:space="preserve">Dożywotnia (minimum 5 lat po zakończeniu produkcji, przy czym, jeżeli data zakończenia produkcji jest ogłoszona to nie może być ona krótsza niż 2 lata po dostarczeniu sprzętu) gwarancja producenta obejmująca wszystkie elementy przełącznika (również zasilacze i wentylatory) zapewniająca wysyłkę sprzętu na podmianę </w:t>
            </w:r>
            <w:r w:rsidRPr="00A75097">
              <w:lastRenderedPageBreak/>
              <w:t>maksymalnie na następny dzień roboczy. Serwis musi zapewniać również dostęp do poprawek i aktualizacji oprogramowania oraz wsparcia technicznego przez cały okres trwania gwarancji. Serwis musi być świadczony bezpośrednio przez producenta sprzętu w języku polskim. Cała komunikacja odbywać się musi bezpośrednio pomiędzy Zamawiającym i producentem sprzętu.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ACC1" w14:textId="77777777" w:rsidR="00A75097" w:rsidRPr="00A75097" w:rsidRDefault="00A75097" w:rsidP="00A75097"/>
        </w:tc>
      </w:tr>
    </w:tbl>
    <w:p w14:paraId="29BAB798" w14:textId="77777777" w:rsidR="00A75097" w:rsidRDefault="00A75097" w:rsidP="001F68B0">
      <w:pPr>
        <w:spacing w:after="0" w:line="240" w:lineRule="auto"/>
      </w:pPr>
    </w:p>
    <w:sectPr w:rsidR="00A75097" w:rsidSect="000135FE">
      <w:footerReference w:type="default" r:id="rId7"/>
      <w:pgSz w:w="11906" w:h="16838"/>
      <w:pgMar w:top="1417" w:right="1417" w:bottom="1417" w:left="1417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5E111" w14:textId="77777777" w:rsidR="000A252A" w:rsidRDefault="000A252A" w:rsidP="00EC56AF">
      <w:pPr>
        <w:spacing w:after="0" w:line="240" w:lineRule="auto"/>
      </w:pPr>
      <w:r>
        <w:separator/>
      </w:r>
    </w:p>
  </w:endnote>
  <w:endnote w:type="continuationSeparator" w:id="0">
    <w:p w14:paraId="2465C9B9" w14:textId="77777777" w:rsidR="000A252A" w:rsidRDefault="000A252A" w:rsidP="00EC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54009707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306F08" w14:textId="50D9360B" w:rsidR="000A252A" w:rsidRPr="001F68B0" w:rsidRDefault="000A252A" w:rsidP="001F68B0">
            <w:pPr>
              <w:pStyle w:val="Stopka"/>
              <w:jc w:val="right"/>
              <w:rPr>
                <w:sz w:val="18"/>
                <w:szCs w:val="18"/>
              </w:rPr>
            </w:pPr>
            <w:r w:rsidRPr="001F68B0">
              <w:rPr>
                <w:sz w:val="18"/>
                <w:szCs w:val="18"/>
              </w:rPr>
              <w:t xml:space="preserve">Strona </w:t>
            </w:r>
            <w:r w:rsidRPr="001F68B0">
              <w:rPr>
                <w:b/>
                <w:bCs/>
                <w:sz w:val="18"/>
                <w:szCs w:val="18"/>
              </w:rPr>
              <w:fldChar w:fldCharType="begin"/>
            </w:r>
            <w:r w:rsidRPr="001F68B0">
              <w:rPr>
                <w:b/>
                <w:bCs/>
                <w:sz w:val="18"/>
                <w:szCs w:val="18"/>
              </w:rPr>
              <w:instrText>PAGE</w:instrText>
            </w:r>
            <w:r w:rsidRPr="001F68B0">
              <w:rPr>
                <w:b/>
                <w:bCs/>
                <w:sz w:val="18"/>
                <w:szCs w:val="18"/>
              </w:rPr>
              <w:fldChar w:fldCharType="separate"/>
            </w:r>
            <w:r w:rsidRPr="001F68B0">
              <w:rPr>
                <w:b/>
                <w:bCs/>
                <w:sz w:val="18"/>
                <w:szCs w:val="18"/>
              </w:rPr>
              <w:t>2</w:t>
            </w:r>
            <w:r w:rsidRPr="001F68B0">
              <w:rPr>
                <w:b/>
                <w:bCs/>
                <w:sz w:val="18"/>
                <w:szCs w:val="18"/>
              </w:rPr>
              <w:fldChar w:fldCharType="end"/>
            </w:r>
            <w:r w:rsidRPr="001F68B0">
              <w:rPr>
                <w:sz w:val="18"/>
                <w:szCs w:val="18"/>
              </w:rPr>
              <w:t xml:space="preserve"> z </w:t>
            </w:r>
            <w:r w:rsidRPr="001F68B0">
              <w:rPr>
                <w:b/>
                <w:bCs/>
                <w:sz w:val="18"/>
                <w:szCs w:val="18"/>
              </w:rPr>
              <w:fldChar w:fldCharType="begin"/>
            </w:r>
            <w:r w:rsidRPr="001F68B0">
              <w:rPr>
                <w:b/>
                <w:bCs/>
                <w:sz w:val="18"/>
                <w:szCs w:val="18"/>
              </w:rPr>
              <w:instrText>NUMPAGES</w:instrText>
            </w:r>
            <w:r w:rsidRPr="001F68B0">
              <w:rPr>
                <w:b/>
                <w:bCs/>
                <w:sz w:val="18"/>
                <w:szCs w:val="18"/>
              </w:rPr>
              <w:fldChar w:fldCharType="separate"/>
            </w:r>
            <w:r w:rsidRPr="001F68B0">
              <w:rPr>
                <w:b/>
                <w:bCs/>
                <w:sz w:val="18"/>
                <w:szCs w:val="18"/>
              </w:rPr>
              <w:t>2</w:t>
            </w:r>
            <w:r w:rsidRPr="001F68B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6F74C" w14:textId="77777777" w:rsidR="000A252A" w:rsidRDefault="000A252A" w:rsidP="00EC56AF">
      <w:pPr>
        <w:spacing w:after="0" w:line="240" w:lineRule="auto"/>
      </w:pPr>
      <w:r>
        <w:separator/>
      </w:r>
    </w:p>
  </w:footnote>
  <w:footnote w:type="continuationSeparator" w:id="0">
    <w:p w14:paraId="01CEADDE" w14:textId="77777777" w:rsidR="000A252A" w:rsidRDefault="000A252A" w:rsidP="00EC5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774"/>
    <w:multiLevelType w:val="hybridMultilevel"/>
    <w:tmpl w:val="958A72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C6C2B"/>
    <w:multiLevelType w:val="hybridMultilevel"/>
    <w:tmpl w:val="108E62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D3A33"/>
    <w:multiLevelType w:val="hybridMultilevel"/>
    <w:tmpl w:val="A524D0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760AF"/>
    <w:multiLevelType w:val="hybridMultilevel"/>
    <w:tmpl w:val="C09469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3A09"/>
    <w:multiLevelType w:val="hybridMultilevel"/>
    <w:tmpl w:val="75362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61ED3"/>
    <w:multiLevelType w:val="hybridMultilevel"/>
    <w:tmpl w:val="63DC8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264AF"/>
    <w:multiLevelType w:val="hybridMultilevel"/>
    <w:tmpl w:val="95964AFE"/>
    <w:lvl w:ilvl="0" w:tplc="4D541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5052E"/>
    <w:multiLevelType w:val="hybridMultilevel"/>
    <w:tmpl w:val="AA028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363AA"/>
    <w:multiLevelType w:val="hybridMultilevel"/>
    <w:tmpl w:val="AB02F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20809"/>
    <w:multiLevelType w:val="hybridMultilevel"/>
    <w:tmpl w:val="D8B4E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62648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 w15:restartNumberingAfterBreak="0">
    <w:nsid w:val="2DAD061A"/>
    <w:multiLevelType w:val="hybridMultilevel"/>
    <w:tmpl w:val="BD1C5120"/>
    <w:lvl w:ilvl="0" w:tplc="B62C6E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D5ED0"/>
    <w:multiLevelType w:val="hybridMultilevel"/>
    <w:tmpl w:val="3D3A6184"/>
    <w:lvl w:ilvl="0" w:tplc="634CF472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76AAF42A">
      <w:numFmt w:val="bullet"/>
      <w:lvlText w:val="•"/>
      <w:lvlJc w:val="left"/>
      <w:pPr>
        <w:ind w:left="1458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8" w15:restartNumberingAfterBreak="0">
    <w:nsid w:val="378F252B"/>
    <w:multiLevelType w:val="hybridMultilevel"/>
    <w:tmpl w:val="63DC8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C4CF7"/>
    <w:multiLevelType w:val="hybridMultilevel"/>
    <w:tmpl w:val="BE6A5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3560F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121DF"/>
    <w:multiLevelType w:val="hybridMultilevel"/>
    <w:tmpl w:val="4E1E31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E2C09"/>
    <w:multiLevelType w:val="hybridMultilevel"/>
    <w:tmpl w:val="96720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2E21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15605"/>
    <w:multiLevelType w:val="hybridMultilevel"/>
    <w:tmpl w:val="6A62A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70558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41736"/>
    <w:multiLevelType w:val="hybridMultilevel"/>
    <w:tmpl w:val="5EE268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017C68"/>
    <w:multiLevelType w:val="hybridMultilevel"/>
    <w:tmpl w:val="0060A2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C5852"/>
    <w:multiLevelType w:val="hybridMultilevel"/>
    <w:tmpl w:val="043C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37ECD"/>
    <w:multiLevelType w:val="hybridMultilevel"/>
    <w:tmpl w:val="72689EF6"/>
    <w:lvl w:ilvl="0" w:tplc="F30A6F1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75748"/>
    <w:multiLevelType w:val="hybridMultilevel"/>
    <w:tmpl w:val="4BCE9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C466FA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E514C"/>
    <w:multiLevelType w:val="hybridMultilevel"/>
    <w:tmpl w:val="4D16A7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E1471"/>
    <w:multiLevelType w:val="hybridMultilevel"/>
    <w:tmpl w:val="BD1C5120"/>
    <w:lvl w:ilvl="0" w:tplc="B62C6E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B6A81"/>
    <w:multiLevelType w:val="hybridMultilevel"/>
    <w:tmpl w:val="829C3E32"/>
    <w:lvl w:ilvl="0" w:tplc="913876BA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21936"/>
    <w:multiLevelType w:val="hybridMultilevel"/>
    <w:tmpl w:val="C1AA1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621C1"/>
    <w:multiLevelType w:val="hybridMultilevel"/>
    <w:tmpl w:val="2886E0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035D3"/>
    <w:multiLevelType w:val="hybridMultilevel"/>
    <w:tmpl w:val="1E1203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A3DCA"/>
    <w:multiLevelType w:val="hybridMultilevel"/>
    <w:tmpl w:val="49C0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1798C"/>
    <w:multiLevelType w:val="hybridMultilevel"/>
    <w:tmpl w:val="63DC8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EC4D47"/>
    <w:multiLevelType w:val="hybridMultilevel"/>
    <w:tmpl w:val="804C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14DF4"/>
    <w:multiLevelType w:val="hybridMultilevel"/>
    <w:tmpl w:val="074AE3AE"/>
    <w:lvl w:ilvl="0" w:tplc="3EA6D2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F1543"/>
    <w:multiLevelType w:val="hybridMultilevel"/>
    <w:tmpl w:val="B5A888A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6618D"/>
    <w:multiLevelType w:val="hybridMultilevel"/>
    <w:tmpl w:val="738C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E4AC5"/>
    <w:multiLevelType w:val="hybridMultilevel"/>
    <w:tmpl w:val="381298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348F4"/>
    <w:multiLevelType w:val="hybridMultilevel"/>
    <w:tmpl w:val="F83CD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8480F"/>
    <w:multiLevelType w:val="hybridMultilevel"/>
    <w:tmpl w:val="4D8C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8"/>
  </w:num>
  <w:num w:numId="3">
    <w:abstractNumId w:val="12"/>
  </w:num>
  <w:num w:numId="4">
    <w:abstractNumId w:val="30"/>
  </w:num>
  <w:num w:numId="5">
    <w:abstractNumId w:val="32"/>
  </w:num>
  <w:num w:numId="6">
    <w:abstractNumId w:val="26"/>
  </w:num>
  <w:num w:numId="7">
    <w:abstractNumId w:val="20"/>
  </w:num>
  <w:num w:numId="8">
    <w:abstractNumId w:val="34"/>
  </w:num>
  <w:num w:numId="9">
    <w:abstractNumId w:val="6"/>
  </w:num>
  <w:num w:numId="10">
    <w:abstractNumId w:val="40"/>
  </w:num>
  <w:num w:numId="11">
    <w:abstractNumId w:val="18"/>
  </w:num>
  <w:num w:numId="12">
    <w:abstractNumId w:val="27"/>
  </w:num>
  <w:num w:numId="13">
    <w:abstractNumId w:val="31"/>
  </w:num>
  <w:num w:numId="14">
    <w:abstractNumId w:val="1"/>
  </w:num>
  <w:num w:numId="15">
    <w:abstractNumId w:val="3"/>
  </w:num>
  <w:num w:numId="16">
    <w:abstractNumId w:val="23"/>
  </w:num>
  <w:num w:numId="17">
    <w:abstractNumId w:val="9"/>
  </w:num>
  <w:num w:numId="18">
    <w:abstractNumId w:val="22"/>
  </w:num>
  <w:num w:numId="19">
    <w:abstractNumId w:val="15"/>
  </w:num>
  <w:num w:numId="20">
    <w:abstractNumId w:val="16"/>
  </w:num>
  <w:num w:numId="21">
    <w:abstractNumId w:val="43"/>
  </w:num>
  <w:num w:numId="22">
    <w:abstractNumId w:val="25"/>
  </w:num>
  <w:num w:numId="23">
    <w:abstractNumId w:val="11"/>
  </w:num>
  <w:num w:numId="24">
    <w:abstractNumId w:val="17"/>
  </w:num>
  <w:num w:numId="25">
    <w:abstractNumId w:val="39"/>
  </w:num>
  <w:num w:numId="26">
    <w:abstractNumId w:val="21"/>
  </w:num>
  <w:num w:numId="27">
    <w:abstractNumId w:val="7"/>
  </w:num>
  <w:num w:numId="28">
    <w:abstractNumId w:val="47"/>
  </w:num>
  <w:num w:numId="29">
    <w:abstractNumId w:val="45"/>
  </w:num>
  <w:num w:numId="30">
    <w:abstractNumId w:val="38"/>
  </w:num>
  <w:num w:numId="31">
    <w:abstractNumId w:val="4"/>
  </w:num>
  <w:num w:numId="32">
    <w:abstractNumId w:val="0"/>
  </w:num>
  <w:num w:numId="33">
    <w:abstractNumId w:val="19"/>
  </w:num>
  <w:num w:numId="34">
    <w:abstractNumId w:val="41"/>
  </w:num>
  <w:num w:numId="35">
    <w:abstractNumId w:val="37"/>
  </w:num>
  <w:num w:numId="36">
    <w:abstractNumId w:val="46"/>
  </w:num>
  <w:num w:numId="37">
    <w:abstractNumId w:val="2"/>
  </w:num>
  <w:num w:numId="38">
    <w:abstractNumId w:val="36"/>
  </w:num>
  <w:num w:numId="39">
    <w:abstractNumId w:val="28"/>
  </w:num>
  <w:num w:numId="40">
    <w:abstractNumId w:val="33"/>
  </w:num>
  <w:num w:numId="41">
    <w:abstractNumId w:val="44"/>
  </w:num>
  <w:num w:numId="42">
    <w:abstractNumId w:val="13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5"/>
  </w:num>
  <w:num w:numId="46">
    <w:abstractNumId w:val="8"/>
  </w:num>
  <w:num w:numId="47">
    <w:abstractNumId w:val="29"/>
  </w:num>
  <w:num w:numId="48">
    <w:abstractNumId w:val="10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7F"/>
    <w:rsid w:val="000135FE"/>
    <w:rsid w:val="00027670"/>
    <w:rsid w:val="00080BE0"/>
    <w:rsid w:val="000A252A"/>
    <w:rsid w:val="000A401E"/>
    <w:rsid w:val="000D7D1F"/>
    <w:rsid w:val="000E1D6A"/>
    <w:rsid w:val="00126172"/>
    <w:rsid w:val="0012641B"/>
    <w:rsid w:val="00152CBA"/>
    <w:rsid w:val="00161559"/>
    <w:rsid w:val="00192EA8"/>
    <w:rsid w:val="00196033"/>
    <w:rsid w:val="001B0EB2"/>
    <w:rsid w:val="001F68B0"/>
    <w:rsid w:val="001F6E0A"/>
    <w:rsid w:val="00276920"/>
    <w:rsid w:val="002B44DD"/>
    <w:rsid w:val="002D6A32"/>
    <w:rsid w:val="002F3EB7"/>
    <w:rsid w:val="00345A0F"/>
    <w:rsid w:val="003E78A6"/>
    <w:rsid w:val="00415159"/>
    <w:rsid w:val="00417E36"/>
    <w:rsid w:val="00462D13"/>
    <w:rsid w:val="00474D96"/>
    <w:rsid w:val="004910B2"/>
    <w:rsid w:val="004A799A"/>
    <w:rsid w:val="005006B4"/>
    <w:rsid w:val="00501EB3"/>
    <w:rsid w:val="00504D64"/>
    <w:rsid w:val="0055421D"/>
    <w:rsid w:val="00583641"/>
    <w:rsid w:val="00594A36"/>
    <w:rsid w:val="005A47A7"/>
    <w:rsid w:val="005B1D4A"/>
    <w:rsid w:val="005B24C7"/>
    <w:rsid w:val="005E0F4B"/>
    <w:rsid w:val="005E74A6"/>
    <w:rsid w:val="00605EEB"/>
    <w:rsid w:val="006A1A8D"/>
    <w:rsid w:val="006B3302"/>
    <w:rsid w:val="006B3BC9"/>
    <w:rsid w:val="006D3BB9"/>
    <w:rsid w:val="006F7FB6"/>
    <w:rsid w:val="00751602"/>
    <w:rsid w:val="007A48C9"/>
    <w:rsid w:val="0080636D"/>
    <w:rsid w:val="0081794D"/>
    <w:rsid w:val="0082613C"/>
    <w:rsid w:val="00827002"/>
    <w:rsid w:val="00846B91"/>
    <w:rsid w:val="00860C49"/>
    <w:rsid w:val="00865D7B"/>
    <w:rsid w:val="008D77F7"/>
    <w:rsid w:val="008E71FB"/>
    <w:rsid w:val="00910CB1"/>
    <w:rsid w:val="00912100"/>
    <w:rsid w:val="00921F88"/>
    <w:rsid w:val="009B0865"/>
    <w:rsid w:val="009C2B4A"/>
    <w:rsid w:val="009F6922"/>
    <w:rsid w:val="00A51802"/>
    <w:rsid w:val="00A73568"/>
    <w:rsid w:val="00A75097"/>
    <w:rsid w:val="00A85D4B"/>
    <w:rsid w:val="00A9389F"/>
    <w:rsid w:val="00B26495"/>
    <w:rsid w:val="00B53E11"/>
    <w:rsid w:val="00B55916"/>
    <w:rsid w:val="00B5768D"/>
    <w:rsid w:val="00B83E8E"/>
    <w:rsid w:val="00BF1EA8"/>
    <w:rsid w:val="00C51661"/>
    <w:rsid w:val="00C54CCC"/>
    <w:rsid w:val="00C8327F"/>
    <w:rsid w:val="00CB5109"/>
    <w:rsid w:val="00CD28C7"/>
    <w:rsid w:val="00CE4B38"/>
    <w:rsid w:val="00D1612A"/>
    <w:rsid w:val="00DA059D"/>
    <w:rsid w:val="00DA773E"/>
    <w:rsid w:val="00DB4A2E"/>
    <w:rsid w:val="00DC0497"/>
    <w:rsid w:val="00DC05C9"/>
    <w:rsid w:val="00DC3F6C"/>
    <w:rsid w:val="00DE36C7"/>
    <w:rsid w:val="00E0640E"/>
    <w:rsid w:val="00E2753B"/>
    <w:rsid w:val="00E45C72"/>
    <w:rsid w:val="00EC56AF"/>
    <w:rsid w:val="00EF440F"/>
    <w:rsid w:val="00F12A6A"/>
    <w:rsid w:val="00F30FD4"/>
    <w:rsid w:val="00F6012E"/>
    <w:rsid w:val="00F646FC"/>
    <w:rsid w:val="00F85857"/>
    <w:rsid w:val="00FA2F23"/>
    <w:rsid w:val="00FB24C8"/>
    <w:rsid w:val="00F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4C27D1"/>
  <w15:chartTrackingRefBased/>
  <w15:docId w15:val="{FC1466DA-7E70-4425-AD42-CE2C3339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68B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E8E"/>
    <w:pPr>
      <w:ind w:left="720"/>
      <w:contextualSpacing/>
    </w:pPr>
  </w:style>
  <w:style w:type="table" w:styleId="Tabela-Siatka">
    <w:name w:val="Table Grid"/>
    <w:basedOn w:val="Standardowy"/>
    <w:uiPriority w:val="39"/>
    <w:rsid w:val="005B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AF"/>
  </w:style>
  <w:style w:type="paragraph" w:styleId="Stopka">
    <w:name w:val="footer"/>
    <w:basedOn w:val="Normalny"/>
    <w:link w:val="StopkaZnak"/>
    <w:uiPriority w:val="99"/>
    <w:unhideWhenUsed/>
    <w:rsid w:val="00EC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AF"/>
  </w:style>
  <w:style w:type="character" w:styleId="Hipercze">
    <w:name w:val="Hyperlink"/>
    <w:basedOn w:val="Domylnaczcionkaakapitu"/>
    <w:uiPriority w:val="99"/>
    <w:unhideWhenUsed/>
    <w:rsid w:val="004A79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Pacała</dc:creator>
  <cp:keywords/>
  <dc:description/>
  <cp:lastModifiedBy>Kopacka-Biculewicz Marzena</cp:lastModifiedBy>
  <cp:revision>7</cp:revision>
  <dcterms:created xsi:type="dcterms:W3CDTF">2023-05-22T11:33:00Z</dcterms:created>
  <dcterms:modified xsi:type="dcterms:W3CDTF">2024-07-12T07:00:00Z</dcterms:modified>
</cp:coreProperties>
</file>