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1029E894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A00257">
        <w:rPr>
          <w:rFonts w:ascii="Arial" w:hAnsi="Arial" w:cs="Arial"/>
          <w:b/>
          <w:sz w:val="22"/>
          <w:szCs w:val="22"/>
        </w:rPr>
        <w:t>10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3B6905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3CDBAA10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 xml:space="preserve">2019 </w:t>
            </w:r>
            <w:r w:rsidRPr="003210E5">
              <w:rPr>
                <w:rFonts w:ascii="Arial" w:hAnsi="Arial" w:cs="Arial"/>
              </w:rPr>
              <w:t xml:space="preserve">poz. 2019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ze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737609E0" w14:textId="77777777" w:rsidR="005B1CCD" w:rsidRDefault="005E622E" w:rsidP="005B1CC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</w:p>
    <w:p w14:paraId="60EBA280" w14:textId="344C57D2" w:rsidR="0087006C" w:rsidRPr="005B1CCD" w:rsidRDefault="005B1CCD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1CCD">
        <w:rPr>
          <w:rFonts w:ascii="Arial" w:hAnsi="Arial" w:cs="Arial"/>
          <w:b/>
          <w:sz w:val="22"/>
          <w:szCs w:val="22"/>
        </w:rPr>
        <w:t>ŚRODKI DEZYNFEKCYJNE, DEZYNSEKCYJNE I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B1CCD">
        <w:rPr>
          <w:rFonts w:ascii="Arial" w:hAnsi="Arial" w:cs="Arial"/>
          <w:b/>
          <w:sz w:val="22"/>
          <w:szCs w:val="22"/>
        </w:rPr>
        <w:t>DERATYZACYJNE</w:t>
      </w:r>
      <w:r w:rsidRPr="005B1CCD">
        <w:rPr>
          <w:rFonts w:ascii="Arial" w:hAnsi="Arial" w:cs="Arial"/>
          <w:b/>
          <w:iCs/>
          <w:sz w:val="22"/>
          <w:szCs w:val="22"/>
        </w:rPr>
        <w:t xml:space="preserve">              </w:t>
      </w:r>
      <w:bookmarkStart w:id="0" w:name="_GoBack"/>
      <w:bookmarkEnd w:id="0"/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7777777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669237F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(Dz. U. z 2020 r. poz. 1076 i 1086),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B6905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B1CCD"/>
    <w:rsid w:val="005C0282"/>
    <w:rsid w:val="005C3627"/>
    <w:rsid w:val="005E622E"/>
    <w:rsid w:val="00604D81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00257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F664-C37E-468D-9A56-56126F70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</TotalTime>
  <Pages>1</Pages>
  <Words>189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22</cp:revision>
  <cp:lastPrinted>2010-01-07T09:39:00Z</cp:lastPrinted>
  <dcterms:created xsi:type="dcterms:W3CDTF">2021-01-28T12:14:00Z</dcterms:created>
  <dcterms:modified xsi:type="dcterms:W3CDTF">2022-04-13T06:57:00Z</dcterms:modified>
</cp:coreProperties>
</file>