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60ED9C5E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2D61BA">
        <w:rPr>
          <w:rFonts w:cs="Calibri"/>
          <w:b/>
          <w:sz w:val="20"/>
          <w:szCs w:val="20"/>
        </w:rPr>
        <w:t>22</w:t>
      </w:r>
      <w:r w:rsidR="00E660CD">
        <w:rPr>
          <w:rFonts w:cs="Calibri"/>
          <w:b/>
          <w:sz w:val="20"/>
          <w:szCs w:val="20"/>
        </w:rPr>
        <w:t>-11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30519" w:rsidRPr="006B43D6">
        <w:rPr>
          <w:rFonts w:cs="Calibri"/>
          <w:b/>
          <w:sz w:val="20"/>
          <w:szCs w:val="20"/>
        </w:rPr>
        <w:t>3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63BE73C1" w:rsidR="00A71C27" w:rsidRPr="005110A3" w:rsidRDefault="005110A3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5110A3">
        <w:rPr>
          <w:b/>
          <w:i/>
          <w:color w:val="4472C4" w:themeColor="accent1"/>
        </w:rPr>
        <w:t>„Sukcesywne dostawy asortymentu jednorazowego i wielorazowego użytku na potrzeby dla Szpitali Pomorskich Sp. z o. o.”</w:t>
      </w:r>
      <w:r w:rsidR="00EA572D">
        <w:rPr>
          <w:b/>
          <w:i/>
          <w:color w:val="4472C4" w:themeColor="accent1"/>
        </w:rPr>
        <w:t xml:space="preserve"> </w:t>
      </w:r>
      <w:r w:rsidR="00A71C27" w:rsidRPr="00C02BA5">
        <w:rPr>
          <w:b/>
          <w:i/>
          <w:color w:val="4472C4" w:themeColor="accent1"/>
        </w:rPr>
        <w:t>Nr sprawy  - D25M/251/N/</w:t>
      </w:r>
      <w:r w:rsidR="00BE39D6">
        <w:rPr>
          <w:b/>
          <w:i/>
          <w:color w:val="4472C4" w:themeColor="accent1"/>
        </w:rPr>
        <w:t>33</w:t>
      </w:r>
      <w:r w:rsidR="00A71C27" w:rsidRPr="00C02BA5">
        <w:rPr>
          <w:b/>
          <w:i/>
          <w:color w:val="4472C4" w:themeColor="accent1"/>
        </w:rPr>
        <w:t>-</w:t>
      </w:r>
      <w:r w:rsidR="00BE39D6">
        <w:rPr>
          <w:b/>
          <w:i/>
          <w:color w:val="4472C4" w:themeColor="accent1"/>
        </w:rPr>
        <w:t>63</w:t>
      </w:r>
      <w:r w:rsidR="00A71C27"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361FE18D" w14:textId="2CB83732" w:rsidR="002D61BA" w:rsidRPr="000D26D6" w:rsidRDefault="002D61BA" w:rsidP="002D61BA">
      <w:pPr>
        <w:jc w:val="both"/>
        <w:rPr>
          <w:rFonts w:cs="Calibri"/>
          <w:sz w:val="20"/>
          <w:szCs w:val="20"/>
          <w:lang w:bidi="en-US"/>
        </w:rPr>
      </w:pPr>
      <w:r w:rsidRPr="002D61BA">
        <w:rPr>
          <w:rFonts w:cs="Calibri"/>
          <w:sz w:val="20"/>
          <w:szCs w:val="20"/>
          <w:lang w:bidi="en-US"/>
        </w:rPr>
        <w:t xml:space="preserve">Zamawiający – Szpitale Pomorskie Sp. z o. o. z siedzibą w Gdyni, na podstawie treści art. 286 ust. 1  ustawy z dnia 11 września 2019 roku – Prawo zamówień publicznych (Dz. U. z 2023 r. poz. 1605 ze zm.), zwanej dalej ustawą </w:t>
      </w:r>
      <w:proofErr w:type="spellStart"/>
      <w:r w:rsidRPr="002D61BA">
        <w:rPr>
          <w:rFonts w:cs="Calibri"/>
          <w:sz w:val="20"/>
          <w:szCs w:val="20"/>
          <w:lang w:bidi="en-US"/>
        </w:rPr>
        <w:t>Pzp</w:t>
      </w:r>
      <w:proofErr w:type="spellEnd"/>
      <w:r w:rsidRPr="002D61BA">
        <w:rPr>
          <w:rFonts w:cs="Calibri"/>
          <w:sz w:val="20"/>
          <w:szCs w:val="20"/>
          <w:lang w:bidi="en-US"/>
        </w:rPr>
        <w:t>, informuje o zmianie treści SWZ w następującym zakresie:</w:t>
      </w:r>
      <w:bookmarkStart w:id="0" w:name="_GoBack"/>
      <w:bookmarkEnd w:id="0"/>
    </w:p>
    <w:p w14:paraId="001CC03C" w14:textId="77777777" w:rsidR="002D61BA" w:rsidRPr="002D61BA" w:rsidRDefault="002D61BA" w:rsidP="002D61BA">
      <w:pPr>
        <w:jc w:val="both"/>
        <w:rPr>
          <w:rFonts w:cs="Calibri"/>
          <w:b/>
          <w:sz w:val="20"/>
          <w:szCs w:val="20"/>
          <w:lang w:bidi="en-US"/>
        </w:rPr>
      </w:pPr>
      <w:r w:rsidRPr="002D61BA">
        <w:rPr>
          <w:rFonts w:cs="Calibri"/>
          <w:b/>
          <w:sz w:val="20"/>
          <w:szCs w:val="20"/>
          <w:lang w:bidi="en-US"/>
        </w:rPr>
        <w:t>XIII. Termin związania ofertą.</w:t>
      </w:r>
    </w:p>
    <w:p w14:paraId="382FF785" w14:textId="1EFB60AB" w:rsidR="002D61BA" w:rsidRPr="002D61BA" w:rsidRDefault="002D61BA" w:rsidP="002D61BA">
      <w:pPr>
        <w:jc w:val="both"/>
        <w:rPr>
          <w:rFonts w:cs="Calibri"/>
          <w:b/>
          <w:sz w:val="20"/>
          <w:szCs w:val="20"/>
          <w:lang w:bidi="en-US"/>
        </w:rPr>
      </w:pPr>
      <w:r w:rsidRPr="002D61BA">
        <w:rPr>
          <w:rFonts w:cs="Calibri"/>
          <w:b/>
          <w:sz w:val="20"/>
          <w:szCs w:val="20"/>
          <w:lang w:bidi="en-US"/>
        </w:rPr>
        <w:t>1.</w:t>
      </w:r>
      <w:r w:rsidRPr="002D61BA">
        <w:rPr>
          <w:rFonts w:cs="Calibri"/>
          <w:b/>
          <w:sz w:val="20"/>
          <w:szCs w:val="20"/>
          <w:lang w:bidi="en-US"/>
        </w:rPr>
        <w:tab/>
        <w:t xml:space="preserve">Wykonawca składający ofertę pozostaje nią związany przez okres </w:t>
      </w:r>
      <w:r>
        <w:rPr>
          <w:rFonts w:cs="Calibri"/>
          <w:b/>
          <w:sz w:val="20"/>
          <w:szCs w:val="20"/>
          <w:lang w:bidi="en-US"/>
        </w:rPr>
        <w:t>9</w:t>
      </w:r>
      <w:r w:rsidRPr="002D61BA">
        <w:rPr>
          <w:rFonts w:cs="Calibri"/>
          <w:b/>
          <w:sz w:val="20"/>
          <w:szCs w:val="20"/>
          <w:lang w:bidi="en-US"/>
        </w:rPr>
        <w:t xml:space="preserve">0 dni to jest do dnia </w:t>
      </w:r>
      <w:r w:rsidRPr="002D61BA">
        <w:rPr>
          <w:rFonts w:cs="Calibri"/>
          <w:b/>
          <w:color w:val="FF0000"/>
          <w:sz w:val="20"/>
          <w:szCs w:val="20"/>
          <w:lang w:bidi="en-US"/>
        </w:rPr>
        <w:t xml:space="preserve">02.03.2024 </w:t>
      </w:r>
      <w:r w:rsidRPr="002D61BA">
        <w:rPr>
          <w:rFonts w:cs="Calibri"/>
          <w:b/>
          <w:sz w:val="20"/>
          <w:szCs w:val="20"/>
          <w:lang w:bidi="en-US"/>
        </w:rPr>
        <w:t xml:space="preserve">roku. </w:t>
      </w:r>
    </w:p>
    <w:p w14:paraId="23378867" w14:textId="77777777" w:rsidR="002D61BA" w:rsidRPr="002D61BA" w:rsidRDefault="002D61BA" w:rsidP="00FE0460">
      <w:pPr>
        <w:rPr>
          <w:rFonts w:cs="Calibri"/>
          <w:b/>
          <w:sz w:val="20"/>
          <w:szCs w:val="20"/>
          <w:lang w:bidi="en-US"/>
        </w:rPr>
      </w:pPr>
      <w:r w:rsidRPr="002D61BA">
        <w:rPr>
          <w:rFonts w:cs="Calibri"/>
          <w:b/>
          <w:sz w:val="20"/>
          <w:szCs w:val="20"/>
          <w:lang w:bidi="en-US"/>
        </w:rPr>
        <w:t>XIV.MIEJSCE ORAZ TERMIN SKŁADANIA I OTWARCIA OFERT ORAZ INNE CZYNNOŚCI PO OTWARCIU OFERT</w:t>
      </w:r>
    </w:p>
    <w:p w14:paraId="24789E27" w14:textId="6C160329" w:rsidR="002D61BA" w:rsidRPr="00264B8E" w:rsidRDefault="002D61BA" w:rsidP="00FE0460">
      <w:pPr>
        <w:pStyle w:val="Akapitzlist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264B8E">
        <w:rPr>
          <w:rFonts w:cs="Calibri"/>
          <w:b/>
          <w:sz w:val="20"/>
          <w:szCs w:val="20"/>
          <w:lang w:bidi="en-US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Pr="00264B8E">
        <w:rPr>
          <w:rFonts w:cs="Calibri"/>
          <w:b/>
          <w:color w:val="FF0000"/>
          <w:sz w:val="20"/>
          <w:szCs w:val="20"/>
          <w:lang w:bidi="en-US"/>
        </w:rPr>
        <w:t>04.12.2023 r</w:t>
      </w:r>
      <w:r w:rsidRPr="00264B8E">
        <w:rPr>
          <w:rFonts w:cs="Calibri"/>
          <w:b/>
          <w:sz w:val="20"/>
          <w:szCs w:val="20"/>
          <w:lang w:bidi="en-US"/>
        </w:rPr>
        <w:t xml:space="preserve">. do godz. 09:00 pod rygorem nieważności za pośrednictwem Platformy Zakupowej (https://www.platformazakupowa.pl/pn/szpitalepomorskie). Ryzyko błędnego doręczenia oferty obciąża Wykonawcę. </w:t>
      </w:r>
    </w:p>
    <w:p w14:paraId="458FF993" w14:textId="7FDB9AB1" w:rsidR="002D61BA" w:rsidRPr="00334A11" w:rsidRDefault="00264B8E" w:rsidP="00334A11">
      <w:pPr>
        <w:pStyle w:val="Akapitzlist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264B8E">
        <w:rPr>
          <w:rFonts w:cs="Calibri"/>
          <w:b/>
          <w:sz w:val="20"/>
          <w:szCs w:val="20"/>
          <w:lang w:bidi="en-US"/>
        </w:rPr>
        <w:t xml:space="preserve">Próbki jako element oferty należy złożyć do dnia </w:t>
      </w:r>
      <w:r w:rsidRPr="00991549">
        <w:rPr>
          <w:rFonts w:cs="Calibri"/>
          <w:b/>
          <w:color w:val="FF0000"/>
          <w:sz w:val="20"/>
          <w:szCs w:val="20"/>
          <w:lang w:bidi="en-US"/>
        </w:rPr>
        <w:t xml:space="preserve">04.12.2023 </w:t>
      </w:r>
      <w:r w:rsidRPr="00264B8E">
        <w:rPr>
          <w:rFonts w:cs="Calibri"/>
          <w:b/>
          <w:sz w:val="20"/>
          <w:szCs w:val="20"/>
          <w:lang w:bidi="en-US"/>
        </w:rPr>
        <w:t xml:space="preserve">r. do godz. 09:00 w Kancelarii Szpitala, ul. Powstania Styczniowego 1, 81-519 Gdynia, budynek nr 6. Próbki muszą być zabezpieczone i zapakowane oraz opisane „Próbki do postępowania na „Sukcesywne dostawy asortymentu jednorazowego i wielorazowego użytku na potrzeby 4 lokalizacji Szpitali Pomorskich” – nie otwierać przed </w:t>
      </w:r>
      <w:r w:rsidRPr="00991549">
        <w:rPr>
          <w:rFonts w:cs="Calibri"/>
          <w:b/>
          <w:color w:val="FF0000"/>
          <w:sz w:val="20"/>
          <w:szCs w:val="20"/>
          <w:lang w:bidi="en-US"/>
        </w:rPr>
        <w:t>04.12.2023 r</w:t>
      </w:r>
      <w:r w:rsidRPr="00264B8E">
        <w:rPr>
          <w:rFonts w:cs="Calibri"/>
          <w:b/>
          <w:sz w:val="20"/>
          <w:szCs w:val="20"/>
          <w:lang w:bidi="en-US"/>
        </w:rPr>
        <w:t>. godz. 09:30”.</w:t>
      </w:r>
    </w:p>
    <w:p w14:paraId="292894B4" w14:textId="32C3448A" w:rsidR="001C627C" w:rsidRDefault="002D61BA" w:rsidP="00334A11">
      <w:pPr>
        <w:jc w:val="both"/>
        <w:rPr>
          <w:rFonts w:cs="Calibri"/>
          <w:b/>
          <w:sz w:val="20"/>
          <w:szCs w:val="20"/>
          <w:lang w:bidi="en-US"/>
        </w:rPr>
      </w:pPr>
      <w:r w:rsidRPr="002D61BA">
        <w:rPr>
          <w:rFonts w:cs="Calibri"/>
          <w:b/>
          <w:sz w:val="20"/>
          <w:szCs w:val="20"/>
          <w:lang w:bidi="en-US"/>
        </w:rPr>
        <w:t>W załączeniu Ogłoszenie o zmianie ogłoszenia nr</w:t>
      </w:r>
      <w:r w:rsidR="00334A11">
        <w:rPr>
          <w:rFonts w:cs="Calibri"/>
          <w:b/>
          <w:sz w:val="20"/>
          <w:szCs w:val="20"/>
          <w:lang w:bidi="en-US"/>
        </w:rPr>
        <w:t xml:space="preserve"> </w:t>
      </w:r>
      <w:r w:rsidR="00334A11" w:rsidRPr="00334A11">
        <w:rPr>
          <w:rFonts w:cs="Calibri"/>
          <w:b/>
          <w:sz w:val="20"/>
          <w:szCs w:val="20"/>
          <w:lang w:bidi="en-US"/>
        </w:rPr>
        <w:t>2023/S 225-709341</w:t>
      </w:r>
      <w:r w:rsidRPr="002D61BA">
        <w:rPr>
          <w:rFonts w:cs="Calibri"/>
          <w:b/>
          <w:sz w:val="20"/>
          <w:szCs w:val="20"/>
          <w:lang w:bidi="en-US"/>
        </w:rPr>
        <w:t xml:space="preserve"> </w:t>
      </w:r>
      <w:r w:rsidR="00334A11" w:rsidRPr="00334A11">
        <w:rPr>
          <w:rFonts w:cs="Calibri"/>
          <w:b/>
          <w:sz w:val="20"/>
          <w:szCs w:val="20"/>
          <w:lang w:bidi="en-US"/>
        </w:rPr>
        <w:t>Sprostowanie</w:t>
      </w:r>
      <w:r w:rsidR="00334A11">
        <w:rPr>
          <w:rFonts w:cs="Calibri"/>
          <w:b/>
          <w:sz w:val="20"/>
          <w:szCs w:val="20"/>
          <w:lang w:bidi="en-US"/>
        </w:rPr>
        <w:t xml:space="preserve"> </w:t>
      </w:r>
      <w:r w:rsidR="00334A11" w:rsidRPr="00334A11">
        <w:rPr>
          <w:rFonts w:cs="Calibri"/>
          <w:b/>
          <w:sz w:val="20"/>
          <w:szCs w:val="20"/>
          <w:lang w:bidi="en-US"/>
        </w:rPr>
        <w:t>Ogłoszenie zmian lub dodatkowych informacji</w:t>
      </w:r>
      <w:r w:rsidR="00334A11">
        <w:rPr>
          <w:rFonts w:cs="Calibri"/>
          <w:b/>
          <w:sz w:val="20"/>
          <w:szCs w:val="20"/>
          <w:lang w:bidi="en-US"/>
        </w:rPr>
        <w:t xml:space="preserve"> </w:t>
      </w:r>
      <w:r w:rsidR="00334A11" w:rsidRPr="00334A11">
        <w:rPr>
          <w:rFonts w:cs="Calibri"/>
          <w:b/>
          <w:sz w:val="20"/>
          <w:szCs w:val="20"/>
          <w:lang w:bidi="en-US"/>
        </w:rPr>
        <w:t>Dostawy</w:t>
      </w:r>
      <w:r w:rsidR="00334A11">
        <w:rPr>
          <w:rFonts w:cs="Calibri"/>
          <w:b/>
          <w:sz w:val="20"/>
          <w:szCs w:val="20"/>
          <w:lang w:bidi="en-US"/>
        </w:rPr>
        <w:t xml:space="preserve"> </w:t>
      </w:r>
      <w:r w:rsidR="00334A11" w:rsidRPr="00334A11">
        <w:rPr>
          <w:rFonts w:cs="Calibri"/>
          <w:b/>
          <w:sz w:val="20"/>
          <w:szCs w:val="20"/>
          <w:lang w:bidi="en-US"/>
        </w:rPr>
        <w:t>(Suplement do Dziennika Urzędowego Unii Europejskiej, 2023/S 205-643541)</w:t>
      </w:r>
      <w:r w:rsidRPr="002D61BA">
        <w:rPr>
          <w:rFonts w:cs="Calibri"/>
          <w:b/>
          <w:sz w:val="20"/>
          <w:szCs w:val="20"/>
          <w:lang w:bidi="en-US"/>
        </w:rPr>
        <w:t>z dnia 2023-11-</w:t>
      </w:r>
      <w:r>
        <w:rPr>
          <w:rFonts w:cs="Calibri"/>
          <w:b/>
          <w:sz w:val="20"/>
          <w:szCs w:val="20"/>
          <w:lang w:bidi="en-US"/>
        </w:rPr>
        <w:t>22</w:t>
      </w:r>
      <w:r w:rsidRPr="002D61BA">
        <w:rPr>
          <w:rFonts w:cs="Calibri"/>
          <w:b/>
          <w:sz w:val="20"/>
          <w:szCs w:val="20"/>
          <w:lang w:bidi="en-US"/>
        </w:rPr>
        <w:t>.</w:t>
      </w:r>
    </w:p>
    <w:p w14:paraId="38EE51BF" w14:textId="0829214D" w:rsidR="005E4E90" w:rsidRDefault="005E4E90" w:rsidP="005E4E90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II.</w:t>
      </w:r>
      <w:r w:rsidR="00334A11">
        <w:rPr>
          <w:rFonts w:cstheme="minorHAnsi"/>
          <w:sz w:val="20"/>
          <w:szCs w:val="20"/>
          <w:lang w:bidi="en-US"/>
        </w:rPr>
        <w:t xml:space="preserve"> </w:t>
      </w:r>
      <w:r w:rsidRPr="009706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970660">
        <w:rPr>
          <w:rFonts w:cstheme="minorHAnsi"/>
          <w:sz w:val="20"/>
          <w:szCs w:val="20"/>
        </w:rPr>
        <w:t>na podstawie treści art. 286 ust. 1  ustawy z dnia 11 września 2019 roku – Prawo zamówień publicznych (</w:t>
      </w:r>
      <w:r w:rsidRPr="00970660">
        <w:rPr>
          <w:rFonts w:cstheme="minorHAnsi"/>
          <w:sz w:val="20"/>
          <w:szCs w:val="20"/>
          <w:lang w:bidi="en-US"/>
        </w:rPr>
        <w:t>Dz. U. z 2023 r. poz. 1605 ze zm.</w:t>
      </w:r>
      <w:r w:rsidRPr="00970660">
        <w:rPr>
          <w:rFonts w:cstheme="minorHAnsi"/>
          <w:sz w:val="20"/>
          <w:szCs w:val="20"/>
        </w:rPr>
        <w:t xml:space="preserve">), </w:t>
      </w:r>
      <w:r w:rsidRPr="009706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Pr="00970660">
        <w:rPr>
          <w:rFonts w:cstheme="minorHAnsi"/>
          <w:sz w:val="20"/>
          <w:szCs w:val="20"/>
          <w:lang w:bidi="en-US"/>
        </w:rPr>
        <w:t>Pzp</w:t>
      </w:r>
      <w:proofErr w:type="spellEnd"/>
      <w:r w:rsidRPr="00970660">
        <w:rPr>
          <w:rFonts w:cstheme="minorHAnsi"/>
          <w:sz w:val="20"/>
          <w:szCs w:val="20"/>
          <w:lang w:bidi="en-US"/>
        </w:rPr>
        <w:t>, informuje o zmianie treści SWZ w następującym zakresie:</w:t>
      </w:r>
    </w:p>
    <w:p w14:paraId="29C2CE40" w14:textId="77777777" w:rsidR="005E4E90" w:rsidRPr="00970660" w:rsidRDefault="005E4E90" w:rsidP="005E4E90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16F3A21" w14:textId="77777777" w:rsidR="005E4E90" w:rsidRPr="00DF4A63" w:rsidRDefault="005E4E90" w:rsidP="005E4E90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/>
          <w:b/>
          <w:spacing w:val="2"/>
          <w:sz w:val="20"/>
          <w:szCs w:val="20"/>
        </w:rPr>
      </w:pPr>
      <w:r>
        <w:rPr>
          <w:rFonts w:ascii="Calibri" w:hAnsi="Calibri"/>
          <w:b/>
          <w:spacing w:val="5"/>
          <w:sz w:val="20"/>
          <w:szCs w:val="20"/>
        </w:rPr>
        <w:t>XVII.</w:t>
      </w:r>
      <w:r w:rsidRPr="00DF4A63">
        <w:rPr>
          <w:rFonts w:ascii="Calibri" w:hAnsi="Calibri"/>
          <w:b/>
          <w:spacing w:val="5"/>
          <w:sz w:val="20"/>
          <w:szCs w:val="20"/>
        </w:rPr>
        <w:t>OPIS KRYTERIÓW, KTÓRYMI ZAMAWIAJĄCY BĘDZIE SIĘ KIEROWAŁ PRZY WYBORZE OFERTY, WRAZ Z PODANIEM</w:t>
      </w:r>
      <w:r w:rsidRPr="00DF4A63">
        <w:rPr>
          <w:rFonts w:ascii="Calibri" w:hAnsi="Calibri"/>
          <w:b/>
          <w:spacing w:val="2"/>
          <w:sz w:val="20"/>
          <w:szCs w:val="20"/>
        </w:rPr>
        <w:t xml:space="preserve"> WAG TYCH KRYTERIÓW I SPOSOBU OCENY OFERT</w:t>
      </w:r>
      <w:r w:rsidRPr="00DF4A63">
        <w:rPr>
          <w:rFonts w:ascii="Calibri" w:hAnsi="Calibri"/>
          <w:spacing w:val="5"/>
          <w:sz w:val="20"/>
          <w:szCs w:val="20"/>
        </w:rPr>
        <w:br/>
      </w:r>
    </w:p>
    <w:p w14:paraId="1315C567" w14:textId="77777777" w:rsidR="005E4E90" w:rsidRDefault="005E4E90" w:rsidP="005E4E9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rPr>
          <w:rFonts w:ascii="Calibri" w:hAnsi="Calibri"/>
          <w:sz w:val="20"/>
          <w:szCs w:val="20"/>
        </w:rPr>
      </w:pPr>
      <w:r w:rsidRPr="00DF4A63">
        <w:rPr>
          <w:rFonts w:ascii="Calibri" w:hAnsi="Calibri"/>
          <w:sz w:val="20"/>
          <w:szCs w:val="20"/>
        </w:rPr>
        <w:t>Wszystkie oferty nie podlegające odrzuceniu oceniane będą na podstawie następujących kryteriów:</w:t>
      </w:r>
      <w:r>
        <w:rPr>
          <w:rFonts w:ascii="Calibri" w:hAnsi="Calibri"/>
          <w:sz w:val="20"/>
          <w:szCs w:val="20"/>
        </w:rPr>
        <w:t xml:space="preserve"> </w:t>
      </w:r>
    </w:p>
    <w:p w14:paraId="4542C9D9" w14:textId="701713F5" w:rsidR="005E4E90" w:rsidRDefault="005E4E90" w:rsidP="005E4E90">
      <w:pPr>
        <w:widowControl w:val="0"/>
        <w:autoSpaceDE w:val="0"/>
        <w:autoSpaceDN w:val="0"/>
        <w:spacing w:after="0" w:line="240" w:lineRule="auto"/>
        <w:ind w:left="567"/>
        <w:rPr>
          <w:rFonts w:ascii="Calibri" w:hAnsi="Calibri"/>
          <w:sz w:val="20"/>
          <w:szCs w:val="20"/>
        </w:rPr>
      </w:pPr>
      <w:r w:rsidRPr="00A81F41">
        <w:rPr>
          <w:rFonts w:ascii="Calibri" w:hAnsi="Calibri"/>
          <w:color w:val="FF0000"/>
          <w:sz w:val="20"/>
          <w:szCs w:val="20"/>
        </w:rPr>
        <w:t>Dla zadania 1,2,3,4,5,6,7,8,9,11,12,13,14,16,17,18</w:t>
      </w:r>
    </w:p>
    <w:p w14:paraId="2E4663F9" w14:textId="77777777" w:rsidR="005E4E90" w:rsidRPr="003005F2" w:rsidRDefault="005E4E90" w:rsidP="005E4E90">
      <w:pPr>
        <w:ind w:left="567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5E4E90" w:rsidRPr="00DF4A63" w14:paraId="3FE93F99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5D760EA3" w14:textId="77777777" w:rsidR="005E4E90" w:rsidRPr="00DF4A63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151C727C" w14:textId="77777777" w:rsidR="005E4E90" w:rsidRPr="00DF4A63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7F60CEC4" w14:textId="77777777" w:rsidR="005E4E90" w:rsidRPr="00DF4A63" w:rsidRDefault="005E4E90" w:rsidP="00A0041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RANGA</w:t>
            </w:r>
          </w:p>
        </w:tc>
      </w:tr>
      <w:tr w:rsidR="005E4E90" w:rsidRPr="00DF4A63" w14:paraId="4BFA3ABB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996F0" w14:textId="77777777" w:rsidR="005E4E90" w:rsidRPr="00DF4A63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06488" w14:textId="77777777" w:rsidR="005E4E90" w:rsidRPr="00DF4A63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DF4A63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D8C3F" w14:textId="77777777" w:rsidR="005E4E90" w:rsidRPr="00DF4A63" w:rsidRDefault="005E4E90" w:rsidP="00A0041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  <w:r w:rsidRPr="00DF4A63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5E4E90" w:rsidRPr="00DF4A63" w14:paraId="5B236212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BFCB6" w14:textId="77777777" w:rsidR="005E4E90" w:rsidRPr="003005F2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AB7B9" w14:textId="77777777" w:rsidR="005E4E90" w:rsidRPr="00EB5F6F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5A5A10">
              <w:rPr>
                <w:rFonts w:ascii="Calibri" w:hAnsi="Calibri"/>
                <w:sz w:val="20"/>
                <w:szCs w:val="20"/>
              </w:rPr>
              <w:t>Termin dostawy zamówienia częściowego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6F35F" w14:textId="77777777" w:rsidR="005E4E90" w:rsidRPr="003005F2" w:rsidRDefault="005E4E90" w:rsidP="00A0041D">
            <w:pPr>
              <w:snapToGrid w:val="0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</w:tr>
    </w:tbl>
    <w:p w14:paraId="77762F37" w14:textId="77777777" w:rsidR="005E4E90" w:rsidRPr="00DF4A63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</w:p>
    <w:p w14:paraId="0BFE59A7" w14:textId="77777777" w:rsidR="005E4E90" w:rsidRDefault="005E4E90" w:rsidP="005E4E90">
      <w:pPr>
        <w:numPr>
          <w:ilvl w:val="0"/>
          <w:numId w:val="4"/>
        </w:numPr>
        <w:autoSpaceDN w:val="0"/>
        <w:spacing w:after="0" w:line="240" w:lineRule="auto"/>
        <w:ind w:left="643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DF4A63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cena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– Zamawiający będzie oceniał ofertę w kryterium cena na podstawie oferty wskazanej przez Wykonawcę w Formularzu Oferty, obliczonej w sposób określony w pkt XVI SWZ, na podstawie podstawienia do wzoru zawartego w pkt 3 poniżej. Zamawiający przy ocenie oferty będzie brał pod uwagę cenę końcową podaną w Formularzu Oferty.</w:t>
      </w:r>
    </w:p>
    <w:p w14:paraId="37C21B22" w14:textId="77777777" w:rsidR="005E4E90" w:rsidRPr="00614642" w:rsidRDefault="005E4E90" w:rsidP="005E4E90">
      <w:pPr>
        <w:numPr>
          <w:ilvl w:val="0"/>
          <w:numId w:val="4"/>
        </w:numPr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jaką można uzyskać w kryterium cena, obliczona zostanie na podstawie następującego wzoru:</w:t>
      </w:r>
    </w:p>
    <w:p w14:paraId="2C97BB6C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= [CN / CR] x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</w:p>
    <w:p w14:paraId="53FDF06E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4FFD8FC4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CN - najniższa oferowana cena</w:t>
      </w:r>
    </w:p>
    <w:p w14:paraId="4D8129F2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CR - cena brutto oferty rozpatrywanej</w:t>
      </w:r>
    </w:p>
    <w:p w14:paraId="6F32F749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może uzyskać maksymalnie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cena.</w:t>
      </w:r>
    </w:p>
    <w:p w14:paraId="1145AB93" w14:textId="77777777" w:rsidR="005E4E90" w:rsidRPr="00614642" w:rsidRDefault="005E4E90" w:rsidP="005E4E9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będzie zaokrąglona do dwóch miejsc po przecinku.</w:t>
      </w:r>
    </w:p>
    <w:p w14:paraId="38D3EA37" w14:textId="77777777" w:rsidR="005E4E90" w:rsidRPr="00614642" w:rsidRDefault="005E4E90" w:rsidP="005E4E9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614642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termin dostawy zamówienia częściowego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– Zamawiający będzie oceniał oferty w niniejszym kryterium na podstawie zawartych w Formularzu Oferty informacji. Maksymalny dopuszczalny termin dostawy wynosi </w:t>
      </w:r>
      <w:r>
        <w:rPr>
          <w:rFonts w:ascii="Calibri" w:hAnsi="Calibri" w:cs="Calibri"/>
          <w:b/>
          <w:bCs/>
          <w:iCs/>
          <w:sz w:val="20"/>
          <w:szCs w:val="20"/>
          <w:lang w:eastAsia="ar-SA"/>
        </w:rPr>
        <w:t>2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dni robocze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.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Wykonawca oferuje konkretną liczbę dni dla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 towaru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, nie więcej niż: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2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dni robocze od momentu złożenia zamówienia (termin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należy podać w pełnych dniach roboczy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c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h). Zamawiający informuje, że nie wpisanie w Formularzu Oferty - </w:t>
      </w:r>
      <w:r w:rsidRPr="00614642">
        <w:rPr>
          <w:rFonts w:ascii="Calibri" w:hAnsi="Calibri" w:cs="Tahoma"/>
          <w:b/>
          <w:bCs/>
          <w:iCs/>
          <w:sz w:val="20"/>
          <w:szCs w:val="20"/>
          <w:lang w:eastAsia="ar-SA"/>
        </w:rPr>
        <w:t>Załącznik nr 1 do SWZ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kryterium 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żadnego terminu spowoduje, że Zamawiający uzna, iż zaoferowano maksymalny termin tj.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2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dni robocze. Zaoferowanie terminu dłuższego niż 3 dni robocze spowoduje odrzucenie oferty jako niezgodnej z SWZ.</w:t>
      </w:r>
    </w:p>
    <w:p w14:paraId="34CD0238" w14:textId="77777777" w:rsidR="005E4E90" w:rsidRPr="00614642" w:rsidRDefault="005E4E90" w:rsidP="005E4E9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w kryterium termin dostawy obliczona zostanie na podstawie następującego wzoru:</w:t>
      </w:r>
    </w:p>
    <w:p w14:paraId="37DAE7B3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PK= [TN / TR] x 5</w:t>
      </w:r>
    </w:p>
    <w:p w14:paraId="63F79132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2B8A1CD5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TN – termin dostawy najkrótszy spośród złożonych ofert</w:t>
      </w:r>
    </w:p>
    <w:p w14:paraId="6C80DFE8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TR – termin dostawy oferty rozpatrywanej</w:t>
      </w:r>
    </w:p>
    <w:p w14:paraId="271AC0E4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Wyko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nawca może uzyskać maksymalnie 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termin dostawy.</w:t>
      </w:r>
    </w:p>
    <w:p w14:paraId="4866BD2D" w14:textId="4E2AAD32" w:rsidR="005E4E90" w:rsidRPr="00244075" w:rsidRDefault="005E4E90" w:rsidP="005E4E90">
      <w:pPr>
        <w:jc w:val="both"/>
        <w:rPr>
          <w:rFonts w:cs="Calibri"/>
          <w:b/>
          <w:sz w:val="20"/>
          <w:szCs w:val="20"/>
          <w:lang w:bidi="en-US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oferty jest sumą punktów uzyskanych w kryterium „cena”, „termin dostawy zamówienia częściowego” będzie zaokrąglona do dwóch miejsc po przecinku</w:t>
      </w:r>
    </w:p>
    <w:p w14:paraId="1D76BBDC" w14:textId="5D8B3118" w:rsidR="005E4E90" w:rsidRPr="00A81F41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DF4A63">
        <w:rPr>
          <w:rFonts w:ascii="Calibri" w:hAnsi="Calibri"/>
          <w:sz w:val="20"/>
          <w:szCs w:val="20"/>
        </w:rPr>
        <w:t>Wszystkie oferty nie podlegające odrzuceniu oceniane będą na podstawie następujących kryteriów</w:t>
      </w:r>
      <w:r>
        <w:rPr>
          <w:rFonts w:ascii="Calibri" w:hAnsi="Calibri"/>
          <w:sz w:val="20"/>
          <w:szCs w:val="20"/>
        </w:rPr>
        <w:t xml:space="preserve"> dla </w:t>
      </w:r>
      <w:r w:rsidRPr="00A81F41">
        <w:rPr>
          <w:rFonts w:ascii="Calibri" w:hAnsi="Calibri"/>
          <w:b/>
          <w:color w:val="FF0000"/>
          <w:sz w:val="20"/>
          <w:szCs w:val="20"/>
        </w:rPr>
        <w:t>zadania 1</w:t>
      </w:r>
      <w:r>
        <w:rPr>
          <w:rFonts w:ascii="Calibri" w:hAnsi="Calibri"/>
          <w:b/>
          <w:color w:val="FF0000"/>
          <w:sz w:val="20"/>
          <w:szCs w:val="20"/>
        </w:rPr>
        <w:t>0</w:t>
      </w:r>
      <w:r w:rsidRPr="00A81F41">
        <w:rPr>
          <w:rFonts w:ascii="Calibri" w:hAnsi="Calibri"/>
          <w:b/>
          <w:color w:val="FF0000"/>
          <w:sz w:val="20"/>
          <w:szCs w:val="20"/>
        </w:rPr>
        <w:t>:</w:t>
      </w:r>
    </w:p>
    <w:p w14:paraId="6F11A7CF" w14:textId="77777777" w:rsidR="005E4E90" w:rsidRPr="00A81F41" w:rsidRDefault="005E4E90" w:rsidP="005E4E90">
      <w:pPr>
        <w:ind w:left="567"/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5E4E90" w:rsidRPr="00DF4A63" w14:paraId="034F66EB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135F9595" w14:textId="77777777" w:rsidR="005E4E90" w:rsidRPr="00DF4A63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54FA1F76" w14:textId="77777777" w:rsidR="005E4E90" w:rsidRPr="00DF4A63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1A95E3C3" w14:textId="77777777" w:rsidR="005E4E90" w:rsidRPr="00DF4A63" w:rsidRDefault="005E4E90" w:rsidP="00A0041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RANGA</w:t>
            </w:r>
          </w:p>
        </w:tc>
      </w:tr>
      <w:tr w:rsidR="005E4E90" w:rsidRPr="00DF4A63" w14:paraId="3154D4D6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BE5E5" w14:textId="77777777" w:rsidR="005E4E90" w:rsidRPr="00DF4A63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F2F39" w14:textId="77777777" w:rsidR="005E4E90" w:rsidRPr="00DF4A63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DF4A63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394EB" w14:textId="77777777" w:rsidR="005E4E90" w:rsidRPr="00DF4A63" w:rsidRDefault="005E4E90" w:rsidP="00A0041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  <w:r w:rsidRPr="00DF4A63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5E4E90" w:rsidRPr="00DF4A63" w14:paraId="38FAE4F1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5EAF0" w14:textId="77777777" w:rsidR="005E4E90" w:rsidRPr="003005F2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2C0D2" w14:textId="77777777" w:rsidR="005E4E90" w:rsidRPr="00EB5F6F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5A5A10">
              <w:rPr>
                <w:rFonts w:ascii="Calibri" w:hAnsi="Calibri"/>
                <w:sz w:val="20"/>
                <w:szCs w:val="20"/>
              </w:rPr>
              <w:t>Termin dostawy zamówienia częściowego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C04A4" w14:textId="77777777" w:rsidR="005E4E90" w:rsidRPr="003005F2" w:rsidRDefault="005E4E90" w:rsidP="00A0041D">
            <w:pPr>
              <w:snapToGrid w:val="0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</w:tr>
    </w:tbl>
    <w:p w14:paraId="0C2DB178" w14:textId="77777777" w:rsidR="005E4E90" w:rsidRPr="00DF4A63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</w:p>
    <w:p w14:paraId="4FFDF9BF" w14:textId="77777777" w:rsidR="005E4E90" w:rsidRDefault="005E4E90" w:rsidP="005E4E90">
      <w:pPr>
        <w:numPr>
          <w:ilvl w:val="0"/>
          <w:numId w:val="19"/>
        </w:numPr>
        <w:autoSpaceDN w:val="0"/>
        <w:spacing w:after="0" w:line="240" w:lineRule="auto"/>
        <w:ind w:left="643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DF4A63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cena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– Zamawiający będzie oceniał ofertę w kryterium cena na podstawie oferty wskazanej przez Wykonawcę w Formularzu Oferty, obliczonej w sposób określony w pkt XVI SWZ, na podstawie podstawienia do wzoru zawartego w pkt 3 poniżej. Zamawiający przy ocenie oferty będzie brał pod uwagę cenę końcową podaną w Formularzu Oferty.</w:t>
      </w:r>
    </w:p>
    <w:p w14:paraId="5D62F438" w14:textId="77777777" w:rsidR="005E4E90" w:rsidRPr="00614642" w:rsidRDefault="005E4E90" w:rsidP="005E4E90">
      <w:pPr>
        <w:numPr>
          <w:ilvl w:val="0"/>
          <w:numId w:val="19"/>
        </w:numPr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lastRenderedPageBreak/>
        <w:t>Liczba punktów jaką można uzyskać w kryterium cena, obliczona zostanie na podstawie następującego wzoru:</w:t>
      </w:r>
    </w:p>
    <w:p w14:paraId="383FEE66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= [CN / CR] x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</w:p>
    <w:p w14:paraId="07A981AB" w14:textId="0466EC5A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PK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–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ilość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punktów dla kryterium</w:t>
      </w:r>
    </w:p>
    <w:p w14:paraId="0CE042F5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CN - najniższa oferowana cena</w:t>
      </w:r>
    </w:p>
    <w:p w14:paraId="12756F92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CR - cena brutto oferty rozpatrywanej</w:t>
      </w:r>
    </w:p>
    <w:p w14:paraId="3E460137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może uzyskać maksymalnie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cena.</w:t>
      </w:r>
    </w:p>
    <w:p w14:paraId="1EA97845" w14:textId="77777777" w:rsidR="005E4E90" w:rsidRPr="00614642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będzie zaokrąglona do dwóch miejsc po przecinku.</w:t>
      </w:r>
    </w:p>
    <w:p w14:paraId="6677A803" w14:textId="252BA275" w:rsidR="005E4E90" w:rsidRPr="00614642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614642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termin dostawy zamówienia częściowego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– Zamawiający będzie oceniał oferty w niniejszym kryterium na podstawie zawartych w Formularzu Oferty informacji. Maksymalny dopuszczalny termin dostawy wynosi </w:t>
      </w:r>
      <w:r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>15 dni roboczych</w:t>
      </w:r>
      <w:r w:rsidRPr="00A81F41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.</w:t>
      </w:r>
      <w:r w:rsidRPr="00A81F41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Wykonawca oferuje konkretną liczbę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tygodni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dla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 towaru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>, nie więcej niż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>:</w:t>
      </w:r>
      <w:r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 15 dni roboczych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od momentu złożenia zamówienia (termin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należy podać w pełnych </w:t>
      </w:r>
      <w:r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>dniach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.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Zamawiający informuje, że nie wpisanie w Formularzu Oferty - </w:t>
      </w:r>
      <w:r w:rsidRPr="00614642">
        <w:rPr>
          <w:rFonts w:ascii="Calibri" w:hAnsi="Calibri" w:cs="Tahoma"/>
          <w:b/>
          <w:bCs/>
          <w:iCs/>
          <w:sz w:val="20"/>
          <w:szCs w:val="20"/>
          <w:lang w:eastAsia="ar-SA"/>
        </w:rPr>
        <w:t>Załącznik nr 1 do SWZ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kryterium 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żadnego terminu spowoduje, że Zamawiający uzna, iż zaoferowano maksymalny termin 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>tj.</w:t>
      </w:r>
      <w:r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 15 dni roboczych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. Zaoferowanie terminu dłuższego niż </w:t>
      </w:r>
      <w:r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>15 dni roboczych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 spowoduje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>odrzucenie oferty jako niezgodnej z SWZ.</w:t>
      </w:r>
    </w:p>
    <w:p w14:paraId="177556BB" w14:textId="77777777" w:rsidR="005E4E90" w:rsidRPr="00614642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w kryterium termin dostawy obliczona zostanie na podstawie następującego wzoru:</w:t>
      </w:r>
    </w:p>
    <w:p w14:paraId="0B8CFD08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PK= [TN / TR] x 5</w:t>
      </w:r>
    </w:p>
    <w:p w14:paraId="3AD3DF1E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6D23591D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TN – termin dostawy najkrótszy spośród złożonych ofert</w:t>
      </w:r>
    </w:p>
    <w:p w14:paraId="001E97DD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TR – termin dostawy oferty rozpatrywanej</w:t>
      </w:r>
    </w:p>
    <w:p w14:paraId="30B4A32C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Wyko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nawca może uzyskać maksymalnie 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termin dostawy.</w:t>
      </w:r>
    </w:p>
    <w:p w14:paraId="1CE49712" w14:textId="77777777" w:rsidR="005E4E90" w:rsidRDefault="005E4E90" w:rsidP="005E4E90">
      <w:pPr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oferty jest sumą punktów uzyskanych w kryterium „cena”, „termin dostawy zamówienia częściowego” będzie zaokrąglona do dwóch miejsc po przecinku</w:t>
      </w:r>
    </w:p>
    <w:p w14:paraId="6BE0F7D7" w14:textId="77777777" w:rsidR="005E4E90" w:rsidRPr="005E4E90" w:rsidRDefault="005E4E90" w:rsidP="005E4E90">
      <w:pPr>
        <w:widowControl w:val="0"/>
        <w:autoSpaceDE w:val="0"/>
        <w:autoSpaceDN w:val="0"/>
        <w:spacing w:after="0" w:line="240" w:lineRule="auto"/>
        <w:ind w:left="567"/>
        <w:rPr>
          <w:rFonts w:ascii="Calibri" w:hAnsi="Calibri"/>
          <w:b/>
          <w:color w:val="FF0000"/>
          <w:sz w:val="20"/>
          <w:szCs w:val="20"/>
        </w:rPr>
      </w:pPr>
    </w:p>
    <w:p w14:paraId="287432BA" w14:textId="564338A5" w:rsidR="005E4E90" w:rsidRPr="00A81F41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567"/>
        <w:rPr>
          <w:rFonts w:ascii="Calibri" w:hAnsi="Calibri"/>
          <w:b/>
          <w:color w:val="FF0000"/>
          <w:sz w:val="20"/>
          <w:szCs w:val="20"/>
        </w:rPr>
      </w:pPr>
      <w:r w:rsidRPr="00DF4A63">
        <w:rPr>
          <w:rFonts w:ascii="Calibri" w:hAnsi="Calibri"/>
          <w:sz w:val="20"/>
          <w:szCs w:val="20"/>
        </w:rPr>
        <w:t>Wszystkie oferty nie podlegające odrzuceniu oceniane będą na podstawie następujących kryteriów</w:t>
      </w:r>
      <w:r>
        <w:rPr>
          <w:rFonts w:ascii="Calibri" w:hAnsi="Calibri"/>
          <w:sz w:val="20"/>
          <w:szCs w:val="20"/>
        </w:rPr>
        <w:t xml:space="preserve"> dla </w:t>
      </w:r>
      <w:r w:rsidRPr="00A81F41">
        <w:rPr>
          <w:rFonts w:ascii="Calibri" w:hAnsi="Calibri"/>
          <w:b/>
          <w:color w:val="FF0000"/>
          <w:sz w:val="20"/>
          <w:szCs w:val="20"/>
        </w:rPr>
        <w:t>zadania 15:</w:t>
      </w:r>
    </w:p>
    <w:p w14:paraId="0CCAD913" w14:textId="77777777" w:rsidR="005E4E90" w:rsidRPr="00A81F41" w:rsidRDefault="005E4E90" w:rsidP="005E4E90">
      <w:pPr>
        <w:ind w:left="567"/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5E4E90" w:rsidRPr="00DF4A63" w14:paraId="1A631DA7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5CF656A9" w14:textId="77777777" w:rsidR="005E4E90" w:rsidRPr="00DF4A63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71678A67" w14:textId="77777777" w:rsidR="005E4E90" w:rsidRPr="00DF4A63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2C3578AC" w14:textId="77777777" w:rsidR="005E4E90" w:rsidRPr="00DF4A63" w:rsidRDefault="005E4E90" w:rsidP="00A0041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RANGA</w:t>
            </w:r>
          </w:p>
        </w:tc>
      </w:tr>
      <w:tr w:rsidR="005E4E90" w:rsidRPr="00DF4A63" w14:paraId="5B333019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547DD" w14:textId="77777777" w:rsidR="005E4E90" w:rsidRPr="00DF4A63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2CBF8" w14:textId="77777777" w:rsidR="005E4E90" w:rsidRPr="00DF4A63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DF4A63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7A50A" w14:textId="77777777" w:rsidR="005E4E90" w:rsidRPr="00DF4A63" w:rsidRDefault="005E4E90" w:rsidP="00A0041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  <w:r w:rsidRPr="00DF4A63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5E4E90" w:rsidRPr="00DF4A63" w14:paraId="7EA2A898" w14:textId="77777777" w:rsidTr="00A0041D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90327" w14:textId="77777777" w:rsidR="005E4E90" w:rsidRPr="003005F2" w:rsidRDefault="005E4E90" w:rsidP="00A0041D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AC15E" w14:textId="77777777" w:rsidR="005E4E90" w:rsidRPr="00EB5F6F" w:rsidRDefault="005E4E90" w:rsidP="00A0041D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5A5A10">
              <w:rPr>
                <w:rFonts w:ascii="Calibri" w:hAnsi="Calibri"/>
                <w:sz w:val="20"/>
                <w:szCs w:val="20"/>
              </w:rPr>
              <w:t>Termin dostawy zamówienia częściowego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8F097" w14:textId="77777777" w:rsidR="005E4E90" w:rsidRPr="003005F2" w:rsidRDefault="005E4E90" w:rsidP="00A0041D">
            <w:pPr>
              <w:snapToGrid w:val="0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</w:tr>
    </w:tbl>
    <w:p w14:paraId="412AC3F5" w14:textId="77777777" w:rsidR="005E4E90" w:rsidRPr="00DF4A63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</w:p>
    <w:p w14:paraId="20AC67D8" w14:textId="77777777" w:rsidR="005E4E90" w:rsidRDefault="005E4E90" w:rsidP="005E4E90">
      <w:pPr>
        <w:numPr>
          <w:ilvl w:val="0"/>
          <w:numId w:val="19"/>
        </w:numPr>
        <w:autoSpaceDN w:val="0"/>
        <w:spacing w:after="0" w:line="240" w:lineRule="auto"/>
        <w:ind w:left="643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DF4A63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cena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– Zamawiający będzie oceniał ofertę w kryterium cena na podstawie oferty wskazanej przez Wykonawcę w Formularzu Oferty, obliczonej w sposób określony w pkt XVI SWZ, na podstawie podstawienia do wzoru zawartego w pkt 3 poniżej. Zamawiający przy ocenie oferty będzie brał pod uwagę cenę końcową podaną w Formularzu Oferty.</w:t>
      </w:r>
    </w:p>
    <w:p w14:paraId="11189B25" w14:textId="77777777" w:rsidR="005E4E90" w:rsidRPr="00614642" w:rsidRDefault="005E4E90" w:rsidP="005E4E90">
      <w:pPr>
        <w:numPr>
          <w:ilvl w:val="0"/>
          <w:numId w:val="19"/>
        </w:numPr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jaką można uzyskać w kryterium cena, obliczona zostanie na podstawie następującego wzoru:</w:t>
      </w:r>
    </w:p>
    <w:p w14:paraId="78048D77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= [CN / CR] x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</w:p>
    <w:p w14:paraId="61B402D1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51DCFE0A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CN - najniższa oferowana cena</w:t>
      </w:r>
    </w:p>
    <w:p w14:paraId="260AB7FA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CR - cena brutto oferty rozpatrywanej</w:t>
      </w:r>
    </w:p>
    <w:p w14:paraId="0440AC58" w14:textId="77777777" w:rsidR="005E4E90" w:rsidRPr="00614642" w:rsidRDefault="005E4E90" w:rsidP="005E4E90">
      <w:pPr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może uzyskać maksymalnie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cena.</w:t>
      </w:r>
    </w:p>
    <w:p w14:paraId="40205A20" w14:textId="77777777" w:rsidR="005E4E90" w:rsidRPr="00614642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będzie zaokrąglona do dwóch miejsc po przecinku.</w:t>
      </w:r>
    </w:p>
    <w:p w14:paraId="342E5345" w14:textId="77777777" w:rsidR="005E4E90" w:rsidRPr="00614642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614642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termin dostawy zamówienia częściowego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– Zamawiający będzie oceniał oferty w niniejszym kryterium na podstawie zawartych w Formularzu Oferty informacji.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lastRenderedPageBreak/>
        <w:t xml:space="preserve">Maksymalny dopuszczalny termin dostawy wynosi </w:t>
      </w:r>
      <w:r w:rsidRPr="00A81F41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>8 tygodni</w:t>
      </w:r>
      <w:r w:rsidRPr="00A81F41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.</w:t>
      </w:r>
      <w:r w:rsidRPr="00A81F41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Wykonawca oferuje konkretną liczbę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tygodni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dla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 towaru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>, nie więcej niż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: 8 tygodni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od momentu złożenia zamówienia (termin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należy podać w pełnych 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tygodniach).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Zamawiający informuje, że nie wpisanie w Formularzu Oferty - </w:t>
      </w:r>
      <w:r w:rsidRPr="00614642">
        <w:rPr>
          <w:rFonts w:ascii="Calibri" w:hAnsi="Calibri" w:cs="Tahoma"/>
          <w:b/>
          <w:bCs/>
          <w:iCs/>
          <w:sz w:val="20"/>
          <w:szCs w:val="20"/>
          <w:lang w:eastAsia="ar-SA"/>
        </w:rPr>
        <w:t>Załącznik nr 1 do SWZ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kryterium 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żadnego terminu spowoduje, że Zamawiający uzna, iż zaoferowano maksymalny termin 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>tj. 8 tygodni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. Zaoferowanie terminu dłuższego niż 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8 tygodni spowoduje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>odrzucenie oferty jako niezgodnej z SWZ.</w:t>
      </w:r>
    </w:p>
    <w:p w14:paraId="703D4924" w14:textId="77777777" w:rsidR="005E4E90" w:rsidRPr="00614642" w:rsidRDefault="005E4E90" w:rsidP="005E4E9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w kryterium termin dostawy obliczona zostanie na podstawie następującego wzoru:</w:t>
      </w:r>
    </w:p>
    <w:p w14:paraId="7A2BEA6D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PK= [TN / TR] x 5</w:t>
      </w:r>
    </w:p>
    <w:p w14:paraId="01CD5DA6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3E8E5B22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TN – termin dostawy najkrótszy spośród złożonych ofert</w:t>
      </w:r>
    </w:p>
    <w:p w14:paraId="764AF92C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TR – termin dostawy oferty rozpatrywanej</w:t>
      </w:r>
    </w:p>
    <w:p w14:paraId="35460B51" w14:textId="77777777" w:rsidR="005E4E90" w:rsidRPr="00614642" w:rsidRDefault="005E4E90" w:rsidP="005E4E90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Wyko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nawca może uzyskać maksymalnie 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termin dostawy.</w:t>
      </w:r>
    </w:p>
    <w:p w14:paraId="5B2CDF7E" w14:textId="77777777" w:rsidR="005E4E90" w:rsidRDefault="005E4E90" w:rsidP="005E4E90">
      <w:pPr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oferty jest sumą punktów uzyskanych w kryterium „cena”, „termin dostawy zamówienia częściowego” będzie zaokrąglona do dwóch miejsc po przecinku</w:t>
      </w:r>
    </w:p>
    <w:p w14:paraId="6386C009" w14:textId="77777777" w:rsidR="005E4E90" w:rsidRDefault="005E4E90" w:rsidP="005E4E90">
      <w:pPr>
        <w:jc w:val="both"/>
        <w:rPr>
          <w:rFonts w:cs="Calibri"/>
          <w:b/>
          <w:sz w:val="20"/>
          <w:szCs w:val="20"/>
        </w:rPr>
      </w:pPr>
    </w:p>
    <w:p w14:paraId="4381FC40" w14:textId="77777777" w:rsidR="005E4E90" w:rsidRDefault="005E4E90" w:rsidP="005E4E90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 załączeniu zmodyfikowany Załącznik nr 1 do SWZ – Formularz Oferty.</w:t>
      </w:r>
    </w:p>
    <w:p w14:paraId="0C82AB7D" w14:textId="77777777" w:rsidR="002D61BA" w:rsidRPr="001C627C" w:rsidRDefault="002D61BA" w:rsidP="001C627C">
      <w:pPr>
        <w:jc w:val="both"/>
        <w:rPr>
          <w:rFonts w:cs="Calibr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1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0F49" w14:textId="77777777" w:rsidR="00F20220" w:rsidRDefault="00F20220" w:rsidP="00E42D6A">
      <w:pPr>
        <w:spacing w:after="0" w:line="240" w:lineRule="auto"/>
      </w:pPr>
      <w:r>
        <w:separator/>
      </w:r>
    </w:p>
  </w:endnote>
  <w:endnote w:type="continuationSeparator" w:id="0">
    <w:p w14:paraId="2FF80C84" w14:textId="77777777" w:rsidR="00F20220" w:rsidRDefault="00F20220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0FA7C5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7628" w14:textId="77777777" w:rsidR="00F20220" w:rsidRDefault="00F20220" w:rsidP="00E42D6A">
      <w:pPr>
        <w:spacing w:after="0" w:line="240" w:lineRule="auto"/>
      </w:pPr>
      <w:r>
        <w:separator/>
      </w:r>
    </w:p>
  </w:footnote>
  <w:footnote w:type="continuationSeparator" w:id="0">
    <w:p w14:paraId="1DDCA394" w14:textId="77777777" w:rsidR="00F20220" w:rsidRDefault="00F20220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565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1DFD"/>
    <w:multiLevelType w:val="hybridMultilevel"/>
    <w:tmpl w:val="A0A41EEA"/>
    <w:lvl w:ilvl="0" w:tplc="507E4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B9B5923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4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26D6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4B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D61BA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4A11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4E90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20681"/>
    <w:rsid w:val="00930C3E"/>
    <w:rsid w:val="00931873"/>
    <w:rsid w:val="00946F2F"/>
    <w:rsid w:val="00954850"/>
    <w:rsid w:val="00962124"/>
    <w:rsid w:val="009800A9"/>
    <w:rsid w:val="009815EA"/>
    <w:rsid w:val="00983D8F"/>
    <w:rsid w:val="00986A07"/>
    <w:rsid w:val="00990F35"/>
    <w:rsid w:val="00991549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62C5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C56A3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0220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0460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C470-0708-44E5-96A4-85EBD09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Małgorzata Brancewicz-Malec</cp:lastModifiedBy>
  <cp:revision>3</cp:revision>
  <cp:lastPrinted>2023-11-07T09:51:00Z</cp:lastPrinted>
  <dcterms:created xsi:type="dcterms:W3CDTF">2023-11-22T08:02:00Z</dcterms:created>
  <dcterms:modified xsi:type="dcterms:W3CDTF">2023-11-22T08:03:00Z</dcterms:modified>
</cp:coreProperties>
</file>