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8EF1" w14:textId="6F5C813A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5F3A33">
        <w:rPr>
          <w:rFonts w:ascii="Calibri Light" w:hAnsi="Calibri Light" w:cs="Calibri"/>
          <w:sz w:val="20"/>
          <w:szCs w:val="20"/>
        </w:rPr>
        <w:t>41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B4635F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B4635F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B4635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0E7CC612" w:rsidR="001D5F44" w:rsidRPr="00E25726" w:rsidRDefault="00B4635F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5F3A33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41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>
        <w:rPr>
          <w:rFonts w:asciiTheme="minorHAnsi" w:hAnsiTheme="minorHAnsi" w:cstheme="minorHAnsi"/>
          <w:shd w:val="clear" w:color="auto" w:fill="FFFFFF"/>
        </w:rPr>
        <w:t>4 poz. 1320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B4635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0B6A9A2E" w:rsidR="001D5F44" w:rsidRPr="00E25726" w:rsidRDefault="00B4635F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5F3A33">
        <w:rPr>
          <w:rFonts w:cs="Calibri"/>
          <w:b/>
        </w:rPr>
        <w:t>pisuary i umywalki</w:t>
      </w:r>
      <w:r w:rsidR="000058B9"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B4635F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B4635F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B4635F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023842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B7D3CF6" w:rsidR="00023842" w:rsidRDefault="00023842" w:rsidP="0002384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CC80" w14:textId="77777777" w:rsidR="005F3A33" w:rsidRPr="00C10800" w:rsidRDefault="005F3A33" w:rsidP="005F3A33">
            <w:pPr>
              <w:pStyle w:val="NormalnyWeb"/>
              <w:shd w:val="clear" w:color="auto" w:fill="FFFFFF"/>
              <w:spacing w:before="240" w:beforeAutospacing="0" w:after="24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Pisuar ścienny, wykonany ze stali nierdzewnej AISI 304, wykończenie satynowe, przystosowany do spłukiwania podtynkowego wraz z syfonem</w:t>
            </w:r>
          </w:p>
          <w:p w14:paraId="3B2A4CF3" w14:textId="77777777" w:rsidR="005F3A33" w:rsidRPr="00C10800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Wymiary: 600 H x 360 W x 395 D (mm). </w:t>
            </w:r>
          </w:p>
          <w:p w14:paraId="60D6E942" w14:textId="77777777" w:rsidR="005F3A33" w:rsidRPr="00C10800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111111"/>
                <w:sz w:val="22"/>
                <w:szCs w:val="22"/>
              </w:rPr>
              <w:t>Śruby mocujące w zestawie.</w:t>
            </w:r>
          </w:p>
          <w:p w14:paraId="2FBF60CB" w14:textId="77777777" w:rsidR="005F3A33" w:rsidRPr="00C10800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Materiał: Blachy ze stali nierdzewnej AISI 304</w:t>
            </w:r>
          </w:p>
          <w:p w14:paraId="5BF12117" w14:textId="77777777" w:rsidR="005F3A33" w:rsidRPr="00C10800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240"/>
              <w:ind w:left="321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Grubość płyty: 1,2 mm</w:t>
            </w:r>
          </w:p>
          <w:p w14:paraId="4C8F44EC" w14:textId="77777777" w:rsidR="005F3A33" w:rsidRPr="00C10800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240"/>
              <w:ind w:left="321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Wykończenie: Satyna</w:t>
            </w:r>
          </w:p>
          <w:p w14:paraId="2F53FC35" w14:textId="77777777" w:rsidR="005F3A33" w:rsidRPr="00C10800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240"/>
              <w:ind w:left="321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Wymiary: 600 wysokość x 360 szerokość x 395 głębokość (mm)</w:t>
            </w:r>
          </w:p>
          <w:p w14:paraId="38B89D08" w14:textId="77777777" w:rsidR="005F3A33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240"/>
              <w:ind w:left="321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Pobór wody: Ø 1/2" G</w:t>
            </w:r>
          </w:p>
          <w:p w14:paraId="491529D3" w14:textId="1D6D0CE8" w:rsidR="00023842" w:rsidRPr="005F3A33" w:rsidRDefault="005F3A33" w:rsidP="005F3A3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Autospacing="0" w:after="240"/>
              <w:ind w:left="321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5F3A33">
              <w:rPr>
                <w:rFonts w:ascii="Calibri" w:hAnsi="Calibri" w:cs="Calibri"/>
                <w:color w:val="212529"/>
                <w:sz w:val="22"/>
                <w:szCs w:val="22"/>
              </w:rPr>
              <w:t>Odwadnianie: Ø 1 1/4" 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4AFA8AA0" w:rsidR="00023842" w:rsidRDefault="005F3A33" w:rsidP="000058B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  <w:r w:rsidR="00023842" w:rsidRPr="005D14D1">
              <w:rPr>
                <w:rFonts w:eastAsia="Times New Roman"/>
                <w:color w:val="000000"/>
                <w:lang w:eastAsia="pl-PL"/>
              </w:rPr>
              <w:t xml:space="preserve">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5F3A33" w14:paraId="47C3DBAA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8C8B" w14:textId="3FCEE3DF" w:rsidR="005F3A33" w:rsidRPr="00FC1BA3" w:rsidRDefault="005F3A33" w:rsidP="0002384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E3C9" w14:textId="77777777" w:rsidR="005F3A33" w:rsidRPr="007D27F4" w:rsidRDefault="005F3A33" w:rsidP="005F3A33">
            <w:pPr>
              <w:pStyle w:val="Nagwek2"/>
              <w:shd w:val="clear" w:color="auto" w:fill="FFFFFF"/>
              <w:spacing w:before="199" w:after="199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7D27F4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Naścienna umywalka stalowa z osłoniętym syfonem</w:t>
            </w:r>
          </w:p>
          <w:p w14:paraId="69AB4FA3" w14:textId="77777777" w:rsidR="005F3A33" w:rsidRDefault="005F3A33" w:rsidP="005F3A33">
            <w:pPr>
              <w:pStyle w:val="NormalnyWeb"/>
              <w:numPr>
                <w:ilvl w:val="0"/>
                <w:numId w:val="18"/>
              </w:numPr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7D27F4">
              <w:rPr>
                <w:rFonts w:ascii="Calibri" w:hAnsi="Calibri" w:cs="Calibri"/>
                <w:color w:val="111111"/>
                <w:sz w:val="22"/>
                <w:szCs w:val="22"/>
              </w:rPr>
              <w:t>Swoje zastosowanie znajdzie zarówno w szkołach, toaletach publicznych, hotelach jak i innych miejscach użyteczności publicznej. Brak ostrych krawędzi i narożników. Wysoka estetyka wykonania. </w:t>
            </w:r>
          </w:p>
          <w:p w14:paraId="6C1B1434" w14:textId="77777777" w:rsidR="005F3A33" w:rsidRDefault="005F3A33" w:rsidP="005F3A33">
            <w:pPr>
              <w:pStyle w:val="NormalnyWeb"/>
              <w:numPr>
                <w:ilvl w:val="0"/>
                <w:numId w:val="18"/>
              </w:numPr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7D27F4">
              <w:rPr>
                <w:rFonts w:ascii="Calibri" w:hAnsi="Calibri" w:cs="Calibri"/>
                <w:color w:val="111111"/>
                <w:sz w:val="22"/>
                <w:szCs w:val="22"/>
              </w:rPr>
              <w:t>Umywalka o podwyższonej odporności na uszkodzenia mechaniczne i akty wandalizmu. Wykonana ze stali szlachetnej nierdzewnej o grubości 1 mm w wykończeniu matowym. Do zastosowania z baterią ścienna lub sztorcową. W standardzie nie ma otworu na baterię ani syfonu. Sitko odpływowe zintegrowane z niecką umywalki, bez możliwości demontażu. Odpływ 1".</w:t>
            </w:r>
          </w:p>
          <w:p w14:paraId="65E2EF9F" w14:textId="77777777" w:rsidR="005F3A33" w:rsidRPr="007D27F4" w:rsidRDefault="005F3A33" w:rsidP="005F3A33">
            <w:pPr>
              <w:pStyle w:val="NormalnyWeb"/>
              <w:numPr>
                <w:ilvl w:val="0"/>
                <w:numId w:val="18"/>
              </w:numPr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7D27F4">
              <w:rPr>
                <w:rStyle w:val="Pogrubienie"/>
                <w:rFonts w:ascii="Calibri" w:eastAsia="SimSun" w:hAnsi="Calibri" w:cs="Calibri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Dane techniczne:</w:t>
            </w:r>
          </w:p>
          <w:tbl>
            <w:tblPr>
              <w:tblW w:w="1169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0377"/>
            </w:tblGrid>
            <w:tr w:rsidR="005F3A33" w:rsidRPr="007D27F4" w14:paraId="4D421BCC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F93C8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Materiał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1BC655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Stal nierdzewna 304 </w:t>
                  </w:r>
                </w:p>
                <w:p w14:paraId="46A54482" w14:textId="35948459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szczotkowana</w:t>
                  </w:r>
                </w:p>
              </w:tc>
            </w:tr>
            <w:tr w:rsidR="005F3A33" w:rsidRPr="007D27F4" w14:paraId="6D1603B2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14283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Wykończenie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D1A0E4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Matowe</w:t>
                  </w:r>
                </w:p>
              </w:tc>
            </w:tr>
            <w:tr w:rsidR="005F3A33" w:rsidRPr="007D27F4" w14:paraId="560E7177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8BEB3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Mocowanie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89664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Do ściany, ukryte</w:t>
                  </w:r>
                </w:p>
              </w:tc>
            </w:tr>
            <w:tr w:rsidR="005F3A33" w:rsidRPr="007D27F4" w14:paraId="7991AAE2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3C045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Grubość stali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3C8F9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1 mm</w:t>
                  </w:r>
                </w:p>
              </w:tc>
            </w:tr>
            <w:tr w:rsidR="005F3A33" w:rsidRPr="007D27F4" w14:paraId="4C0D73F1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59A4F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Cechy dodatkowe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0DAC6E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</w:p>
                <w:p w14:paraId="1DA6078D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Zawór spustowy, </w:t>
                  </w:r>
                </w:p>
                <w:p w14:paraId="7E9CC8BB" w14:textId="057C6F10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osłona syfonu, </w:t>
                  </w:r>
                </w:p>
                <w:p w14:paraId="5FCDA6CB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wandaloodporna, </w:t>
                  </w:r>
                </w:p>
                <w:p w14:paraId="05042BAB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brak otworu na </w:t>
                  </w:r>
                </w:p>
                <w:p w14:paraId="6F849322" w14:textId="0C0BEB7B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baterię</w:t>
                  </w:r>
                </w:p>
              </w:tc>
            </w:tr>
            <w:tr w:rsidR="005F3A33" w:rsidRPr="007D27F4" w14:paraId="53EAC2F9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B04E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Wymiary umywalki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96C51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</w:p>
                <w:p w14:paraId="28ED19F2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Wysokość 270 mm,</w:t>
                  </w:r>
                </w:p>
                <w:p w14:paraId="2B092D6F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szerokość 360 mm, </w:t>
                  </w:r>
                </w:p>
                <w:p w14:paraId="1A20D0F8" w14:textId="77777777" w:rsidR="005F3A33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 xml:space="preserve">głębokość 360 mm, </w:t>
                  </w:r>
                </w:p>
                <w:p w14:paraId="77FD852B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średnica Ø 300 mm</w:t>
                  </w:r>
                </w:p>
              </w:tc>
            </w:tr>
            <w:tr w:rsidR="005F3A33" w:rsidRPr="007D27F4" w14:paraId="4EBFEC04" w14:textId="77777777" w:rsidTr="005F3A33"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46AA23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Średnica odpływu</w:t>
                  </w:r>
                </w:p>
              </w:tc>
              <w:tc>
                <w:tcPr>
                  <w:tcW w:w="10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9FF31" w14:textId="77777777" w:rsidR="005F3A33" w:rsidRPr="007D27F4" w:rsidRDefault="005F3A33" w:rsidP="005F3A33">
                  <w:pPr>
                    <w:rPr>
                      <w:rFonts w:cs="Calibri"/>
                      <w:color w:val="111111"/>
                    </w:rPr>
                  </w:pPr>
                  <w:r w:rsidRPr="007D27F4">
                    <w:rPr>
                      <w:rFonts w:cs="Calibri"/>
                      <w:color w:val="111111"/>
                    </w:rPr>
                    <w:t>Ø 50 mm</w:t>
                  </w:r>
                </w:p>
              </w:tc>
            </w:tr>
          </w:tbl>
          <w:p w14:paraId="133F7150" w14:textId="77777777" w:rsidR="005F3A33" w:rsidRPr="001908B8" w:rsidRDefault="005F3A33" w:rsidP="000058B9">
            <w:pPr>
              <w:pStyle w:val="NormalnyWeb"/>
              <w:shd w:val="clear" w:color="auto" w:fill="FFFFFF"/>
              <w:spacing w:before="240" w:beforeAutospacing="0" w:after="24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C21D" w14:textId="0E5544E5" w:rsidR="005F3A33" w:rsidRDefault="005F3A33" w:rsidP="000058B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80EA" w14:textId="77777777" w:rsidR="005F3A33" w:rsidRDefault="005F3A33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7B8F" w14:textId="77777777" w:rsidR="005F3A33" w:rsidRDefault="005F3A33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>Ceny jednostkowe brutto wynikające z formularza oferowanego są stałe i nie podlegają waloryzacji.</w:t>
      </w:r>
    </w:p>
    <w:p w14:paraId="491529DA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3ABF4BAA" w:rsidR="001D5F44" w:rsidRPr="00AE7D30" w:rsidRDefault="000058B9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Wykonawca udziela co najmniej 10 letniej</w:t>
      </w:r>
      <w:r w:rsidR="00B4635F"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gwarancji na przedmiot zamówienia. Dniem rozpoczęcia biegu gwarancji jest dzień dostawy przedmiotu zamówienia do siedziby Zamawiającego.</w:t>
      </w:r>
    </w:p>
    <w:p w14:paraId="491529DF" w14:textId="77777777" w:rsidR="001D5F44" w:rsidRPr="00AE7D30" w:rsidRDefault="00B4635F">
      <w:pPr>
        <w:spacing w:before="114" w:after="114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0BC05183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0058B9" w:rsidRPr="005F3A33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20 grudnia 2024 roku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  <w:bookmarkStart w:id="1" w:name="_GoBack"/>
      <w:bookmarkEnd w:id="1"/>
    </w:p>
    <w:p w14:paraId="491529E4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B4635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B4635F">
      <w:pPr>
        <w:spacing w:before="171" w:after="171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B4635F">
      <w:pPr>
        <w:spacing w:before="57" w:after="257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 xml:space="preserve">numeru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77777777" w:rsidR="001D5F44" w:rsidRPr="00AE7D30" w:rsidRDefault="00B4635F">
      <w:pPr>
        <w:spacing w:before="114" w:after="314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B4635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B" w14:textId="77777777" w:rsidR="001D5F44" w:rsidRPr="004261ED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9FC" w14:textId="77777777" w:rsidR="001D5F44" w:rsidRPr="004261ED" w:rsidRDefault="00B4635F">
      <w:pPr>
        <w:pStyle w:val="Akapitzlist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D" w14:textId="77777777" w:rsidR="001D5F44" w:rsidRPr="004261ED" w:rsidRDefault="001D5F44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491529FE" w14:textId="77777777" w:rsidR="001D5F44" w:rsidRPr="004261ED" w:rsidRDefault="00B4635F">
      <w:pPr>
        <w:pStyle w:val="Akapitzlist"/>
        <w:numPr>
          <w:ilvl w:val="0"/>
          <w:numId w:val="8"/>
        </w:numPr>
        <w:spacing w:beforeAutospacing="1" w:afterAutospacing="1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2" w:name="_GoBack11"/>
      <w:bookmarkEnd w:id="2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B4635F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B4635F">
      <w:pPr>
        <w:pStyle w:val="Akapitzlist"/>
        <w:numPr>
          <w:ilvl w:val="0"/>
          <w:numId w:val="11"/>
        </w:numPr>
        <w:spacing w:beforeAutospacing="1"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 xml:space="preserve">z niniejszej </w:t>
      </w:r>
      <w:r w:rsidRPr="004261ED">
        <w:rPr>
          <w:rFonts w:asciiTheme="minorHAnsi" w:hAnsiTheme="minorHAnsi" w:cstheme="minorHAnsi"/>
          <w:shd w:val="clear" w:color="auto" w:fill="FFFFFF"/>
        </w:rPr>
        <w:lastRenderedPageBreak/>
        <w:t>umowy, co nie wyłącza uprawnienia Zamawiającego do dochodzenia odszkodowania przenoszącego wysokość zastrzeżonej kary.</w:t>
      </w:r>
    </w:p>
    <w:p w14:paraId="49152A07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A08" w14:textId="77777777" w:rsidR="001D5F44" w:rsidRPr="00AE7D30" w:rsidRDefault="00B4635F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9" w14:textId="77777777" w:rsidR="001D5F44" w:rsidRPr="00AE7D30" w:rsidRDefault="001D5F44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49152A0A" w14:textId="77777777" w:rsidR="001D5F44" w:rsidRPr="00AE7D30" w:rsidRDefault="00B4635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B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0C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E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A0F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1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12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49152A15" w14:textId="77777777" w:rsidR="001D5F44" w:rsidRDefault="00B4635F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CDC7" w14:textId="77777777" w:rsidR="00834D25" w:rsidRDefault="00834D25">
      <w:pPr>
        <w:spacing w:after="0" w:line="240" w:lineRule="auto"/>
      </w:pPr>
      <w:r>
        <w:separator/>
      </w:r>
    </w:p>
  </w:endnote>
  <w:endnote w:type="continuationSeparator" w:id="0">
    <w:p w14:paraId="50154858" w14:textId="77777777" w:rsidR="00834D25" w:rsidRDefault="0083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2A16" w14:textId="77777777" w:rsidR="001D5F44" w:rsidRDefault="00B4635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F3A33">
      <w:rPr>
        <w:noProof/>
      </w:rPr>
      <w:t>4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0DF2" w14:textId="77777777" w:rsidR="00834D25" w:rsidRDefault="00834D25">
      <w:pPr>
        <w:spacing w:after="0" w:line="240" w:lineRule="auto"/>
      </w:pPr>
      <w:r>
        <w:separator/>
      </w:r>
    </w:p>
  </w:footnote>
  <w:footnote w:type="continuationSeparator" w:id="0">
    <w:p w14:paraId="7C1D6C43" w14:textId="77777777" w:rsidR="00834D25" w:rsidRDefault="0083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B4635F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B4635F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B523BF9"/>
    <w:multiLevelType w:val="hybridMultilevel"/>
    <w:tmpl w:val="D280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6"/>
  </w:num>
  <w:num w:numId="13">
    <w:abstractNumId w:val="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F44"/>
    <w:rsid w:val="000058B9"/>
    <w:rsid w:val="00023842"/>
    <w:rsid w:val="000567A7"/>
    <w:rsid w:val="001C22E9"/>
    <w:rsid w:val="001D45F4"/>
    <w:rsid w:val="001D5F44"/>
    <w:rsid w:val="00252FAB"/>
    <w:rsid w:val="00294989"/>
    <w:rsid w:val="00350DA7"/>
    <w:rsid w:val="004261ED"/>
    <w:rsid w:val="00437CC2"/>
    <w:rsid w:val="004478E5"/>
    <w:rsid w:val="005C7472"/>
    <w:rsid w:val="005D5C5C"/>
    <w:rsid w:val="005F3A33"/>
    <w:rsid w:val="00601575"/>
    <w:rsid w:val="00620D3B"/>
    <w:rsid w:val="00807460"/>
    <w:rsid w:val="00834D25"/>
    <w:rsid w:val="00884895"/>
    <w:rsid w:val="0088760D"/>
    <w:rsid w:val="008B1D30"/>
    <w:rsid w:val="009975DC"/>
    <w:rsid w:val="00A72EA6"/>
    <w:rsid w:val="00AE7D30"/>
    <w:rsid w:val="00B22D7F"/>
    <w:rsid w:val="00B4635F"/>
    <w:rsid w:val="00B47DA6"/>
    <w:rsid w:val="00B5109C"/>
    <w:rsid w:val="00BB3F19"/>
    <w:rsid w:val="00C004A3"/>
    <w:rsid w:val="00C13F1B"/>
    <w:rsid w:val="00C70B78"/>
    <w:rsid w:val="00D7059A"/>
    <w:rsid w:val="00D9785E"/>
    <w:rsid w:val="00DF1BCD"/>
    <w:rsid w:val="00E159F5"/>
    <w:rsid w:val="00E25726"/>
    <w:rsid w:val="00F11D8C"/>
    <w:rsid w:val="00F4429E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A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5F3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B531-BCDD-4B36-BCE1-869EF7AE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6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109</cp:revision>
  <cp:lastPrinted>2024-12-06T09:05:00Z</cp:lastPrinted>
  <dcterms:created xsi:type="dcterms:W3CDTF">2017-02-27T10:54:00Z</dcterms:created>
  <dcterms:modified xsi:type="dcterms:W3CDTF">2024-12-06T09:49:00Z</dcterms:modified>
  <dc:language>pl-PL</dc:language>
</cp:coreProperties>
</file>