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F" w:rsidRDefault="00DF240F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0;margin-top:.35pt;width:524.5pt;height:41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">
            <v:textbox>
              <w:txbxContent>
                <w:p w:rsidR="00FB4F22" w:rsidRDefault="00FB4F22" w:rsidP="00537DC8">
                  <w:pPr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537DC8">
                    <w:rPr>
                      <w:rFonts w:cs="Calibri"/>
                      <w:b/>
                      <w:sz w:val="24"/>
                      <w:szCs w:val="24"/>
                      <w:lang w:val="pl-PL"/>
                    </w:rPr>
                    <w:t>Formularz ofertowy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                                                                                                                                                                                  Tabela nr 5  opis techniczny pojazdu bazowego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:</w:t>
                  </w:r>
                </w:p>
                <w:p w:rsidR="00FB4F22" w:rsidRPr="00CC3909" w:rsidRDefault="00FB4F22" w:rsidP="00594425">
                  <w:pPr>
                    <w:ind w:left="1416" w:firstLine="708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  <w:lang w:val="pl-PL"/>
                    </w:rPr>
                  </w:pP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 xml:space="preserve">Nie załączać do oferty – dopiero na wezwanie Zamawiającego   </w:t>
                  </w: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393"/>
        <w:gridCol w:w="1169"/>
        <w:gridCol w:w="17"/>
        <w:gridCol w:w="64"/>
        <w:gridCol w:w="532"/>
        <w:gridCol w:w="67"/>
        <w:gridCol w:w="3765"/>
        <w:gridCol w:w="939"/>
        <w:gridCol w:w="3544"/>
        <w:gridCol w:w="4018"/>
      </w:tblGrid>
      <w:tr w:rsidR="00D756BF" w:rsidRPr="00E06B5D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877E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boczne poduszki bezpieczeństwa 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E06B5D" w:rsidTr="00334642">
        <w:trPr>
          <w:gridAfter w:val="1"/>
          <w:wAfter w:w="1382" w:type="pct"/>
          <w:cantSplit/>
          <w:trHeight w:val="50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1C7F9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 w:rsidP="005F777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nadwozia: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E06B5D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E06B5D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E06B5D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37D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D2AE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fabrycznie montowana szyba czołowa podgrzewana elektrycznie –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2AE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niezależnie od systemu nawiewu ciepłego powietrza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426026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automatyczny, elektryczny system domykania drzwi przesuwnych lewych i prawych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reflektory doświetlające zakręt przy skręcie</w:t>
            </w:r>
            <w:r w:rsidRPr="0040393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pojazdu, włączające się   automatycznie w momencie skręcenia kół przez kierowcę</w:t>
            </w:r>
            <w:r w:rsidRPr="00A4384D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5D03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3,70MJ/km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E06B5D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Nm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pojemność, moc silnika w KM oraz maksymalny moment obrotowy w Nm – i przy jakich obrotach osiągany</w:t>
            </w:r>
          </w:p>
        </w:tc>
      </w:tr>
      <w:tr w:rsidR="00857781" w:rsidRPr="0011400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E06B5D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63544" w:rsidRDefault="00857781" w:rsidP="00BF5E6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Grzałka elektryczna do</w:t>
            </w:r>
            <w:r w:rsid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podgrzewania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silnika działająca na postoju, po podłączeniu do sieci 230V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5-biegowa + bieg wsteczny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(</w:t>
            </w:r>
            <w:r w:rsidR="008A17F2"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automatyczna skrzynia </w:t>
            </w:r>
            <w:r w:rsidR="008A17F2" w:rsidRPr="0040393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biegów</w:t>
            </w:r>
            <w:r w:rsidR="007F3872" w:rsidRPr="0040393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-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rodzaj skrzyni biegów – jeżeli manualna,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7F3872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532C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S</w:t>
            </w:r>
            <w:r w:rsidR="00857781" w:rsidRPr="000532C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ystem</w:t>
            </w:r>
            <w:r w:rsidRPr="000532C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elektronicznej</w:t>
            </w:r>
            <w:r w:rsidR="00857781" w:rsidRPr="000532C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0869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869E5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869E5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869E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869E5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869E5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869E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869E5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869E5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869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 w:rsidP="000B3C7F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 kół założonych na pojeździe z oponami letnimi + koło rezerwowe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(dopuszczalny zestaw naprawczy koła)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:rsidR="00857781" w:rsidRDefault="00DF240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F240F"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pict>
                <v:shape id="Text Box 5" o:spid="_x0000_s2054" type="#_x0000_t202" style="position:absolute;margin-left:-.5pt;margin-top:9.55pt;width:527.2pt;height:53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">
                  <v:textbox style="mso-next-textbox:#Text Box 5">
                    <w:txbxContent>
                      <w:p w:rsidR="00FB4F22" w:rsidRPr="00537DC8" w:rsidRDefault="00FB4F22" w:rsidP="00537DC8">
                        <w:pPr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4"/>
                            <w:szCs w:val="24"/>
                            <w:lang w:val="pl-PL"/>
                          </w:rPr>
                        </w:pPr>
                        <w:r w:rsidRPr="00537DC8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4"/>
                            <w:szCs w:val="24"/>
                            <w:lang w:val="pl-PL"/>
                          </w:rPr>
                          <w:t>Formularz ofertowy</w:t>
                        </w:r>
                      </w:p>
                      <w:p w:rsidR="00FB4F22" w:rsidRPr="003815B8" w:rsidRDefault="00FB4F22" w:rsidP="00537DC8">
                        <w:pPr>
                          <w:jc w:val="center"/>
                          <w:rPr>
                            <w:rFonts w:ascii="Times New Roman" w:hAnsi="Times New Roman"/>
                            <w:bCs/>
                            <w:lang w:val="pl-PL" w:eastAsia="pl-PL"/>
                          </w:rPr>
                        </w:pP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Tabela nr 5a. 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      opis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>skompletowanego ambulansu sanitarnego  z zabudową specjalistyczną</w:t>
                        </w:r>
                      </w:p>
                      <w:p w:rsidR="00FB4F22" w:rsidRDefault="00FB4F22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1808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A7C1A" w:rsidRDefault="00857781" w:rsidP="004257D5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(Dz. U. z 201</w:t>
            </w:r>
            <w:r w:rsidR="00E20EDF" w:rsidRPr="00E20EDF">
              <w:rPr>
                <w:rFonts w:ascii="Times New Roman" w:hAnsi="Times New Roman"/>
                <w:sz w:val="20"/>
                <w:szCs w:val="20"/>
                <w:lang w:val="pl-PL"/>
              </w:rPr>
              <w:t>6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poz. </w:t>
            </w:r>
            <w:r w:rsidR="00E20EDF" w:rsidRPr="00E20EDF">
              <w:rPr>
                <w:rFonts w:ascii="Times New Roman" w:hAnsi="Times New Roman"/>
                <w:sz w:val="20"/>
                <w:szCs w:val="20"/>
                <w:lang w:val="pl-PL"/>
              </w:rPr>
              <w:t>2022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, z późn. zm.),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</w:t>
            </w:r>
            <w:r w:rsidR="00403B99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C)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</w:t>
            </w:r>
            <w:r w:rsidR="0020034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.U. 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poz. 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2487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 późn zm.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 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:rsidTr="00334642">
        <w:trPr>
          <w:gridAfter w:val="1"/>
          <w:wAfter w:w="1382" w:type="pct"/>
          <w:cantSplit/>
          <w:trHeight w:val="212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b) napis „AMBULANS” z tyłu pojazdu o wysokości min. 10 cm, w.g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  <w:t>Wycięte emblematy „P” i „S” – bez przyklejania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logo Zamawiającego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E06B5D" w:rsidTr="00334642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118E" w:rsidRPr="009B080A" w:rsidRDefault="00F1118E" w:rsidP="002A4F5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 emblematy dotacji unijnej wg wzoru – naklejone na lewą i prawą część nadwozia ambulansu</w:t>
            </w:r>
            <w:r w:rsidR="005F777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="005F7778" w:rsidRPr="005F777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dotyczy jednego ambulansu z trzech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118E" w:rsidRPr="009E0848" w:rsidRDefault="009E0848" w:rsidP="007F3872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  <w:r w:rsidRPr="005F7778">
              <w:rPr>
                <w:rFonts w:ascii="Times New Roman" w:hAnsi="Times New Roman" w:cs="Times New Roman"/>
                <w:color w:val="0000FF"/>
                <w:sz w:val="20"/>
                <w:szCs w:val="20"/>
                <w:lang w:val="pl-PL"/>
              </w:rPr>
              <w:t>UWAGA ! – oddzielna faktura na wykonanie emblematów i ich przyklejenie</w:t>
            </w:r>
            <w:r w:rsidR="005F7778">
              <w:rPr>
                <w:rFonts w:ascii="Times New Roman" w:hAnsi="Times New Roman" w:cs="Times New Roman"/>
                <w:color w:val="0000FF"/>
                <w:sz w:val="20"/>
                <w:szCs w:val="20"/>
                <w:lang w:val="pl-PL"/>
              </w:rPr>
              <w:t xml:space="preserve"> </w:t>
            </w:r>
            <w:r w:rsidR="007F3872">
              <w:rPr>
                <w:rFonts w:ascii="Times New Roman" w:hAnsi="Times New Roman" w:cs="Times New Roman"/>
                <w:color w:val="0000FF"/>
                <w:sz w:val="20"/>
                <w:szCs w:val="20"/>
                <w:lang w:val="pl-PL"/>
              </w:rPr>
              <w:t>na jednym z trzech</w:t>
            </w:r>
            <w:r w:rsidR="005F7778">
              <w:rPr>
                <w:rFonts w:ascii="Times New Roman" w:hAnsi="Times New Roman" w:cs="Times New Roman"/>
                <w:color w:val="0000FF"/>
                <w:sz w:val="20"/>
                <w:szCs w:val="20"/>
                <w:lang w:val="pl-PL"/>
              </w:rPr>
              <w:t xml:space="preserve"> ambulans</w:t>
            </w:r>
            <w:r w:rsidR="007F3872">
              <w:rPr>
                <w:rFonts w:ascii="Times New Roman" w:hAnsi="Times New Roman" w:cs="Times New Roman"/>
                <w:color w:val="0000FF"/>
                <w:sz w:val="20"/>
                <w:szCs w:val="20"/>
                <w:lang w:val="pl-PL"/>
              </w:rPr>
              <w:t>ów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dotyczące stopnia wejściowego.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Krawędź podłogi przy wejściu zabezpieczona bezpoślizgowym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Pr="00D56AF3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zamontowania drukarki HP Officejet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(powietrzne/wodne)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moc w kW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B70AC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 oraz moc w W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dwuparownikowa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moc alternatora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lub prąd max. przy napięciu 14 V</w:t>
            </w:r>
          </w:p>
        </w:tc>
      </w:tr>
      <w:tr w:rsidR="00857781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Lexel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Lexel)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AE270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 w:rsidRPr="00AE2709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6F293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Oddzielone od podstawowego obwodu elektrycznego pojazdu obwody elektryczne ambulansu, oznakowane i zabezpieczone niezależnie.  Umocowanie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peszle)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wewn.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wymiary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przedziału pacjenta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dla mo żliwości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Modura do zamocowania respiratora lub p-py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miejsca dla defibrylatora; w szczególności Lifepak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  <w:r>
              <w:rPr>
                <w:snapToGrid w:val="0"/>
                <w:color w:val="808080"/>
                <w:lang w:val="pl-PL"/>
              </w:rPr>
              <w:t>*</w:t>
            </w:r>
            <w:r w:rsidRPr="009B76C2">
              <w:rPr>
                <w:snapToGrid w:val="0"/>
                <w:color w:val="808080"/>
                <w:lang w:val="pl-PL"/>
              </w:rPr>
              <w:t xml:space="preserve"> </w:t>
            </w:r>
            <w:r w:rsidRPr="009B76C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może być w załączeniu rysunek lub zdjęcie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Modura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F2154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3551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 do 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otwartych drzwi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  <w:r w:rsidRPr="001F5E0C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  <w:r w:rsidRPr="00AE2F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AE2FD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aby wysokość wewnętrzna każdej  wynosiła min. 15</w:t>
            </w:r>
            <w:r w:rsidRPr="00AE2F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E2FD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(termobox)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LIV - 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225F80" w:rsidRDefault="00857781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97E5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                        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w razie braku miejsca w zabudowie zewnętrznej na </w:t>
            </w: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bardzo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 długą deskę – niezależne miejsce wewnątrz przedziału pacjenta z paskami mocującymi</w:t>
            </w: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temperatury w termoboxie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Ponadto posiadający funkcje wyświetlania aktualnego czasu oraz temperatury w przedziale i na zewnątrz jak również w termoboxie</w:t>
            </w:r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05328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 w:rsidP="00061B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lub elektryczna niskotonowa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jeżeli jest pawlacz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zamocowana na dachu ambulansu antena wg PAR o impedancji 50 Ohm dla f=168-170 Mhz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dB, wodoodporna, temp. pracy -40-+85 st.C,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4508E2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F5E0C" w:rsidRDefault="00857781" w:rsidP="00355992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92" w:rsidRPr="009912C0" w:rsidRDefault="00857781" w:rsidP="0033464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  <w:r w:rsidR="0033464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          </w:t>
            </w:r>
            <w:r w:rsidR="00355992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 oferty złączyć</w:t>
            </w:r>
            <w:r w:rsidR="00355992" w:rsidRPr="004257D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355992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Certyfikat zgodności z dyrektywą UE 93/42/EWG dla sprzęt</w:t>
            </w:r>
            <w:r w:rsidR="004257D5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="00355992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="00CC33A8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E58AE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E06B5D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etc…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itp…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kpl.awaryjny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70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97C4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transporterem i ruchomą podstawą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noszy;</w:t>
            </w:r>
          </w:p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137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i z </w:t>
            </w:r>
            <w:r w:rsidRPr="0082358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Dyrektywą UE nr 93/42/EWG</w:t>
            </w:r>
            <w:r w:rsidR="008A17F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4642" w:rsidRPr="004257D5" w:rsidRDefault="00857781" w:rsidP="0033464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4257D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*</w:t>
            </w:r>
            <w:r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355992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 oferty n</w:t>
            </w:r>
            <w:r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ależy załączyć certyfikat zgodności z</w:t>
            </w:r>
            <w:r w:rsidR="00E626E7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normą EN 1865 lub równoważną i z </w:t>
            </w:r>
            <w:r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4257D5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Dyrektywą UE nr 93/42/EWG</w:t>
            </w:r>
            <w:r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wyrobu medycznego</w:t>
            </w:r>
            <w:r w:rsidR="00355992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A17F2" w:rsidRPr="00E06B5D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powinny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szybkorozłączalnymi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system składanego podwozia zapewniający łatwy załadunek do ambulansu,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*Podać średnicę kółek jezdnych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ppkt.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 Podać ciężar</w:t>
            </w:r>
          </w:p>
        </w:tc>
      </w:tr>
      <w:tr w:rsidR="00857781" w:rsidRPr="00424A73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E06B5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*Podać dop.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obci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ą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żenie</w:t>
            </w: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przesuw,  wysuw do tyłu i na zewnątrz z jednoczesnym pochyłem dla łatwego wprowadzenia noszy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>z transporterem, możliwość dojścia z każdej strony do pacjenta na noszach wsuniętych..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BE005A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regulację wysokości podstawy po wysunięciu - 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możliwoś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ć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płynnego wyregulowania wysokości płyty najazdowej podstawy do wysokości najazdowej kółek transportera noszy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36824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kpl.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36824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(max. 48 godz)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(max.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</w:t>
            </w:r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max.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czas naprawy gwarancyjnej</w:t>
            </w:r>
          </w:p>
        </w:tc>
      </w:tr>
      <w:tr w:rsidR="008A17F2" w:rsidRPr="00E06B5D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8A17F2" w:rsidP="004257D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zapewnienie zastępczych noszy na czas naprawy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trwającej więcej niż </w:t>
            </w:r>
            <w:r w:rsidR="004257D5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7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E626E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F04F33" w:rsidRDefault="008A17F2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A17F2" w:rsidRPr="009912C0" w:rsidRDefault="008A17F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Pr="00327F8D" w:rsidRDefault="00857781">
            <w:pPr>
              <w:rPr>
                <w:rFonts w:ascii="Times New Roman" w:hAnsi="Times New Roman"/>
                <w:b/>
                <w:strike/>
                <w:sz w:val="20"/>
                <w:szCs w:val="20"/>
                <w:lang w:val="pl-PL" w:eastAsia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857781" w:rsidRPr="00D36824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61FC7" w:rsidRPr="00E06B5D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1FC7" w:rsidRDefault="00361FC7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12.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FC7" w:rsidRDefault="00361FC7" w:rsidP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dmc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2 - max. 3 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1FC7" w:rsidRPr="009912C0" w:rsidRDefault="00361FC7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d.m.c. (brutto) skompletowanego ambulansu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857781" w:rsidRDefault="00857781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666612" w:rsidRDefault="00857781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1B33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D21B33" w:rsidRDefault="00857781" w:rsidP="00FB4F22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 w:rsidR="00FB4F22"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57781" w:rsidRPr="00D21B3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5B55" w:rsidRDefault="00857781" w:rsidP="00CC33A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 w:rsidR="0069370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CC33A8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1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datę produkcji pojazdu bazowego </w:t>
            </w:r>
            <w:r w:rsidR="0069370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 zabudowy jako ambulans</w:t>
            </w:r>
          </w:p>
        </w:tc>
      </w:tr>
      <w:tr w:rsidR="00857781" w:rsidRPr="00FB4F22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Pr="00B5143C" w:rsidRDefault="00857781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C065B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065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FB4F2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 w:rsidR="00FB4F2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857781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E65BD" w:rsidRDefault="00857781" w:rsidP="00CD60E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E06B5D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 w:rsidP="00FB4F2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 w:rsidR="00FB4F22"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3B2B43" w:rsidRDefault="00857781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 obsługi 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 obsług (przeglądów) 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97748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</w:t>
            </w:r>
            <w:r w:rsidR="00857781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316B7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i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C4B2B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E06B5D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:rsidR="00857781" w:rsidRDefault="00361FC7" w:rsidP="00C065B2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="00857781"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:rsidR="00857781" w:rsidRPr="00B1125D" w:rsidRDefault="00857781" w:rsidP="00C065B2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t.j.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25D">
              <w:rPr>
                <w:rFonts w:ascii="Times New Roman" w:hAnsi="Times New Roman"/>
                <w:sz w:val="20"/>
                <w:szCs w:val="20"/>
              </w:rPr>
              <w:t>modułu GPS ,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:rsidR="00857781" w:rsidRPr="00B1125D" w:rsidRDefault="00857781" w:rsidP="00B1125D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202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857781" w:rsidRPr="00237567" w:rsidRDefault="008A17F2" w:rsidP="00237567">
            <w:pPr>
              <w:pStyle w:val="Akapitzlist"/>
              <w:numPr>
                <w:ilvl w:val="0"/>
                <w:numId w:val="6"/>
              </w:numPr>
              <w:tabs>
                <w:tab w:val="num" w:pos="538"/>
              </w:tabs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2375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="009B3637" w:rsidRPr="002375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 w:rsidRPr="002375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ablet, drukarkę</w:t>
            </w:r>
            <w:r w:rsidR="009B3637" w:rsidRPr="002375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</w:t>
            </w:r>
            <w:r w:rsidRPr="0023756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GPS zapewnia Zamawiający we własnym zakresie.</w:t>
            </w:r>
          </w:p>
          <w:p w:rsidR="00237567" w:rsidRDefault="00237567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37567" w:rsidRPr="00237567" w:rsidRDefault="00237567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361FC7" w:rsidRPr="00834F98" w:rsidRDefault="00361FC7" w:rsidP="00361FC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 nr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4252"/>
              <w:gridCol w:w="1134"/>
              <w:gridCol w:w="3933"/>
            </w:tblGrid>
            <w:tr w:rsidR="00361FC7" w:rsidRPr="00E06B5D" w:rsidTr="007C615C">
              <w:trPr>
                <w:trHeight w:val="890"/>
              </w:trPr>
              <w:tc>
                <w:tcPr>
                  <w:tcW w:w="426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4252" w:type="dxa"/>
                </w:tcPr>
                <w:p w:rsidR="00361FC7" w:rsidRPr="004E0847" w:rsidRDefault="00361FC7" w:rsidP="004E084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 w:rsid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</w:t>
                  </w:r>
                  <w:r w:rsidR="004E0847"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dotyczące przystosowania do instalacji urządzeń SWD 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 „Tak” lub „Nie”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361FC7" w:rsidRPr="00834F98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4684E" w:rsidRPr="00E06B5D" w:rsidTr="007C615C">
              <w:trPr>
                <w:trHeight w:val="29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 w:rsidR="00007F9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D4684E" w:rsidRPr="00E06B5D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407FB6" w:rsidRDefault="00D4684E" w:rsidP="00407FB6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 w:rsid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E06B5D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E06B5D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E06B5D" w:rsidTr="00361FC7">
              <w:trPr>
                <w:trHeight w:hRule="exact" w:val="38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E06B5D" w:rsidTr="00334642">
              <w:trPr>
                <w:trHeight w:hRule="exact" w:val="39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E06B5D" w:rsidTr="007C615C">
              <w:trPr>
                <w:trHeight w:hRule="exact" w:val="714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E06B5D" w:rsidTr="00A44486">
              <w:trPr>
                <w:trHeight w:val="24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E06B5D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D4684E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1134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57781" w:rsidRDefault="00857781" w:rsidP="00881D5F">
            <w:pPr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857781" w:rsidRDefault="00857781" w:rsidP="009F610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857781" w:rsidRPr="00E06B5D" w:rsidTr="007B510C">
        <w:trPr>
          <w:cantSplit/>
          <w:trHeight w:val="353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:rsidR="00857781" w:rsidRDefault="00857781" w:rsidP="008A17F2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Pr="00802A74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</w:p>
    <w:p w:rsidR="00111C05" w:rsidRDefault="00111C05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CC33A8">
        <w:rPr>
          <w:rFonts w:ascii="Arial" w:hAnsi="Arial"/>
          <w:snapToGrid w:val="0"/>
          <w:color w:val="000000"/>
          <w:sz w:val="18"/>
          <w:szCs w:val="18"/>
          <w:lang w:val="pl-PL"/>
        </w:rPr>
        <w:t>1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081D40" w:rsidRDefault="00081D40" w:rsidP="00081D40">
      <w:pPr>
        <w:rPr>
          <w:b/>
          <w:color w:val="0000FF"/>
          <w:lang w:val="pl-PL"/>
        </w:rPr>
      </w:pPr>
    </w:p>
    <w:p w:rsidR="00834F98" w:rsidRPr="00C065B2" w:rsidRDefault="00C065B2" w:rsidP="00C065B2">
      <w:pPr>
        <w:jc w:val="center"/>
        <w:rPr>
          <w:rFonts w:ascii="Arial" w:hAnsi="Arial"/>
          <w:snapToGrid w:val="0"/>
          <w:sz w:val="18"/>
          <w:szCs w:val="18"/>
          <w:lang w:val="pl-PL"/>
        </w:rPr>
      </w:pPr>
      <w:r w:rsidRPr="00C065B2">
        <w:rPr>
          <w:b/>
          <w:lang w:val="pl-PL"/>
        </w:rPr>
        <w:t xml:space="preserve">Dokument należy podpisać i </w:t>
      </w:r>
      <w:r>
        <w:rPr>
          <w:b/>
          <w:lang w:val="pl-PL"/>
        </w:rPr>
        <w:t>złożyć</w:t>
      </w:r>
      <w:r w:rsidRPr="00C065B2">
        <w:rPr>
          <w:b/>
          <w:lang w:val="pl-PL"/>
        </w:rPr>
        <w:t xml:space="preserve"> zgodnie z wymogami opisanymi w SWZ</w:t>
      </w:r>
    </w:p>
    <w:sectPr w:rsidR="00834F98" w:rsidRPr="00C065B2" w:rsidSect="00594BF2">
      <w:headerReference w:type="default" r:id="rId9"/>
      <w:footerReference w:type="default" r:id="rId10"/>
      <w:pgSz w:w="11907" w:h="16840" w:code="9"/>
      <w:pgMar w:top="851" w:right="720" w:bottom="720" w:left="720" w:header="680" w:footer="709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22" w:rsidRDefault="00FB4F22">
      <w:r>
        <w:separator/>
      </w:r>
    </w:p>
  </w:endnote>
  <w:endnote w:type="continuationSeparator" w:id="0">
    <w:p w:rsidR="00FB4F22" w:rsidRDefault="00FB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E89B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22" w:rsidRDefault="00FB4F22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3756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B4F22" w:rsidRDefault="00FB4F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22" w:rsidRDefault="00FB4F22">
      <w:r>
        <w:separator/>
      </w:r>
    </w:p>
  </w:footnote>
  <w:footnote w:type="continuationSeparator" w:id="0">
    <w:p w:rsidR="00FB4F22" w:rsidRDefault="00FB4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22" w:rsidRDefault="00237567" w:rsidP="00594BF2">
    <w:pPr>
      <w:pStyle w:val="Nagwek"/>
      <w:jc w:val="center"/>
      <w:rPr>
        <w:i/>
        <w:sz w:val="16"/>
        <w:lang w:val="pl-PL"/>
      </w:rPr>
    </w:pPr>
    <w:r w:rsidRPr="00237567">
      <w:rPr>
        <w:i/>
        <w:sz w:val="16"/>
        <w:lang w:val="pl-PL"/>
      </w:rPr>
      <w:drawing>
        <wp:inline distT="0" distB="0" distL="0" distR="0">
          <wp:extent cx="3276600" cy="657225"/>
          <wp:effectExtent l="1905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4F22" w:rsidRDefault="00FB4F22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:rsidR="00FB4F22" w:rsidRDefault="00FB4F22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Nr sprawy : 4/AMB/2021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SIWZ,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7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2DE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53C5"/>
    <w:rsid w:val="0005719E"/>
    <w:rsid w:val="00061BC8"/>
    <w:rsid w:val="00067E7D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6F19"/>
    <w:rsid w:val="000B0134"/>
    <w:rsid w:val="000B3C7F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C05"/>
    <w:rsid w:val="00114007"/>
    <w:rsid w:val="001143F4"/>
    <w:rsid w:val="00123326"/>
    <w:rsid w:val="00127CF8"/>
    <w:rsid w:val="00132CEA"/>
    <w:rsid w:val="001350BE"/>
    <w:rsid w:val="0014443C"/>
    <w:rsid w:val="0014574D"/>
    <w:rsid w:val="0014593F"/>
    <w:rsid w:val="00155CC0"/>
    <w:rsid w:val="00156C8A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6BB"/>
    <w:rsid w:val="00237567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23B4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4642"/>
    <w:rsid w:val="00336FF0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288A"/>
    <w:rsid w:val="0040393E"/>
    <w:rsid w:val="00403B99"/>
    <w:rsid w:val="00407FB6"/>
    <w:rsid w:val="00410B14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8E2"/>
    <w:rsid w:val="0045280C"/>
    <w:rsid w:val="00457A94"/>
    <w:rsid w:val="00467448"/>
    <w:rsid w:val="00470799"/>
    <w:rsid w:val="00483249"/>
    <w:rsid w:val="00484943"/>
    <w:rsid w:val="00484BE0"/>
    <w:rsid w:val="004861C7"/>
    <w:rsid w:val="004878CF"/>
    <w:rsid w:val="0049467E"/>
    <w:rsid w:val="004947CA"/>
    <w:rsid w:val="004A2053"/>
    <w:rsid w:val="004A48A2"/>
    <w:rsid w:val="004A5265"/>
    <w:rsid w:val="004B286F"/>
    <w:rsid w:val="004B3EDF"/>
    <w:rsid w:val="004C1B61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83126"/>
    <w:rsid w:val="0058363B"/>
    <w:rsid w:val="00583935"/>
    <w:rsid w:val="00584DA3"/>
    <w:rsid w:val="0058583D"/>
    <w:rsid w:val="00592D4D"/>
    <w:rsid w:val="00594425"/>
    <w:rsid w:val="00594BF2"/>
    <w:rsid w:val="00594C50"/>
    <w:rsid w:val="0059532F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AA"/>
    <w:rsid w:val="005D4309"/>
    <w:rsid w:val="005D4378"/>
    <w:rsid w:val="005E4E43"/>
    <w:rsid w:val="005E4FA7"/>
    <w:rsid w:val="005E6118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6612"/>
    <w:rsid w:val="00667679"/>
    <w:rsid w:val="00676833"/>
    <w:rsid w:val="00676F27"/>
    <w:rsid w:val="00677385"/>
    <w:rsid w:val="006812A0"/>
    <w:rsid w:val="00681B9A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7A8"/>
    <w:rsid w:val="00705A7E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378A"/>
    <w:rsid w:val="007D5AB3"/>
    <w:rsid w:val="007F1887"/>
    <w:rsid w:val="007F3872"/>
    <w:rsid w:val="00802A74"/>
    <w:rsid w:val="00810059"/>
    <w:rsid w:val="008104E2"/>
    <w:rsid w:val="00813631"/>
    <w:rsid w:val="00822E14"/>
    <w:rsid w:val="0082358E"/>
    <w:rsid w:val="00823764"/>
    <w:rsid w:val="00823FAA"/>
    <w:rsid w:val="00830096"/>
    <w:rsid w:val="00834F98"/>
    <w:rsid w:val="00836DDF"/>
    <w:rsid w:val="00840B57"/>
    <w:rsid w:val="008474A7"/>
    <w:rsid w:val="008478D8"/>
    <w:rsid w:val="008508FD"/>
    <w:rsid w:val="0085543B"/>
    <w:rsid w:val="008564BF"/>
    <w:rsid w:val="00857781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D1370"/>
    <w:rsid w:val="008D508E"/>
    <w:rsid w:val="008D67DC"/>
    <w:rsid w:val="008D6BE3"/>
    <w:rsid w:val="008E0455"/>
    <w:rsid w:val="008E2DAB"/>
    <w:rsid w:val="008E5EF7"/>
    <w:rsid w:val="008E65DB"/>
    <w:rsid w:val="008F2C1C"/>
    <w:rsid w:val="008F43C8"/>
    <w:rsid w:val="00906754"/>
    <w:rsid w:val="00910658"/>
    <w:rsid w:val="00910F2B"/>
    <w:rsid w:val="00911B4C"/>
    <w:rsid w:val="00911DDB"/>
    <w:rsid w:val="00913E15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B080A"/>
    <w:rsid w:val="009B3637"/>
    <w:rsid w:val="009B76C2"/>
    <w:rsid w:val="009C13A5"/>
    <w:rsid w:val="009D0483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81DCB"/>
    <w:rsid w:val="00A82762"/>
    <w:rsid w:val="00A90EDD"/>
    <w:rsid w:val="00A922B3"/>
    <w:rsid w:val="00A92DEC"/>
    <w:rsid w:val="00A9788F"/>
    <w:rsid w:val="00AA4EA4"/>
    <w:rsid w:val="00AA7C1A"/>
    <w:rsid w:val="00AA7C50"/>
    <w:rsid w:val="00AB5107"/>
    <w:rsid w:val="00AC01B9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885"/>
    <w:rsid w:val="00B5143C"/>
    <w:rsid w:val="00B567A1"/>
    <w:rsid w:val="00B5743A"/>
    <w:rsid w:val="00B57C37"/>
    <w:rsid w:val="00B67B2E"/>
    <w:rsid w:val="00B70A1B"/>
    <w:rsid w:val="00B70AC6"/>
    <w:rsid w:val="00B730BB"/>
    <w:rsid w:val="00B750B3"/>
    <w:rsid w:val="00B86247"/>
    <w:rsid w:val="00B87552"/>
    <w:rsid w:val="00B90ED3"/>
    <w:rsid w:val="00BA20D4"/>
    <w:rsid w:val="00BA2E2E"/>
    <w:rsid w:val="00BA558C"/>
    <w:rsid w:val="00BC1F15"/>
    <w:rsid w:val="00BC270A"/>
    <w:rsid w:val="00BC52DE"/>
    <w:rsid w:val="00BC7494"/>
    <w:rsid w:val="00BD37DD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C0F"/>
    <w:rsid w:val="00C14890"/>
    <w:rsid w:val="00C16212"/>
    <w:rsid w:val="00C2142B"/>
    <w:rsid w:val="00C23EA9"/>
    <w:rsid w:val="00C30A64"/>
    <w:rsid w:val="00C30AD1"/>
    <w:rsid w:val="00C32249"/>
    <w:rsid w:val="00C4179D"/>
    <w:rsid w:val="00C4746B"/>
    <w:rsid w:val="00C53027"/>
    <w:rsid w:val="00C57D7A"/>
    <w:rsid w:val="00C609CA"/>
    <w:rsid w:val="00C648D3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6CDE"/>
    <w:rsid w:val="00CB7B49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FE9"/>
    <w:rsid w:val="00CF6410"/>
    <w:rsid w:val="00CF689F"/>
    <w:rsid w:val="00D009D6"/>
    <w:rsid w:val="00D01853"/>
    <w:rsid w:val="00D02DC8"/>
    <w:rsid w:val="00D02FA9"/>
    <w:rsid w:val="00D10434"/>
    <w:rsid w:val="00D1186D"/>
    <w:rsid w:val="00D12428"/>
    <w:rsid w:val="00D21B33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6AF3"/>
    <w:rsid w:val="00D62E6C"/>
    <w:rsid w:val="00D62E8C"/>
    <w:rsid w:val="00D639C1"/>
    <w:rsid w:val="00D72AF2"/>
    <w:rsid w:val="00D756BF"/>
    <w:rsid w:val="00D8163A"/>
    <w:rsid w:val="00D83279"/>
    <w:rsid w:val="00D856BB"/>
    <w:rsid w:val="00D86652"/>
    <w:rsid w:val="00D90E39"/>
    <w:rsid w:val="00D92FB8"/>
    <w:rsid w:val="00DA0312"/>
    <w:rsid w:val="00DA382A"/>
    <w:rsid w:val="00DB1DE9"/>
    <w:rsid w:val="00DB2585"/>
    <w:rsid w:val="00DB4C7B"/>
    <w:rsid w:val="00DC1A7C"/>
    <w:rsid w:val="00DC217D"/>
    <w:rsid w:val="00DC3C6F"/>
    <w:rsid w:val="00DC5851"/>
    <w:rsid w:val="00DD2AE0"/>
    <w:rsid w:val="00DD5F33"/>
    <w:rsid w:val="00DE5953"/>
    <w:rsid w:val="00DE60FC"/>
    <w:rsid w:val="00DF1EDB"/>
    <w:rsid w:val="00DF240F"/>
    <w:rsid w:val="00DF33F7"/>
    <w:rsid w:val="00DF3EDE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2D63"/>
    <w:rsid w:val="00E342E9"/>
    <w:rsid w:val="00E36828"/>
    <w:rsid w:val="00E40CD6"/>
    <w:rsid w:val="00E41CA8"/>
    <w:rsid w:val="00E44920"/>
    <w:rsid w:val="00E5039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3EE4"/>
    <w:rsid w:val="00FC4C30"/>
    <w:rsid w:val="00FE37B6"/>
    <w:rsid w:val="00FE4231"/>
    <w:rsid w:val="00FE58AE"/>
    <w:rsid w:val="00FF0190"/>
    <w:rsid w:val="00FF0A63"/>
    <w:rsid w:val="00FF3731"/>
    <w:rsid w:val="00FF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9AD6-E017-4F08-9B77-1F5E34B4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22</Pages>
  <Words>4656</Words>
  <Characters>30017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Piotr Michno</cp:lastModifiedBy>
  <cp:revision>22</cp:revision>
  <cp:lastPrinted>2021-05-11T06:23:00Z</cp:lastPrinted>
  <dcterms:created xsi:type="dcterms:W3CDTF">2021-04-25T18:03:00Z</dcterms:created>
  <dcterms:modified xsi:type="dcterms:W3CDTF">2021-05-11T06:26:00Z</dcterms:modified>
</cp:coreProperties>
</file>