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7948DA" w14:textId="77777777" w:rsidR="001752FA" w:rsidRDefault="005D3332">
      <w:pPr>
        <w:tabs>
          <w:tab w:val="left" w:pos="142"/>
          <w:tab w:val="right" w:pos="8809"/>
        </w:tabs>
        <w:spacing w:after="120"/>
        <w:jc w:val="center"/>
        <w:rPr>
          <w:rFonts w:ascii="Arial" w:hAnsi="Arial" w:cs="Arial"/>
          <w:b/>
        </w:rPr>
      </w:pPr>
      <w:r>
        <w:rPr>
          <w:rFonts w:ascii="Arial" w:hAnsi="Arial" w:cs="Arial"/>
          <w:b/>
        </w:rPr>
        <w:t>1. WSTĘP</w:t>
      </w:r>
    </w:p>
    <w:p w14:paraId="64ECBDBE"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 xml:space="preserve">1.1. Przedmiot STWiORB </w:t>
      </w:r>
    </w:p>
    <w:p w14:paraId="4321C782" w14:textId="77777777" w:rsidR="00D175CC" w:rsidRDefault="005D3332" w:rsidP="00D175CC">
      <w:pPr>
        <w:suppressAutoHyphens/>
        <w:overflowPunct w:val="0"/>
        <w:autoSpaceDE w:val="0"/>
        <w:ind w:firstLine="567"/>
        <w:jc w:val="both"/>
        <w:rPr>
          <w:rFonts w:ascii="Arial" w:hAnsi="Arial" w:cs="Arial"/>
          <w:b/>
          <w:sz w:val="18"/>
          <w:szCs w:val="18"/>
          <w:lang w:eastAsia="ar-SA"/>
        </w:rPr>
      </w:pPr>
      <w:r>
        <w:rPr>
          <w:rFonts w:ascii="Arial" w:hAnsi="Arial" w:cs="Arial"/>
          <w:sz w:val="18"/>
          <w:szCs w:val="18"/>
        </w:rPr>
        <w:t xml:space="preserve">Przedmiotem niniejszej Specyfikacji Technicznej Wykonania i Odbioru Robót Budowlanych (STWiORB)      są wymagania techniczne dotyczące wykonania i odbioru warstwy wiążącej z betonu asfaltowego, </w:t>
      </w:r>
      <w:r>
        <w:rPr>
          <w:rFonts w:ascii="Arial" w:hAnsi="Arial" w:cs="Arial"/>
          <w:sz w:val="18"/>
          <w:szCs w:val="18"/>
          <w:lang w:eastAsia="ar-SA"/>
        </w:rPr>
        <w:t>w ramach zadania pn.:</w:t>
      </w:r>
    </w:p>
    <w:p w14:paraId="6486B948" w14:textId="77777777" w:rsidR="00D175CC" w:rsidRDefault="00D175CC" w:rsidP="00D175CC">
      <w:pPr>
        <w:suppressAutoHyphens/>
        <w:overflowPunct w:val="0"/>
        <w:autoSpaceDE w:val="0"/>
        <w:jc w:val="both"/>
        <w:rPr>
          <w:rFonts w:ascii="Arial" w:hAnsi="Arial" w:cs="Arial"/>
          <w:b/>
          <w:sz w:val="18"/>
          <w:szCs w:val="18"/>
          <w:lang w:eastAsia="ar-SA"/>
        </w:rPr>
      </w:pPr>
    </w:p>
    <w:p w14:paraId="1FE081FF" w14:textId="63BC39EF" w:rsidR="001752FA" w:rsidRDefault="006D6DAC">
      <w:pPr>
        <w:suppressAutoHyphens/>
        <w:overflowPunct w:val="0"/>
        <w:autoSpaceDE w:val="0"/>
        <w:rPr>
          <w:rFonts w:ascii="Arial" w:hAnsi="Arial" w:cs="Arial"/>
          <w:b/>
          <w:sz w:val="18"/>
          <w:szCs w:val="18"/>
        </w:rPr>
      </w:pPr>
      <w:r w:rsidRPr="006D6DAC">
        <w:rPr>
          <w:rFonts w:ascii="Arial" w:hAnsi="Arial" w:cs="Arial"/>
          <w:b/>
          <w:sz w:val="18"/>
          <w:szCs w:val="18"/>
        </w:rPr>
        <w:t xml:space="preserve">Przebudowa drogi gminnej w km 0+000 - 0+057 (dz. dr. nr </w:t>
      </w:r>
      <w:proofErr w:type="spellStart"/>
      <w:r w:rsidRPr="006D6DAC">
        <w:rPr>
          <w:rFonts w:ascii="Arial" w:hAnsi="Arial" w:cs="Arial"/>
          <w:b/>
          <w:sz w:val="18"/>
          <w:szCs w:val="18"/>
        </w:rPr>
        <w:t>ewid</w:t>
      </w:r>
      <w:proofErr w:type="spellEnd"/>
      <w:r w:rsidRPr="006D6DAC">
        <w:rPr>
          <w:rFonts w:ascii="Arial" w:hAnsi="Arial" w:cs="Arial"/>
          <w:b/>
          <w:sz w:val="18"/>
          <w:szCs w:val="18"/>
        </w:rPr>
        <w:t xml:space="preserve">. 1043/7, 1043/10, 1043/11; obręb: 0077-Dąbrówka </w:t>
      </w:r>
      <w:proofErr w:type="spellStart"/>
      <w:r w:rsidRPr="006D6DAC">
        <w:rPr>
          <w:rFonts w:ascii="Arial" w:hAnsi="Arial" w:cs="Arial"/>
          <w:b/>
          <w:sz w:val="18"/>
          <w:szCs w:val="18"/>
        </w:rPr>
        <w:t>Wisł</w:t>
      </w:r>
      <w:proofErr w:type="spellEnd"/>
      <w:r w:rsidRPr="006D6DAC">
        <w:rPr>
          <w:rFonts w:ascii="Arial" w:hAnsi="Arial" w:cs="Arial"/>
          <w:b/>
          <w:sz w:val="18"/>
          <w:szCs w:val="18"/>
        </w:rPr>
        <w:t>.) w m. Dąbrówka Wisłocka</w:t>
      </w:r>
    </w:p>
    <w:p w14:paraId="03F30BA5" w14:textId="77777777" w:rsidR="006D6DAC" w:rsidRDefault="006D6DAC">
      <w:pPr>
        <w:suppressAutoHyphens/>
        <w:overflowPunct w:val="0"/>
        <w:autoSpaceDE w:val="0"/>
        <w:rPr>
          <w:rFonts w:ascii="Arial" w:hAnsi="Arial" w:cs="Arial"/>
          <w:b/>
          <w:sz w:val="18"/>
          <w:szCs w:val="18"/>
        </w:rPr>
      </w:pPr>
    </w:p>
    <w:p w14:paraId="02E7CD56" w14:textId="77777777" w:rsidR="001752FA" w:rsidRDefault="005D3332">
      <w:pPr>
        <w:suppressAutoHyphens/>
        <w:overflowPunct w:val="0"/>
        <w:autoSpaceDE w:val="0"/>
        <w:spacing w:after="60"/>
        <w:rPr>
          <w:rFonts w:ascii="Arial" w:hAnsi="Arial" w:cs="Arial"/>
          <w:b/>
          <w:sz w:val="18"/>
          <w:szCs w:val="18"/>
        </w:rPr>
      </w:pPr>
      <w:r>
        <w:rPr>
          <w:rFonts w:ascii="Arial" w:hAnsi="Arial" w:cs="Arial"/>
          <w:b/>
          <w:sz w:val="18"/>
          <w:szCs w:val="18"/>
        </w:rPr>
        <w:t>1.2. Zakres stosowania STWiORB</w:t>
      </w:r>
    </w:p>
    <w:p w14:paraId="11BD0A7A"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 xml:space="preserve">STWiORB jest stosowana jako dokument przetargowy i kontraktowy przy zlecaniu i realizacji robót wymienionych w p. 1.1. </w:t>
      </w:r>
    </w:p>
    <w:p w14:paraId="1C47A093" w14:textId="77777777" w:rsidR="001752FA" w:rsidRDefault="001752FA">
      <w:pPr>
        <w:tabs>
          <w:tab w:val="left" w:pos="0"/>
          <w:tab w:val="right" w:pos="8809"/>
        </w:tabs>
        <w:ind w:firstLine="567"/>
        <w:jc w:val="both"/>
        <w:rPr>
          <w:rFonts w:ascii="Arial" w:hAnsi="Arial" w:cs="Arial"/>
          <w:sz w:val="18"/>
          <w:szCs w:val="18"/>
        </w:rPr>
      </w:pPr>
    </w:p>
    <w:p w14:paraId="02E7DF01" w14:textId="77777777" w:rsidR="001752FA" w:rsidRDefault="005D3332">
      <w:pPr>
        <w:suppressAutoHyphens/>
        <w:overflowPunct w:val="0"/>
        <w:autoSpaceDE w:val="0"/>
        <w:spacing w:after="60"/>
        <w:rPr>
          <w:rFonts w:ascii="Arial" w:hAnsi="Arial" w:cs="Arial"/>
          <w:sz w:val="18"/>
          <w:szCs w:val="18"/>
        </w:rPr>
      </w:pPr>
      <w:r>
        <w:rPr>
          <w:rFonts w:ascii="Arial" w:hAnsi="Arial" w:cs="Arial"/>
          <w:b/>
          <w:sz w:val="18"/>
          <w:szCs w:val="18"/>
        </w:rPr>
        <w:t>1.3. Zakres robót objętych STWiORB</w:t>
      </w:r>
    </w:p>
    <w:p w14:paraId="1462D44D" w14:textId="77777777" w:rsidR="001752FA" w:rsidRDefault="005D3332">
      <w:pPr>
        <w:ind w:firstLine="567"/>
        <w:jc w:val="both"/>
        <w:rPr>
          <w:rFonts w:ascii="Arial" w:hAnsi="Arial" w:cs="Arial"/>
          <w:sz w:val="18"/>
          <w:szCs w:val="18"/>
        </w:rPr>
      </w:pPr>
      <w:r>
        <w:rPr>
          <w:rFonts w:ascii="Arial" w:hAnsi="Arial" w:cs="Arial"/>
          <w:sz w:val="18"/>
          <w:szCs w:val="18"/>
        </w:rPr>
        <w:t xml:space="preserve">Ustalenia zawarte w niniejszej STWiORB dotyczą robót wymienionych w pkt. 1.1. i obejmują wykonanie  nawierzchni z betonu asfaltowego wg normy PN-EN 13108-1 oraz Wymagań Technicznych. WT-2 2014 część I. Mieszanki mineralno-asfaltowe. I WT-2 2016 część II. Wykonanie warstw nawierzchni asfaltowych. </w:t>
      </w:r>
    </w:p>
    <w:p w14:paraId="2E774486" w14:textId="77777777" w:rsidR="001752FA" w:rsidRDefault="005D3332">
      <w:pPr>
        <w:spacing w:before="60" w:after="60"/>
        <w:ind w:firstLine="567"/>
        <w:jc w:val="both"/>
        <w:rPr>
          <w:rFonts w:ascii="Arial" w:hAnsi="Arial" w:cs="Arial"/>
          <w:sz w:val="18"/>
          <w:szCs w:val="18"/>
        </w:rPr>
      </w:pPr>
      <w:r>
        <w:rPr>
          <w:rFonts w:ascii="Arial" w:hAnsi="Arial" w:cs="Arial"/>
          <w:sz w:val="18"/>
          <w:szCs w:val="18"/>
        </w:rPr>
        <w:t xml:space="preserve">Z mieszanki betonu asfaltowego AC 16W dla ruchu KR 2, należy wykonać warstwę wiążącą o grubości </w:t>
      </w:r>
      <w:r>
        <w:rPr>
          <w:rFonts w:ascii="Arial" w:hAnsi="Arial" w:cs="Arial"/>
          <w:sz w:val="18"/>
          <w:szCs w:val="18"/>
        </w:rPr>
        <w:br/>
        <w:t>zgodnej z dokumentacją techniczną.</w:t>
      </w:r>
    </w:p>
    <w:p w14:paraId="308C9C27" w14:textId="77777777" w:rsidR="001752FA" w:rsidRDefault="005D3332">
      <w:pPr>
        <w:overflowPunct w:val="0"/>
        <w:autoSpaceDE w:val="0"/>
        <w:autoSpaceDN w:val="0"/>
        <w:adjustRightInd w:val="0"/>
        <w:ind w:firstLine="567"/>
        <w:jc w:val="both"/>
        <w:rPr>
          <w:rFonts w:ascii="Arial" w:hAnsi="Arial" w:cs="Arial"/>
          <w:sz w:val="18"/>
          <w:szCs w:val="18"/>
        </w:rPr>
      </w:pPr>
      <w:r>
        <w:rPr>
          <w:rFonts w:ascii="Arial" w:hAnsi="Arial" w:cs="Arial"/>
          <w:sz w:val="18"/>
          <w:szCs w:val="18"/>
        </w:rPr>
        <w:t>Dokładne informacje dotyczące zakresu wykonania robót, znajdują się w Dokumentacji Technicznej.</w:t>
      </w:r>
    </w:p>
    <w:p w14:paraId="1D4F44FC" w14:textId="77777777" w:rsidR="001752FA" w:rsidRDefault="005D3332">
      <w:pPr>
        <w:ind w:firstLine="567"/>
        <w:rPr>
          <w:rFonts w:ascii="Arial" w:hAnsi="Arial" w:cs="Arial"/>
          <w:sz w:val="18"/>
          <w:szCs w:val="18"/>
        </w:rPr>
      </w:pPr>
      <w:r>
        <w:rPr>
          <w:rFonts w:ascii="Arial" w:hAnsi="Arial" w:cs="Arial"/>
          <w:sz w:val="18"/>
          <w:szCs w:val="18"/>
        </w:rPr>
        <w:t>Wykonawca Robót zobowiązany jest prowadzić Zakładową Kontrolę Produkcji (ZKP) zgodnie z normą PN-EN 13108-21.</w:t>
      </w:r>
    </w:p>
    <w:p w14:paraId="05162F99" w14:textId="77777777" w:rsidR="001752FA" w:rsidRDefault="001752FA">
      <w:pPr>
        <w:ind w:firstLine="567"/>
        <w:rPr>
          <w:rFonts w:ascii="Arial" w:hAnsi="Arial" w:cs="Arial"/>
          <w:sz w:val="18"/>
          <w:szCs w:val="18"/>
        </w:rPr>
      </w:pPr>
    </w:p>
    <w:p w14:paraId="3F2CAEF7" w14:textId="77777777" w:rsidR="001752FA" w:rsidRDefault="005D3332">
      <w:pPr>
        <w:tabs>
          <w:tab w:val="left" w:pos="0"/>
          <w:tab w:val="left" w:pos="4277"/>
        </w:tabs>
        <w:suppressAutoHyphens/>
        <w:overflowPunct w:val="0"/>
        <w:autoSpaceDE w:val="0"/>
        <w:spacing w:after="60"/>
        <w:rPr>
          <w:rFonts w:ascii="Arial" w:hAnsi="Arial" w:cs="Arial"/>
          <w:b/>
          <w:sz w:val="18"/>
          <w:szCs w:val="18"/>
        </w:rPr>
      </w:pPr>
      <w:r>
        <w:rPr>
          <w:rFonts w:ascii="Arial" w:hAnsi="Arial" w:cs="Arial"/>
          <w:b/>
          <w:sz w:val="18"/>
          <w:szCs w:val="18"/>
        </w:rPr>
        <w:t>1.4. Określenia podstawowe</w:t>
      </w:r>
      <w:r>
        <w:rPr>
          <w:rFonts w:ascii="Arial" w:hAnsi="Arial" w:cs="Arial"/>
          <w:b/>
          <w:sz w:val="18"/>
          <w:szCs w:val="18"/>
        </w:rPr>
        <w:tab/>
      </w:r>
    </w:p>
    <w:p w14:paraId="3040FDEB" w14:textId="77777777" w:rsidR="001752FA" w:rsidRDefault="005D3332">
      <w:pPr>
        <w:tabs>
          <w:tab w:val="left" w:pos="567"/>
          <w:tab w:val="right" w:pos="8809"/>
        </w:tabs>
        <w:ind w:left="567" w:hanging="567"/>
        <w:jc w:val="both"/>
        <w:rPr>
          <w:rFonts w:ascii="Arial" w:hAnsi="Arial" w:cs="Arial"/>
          <w:sz w:val="18"/>
          <w:szCs w:val="18"/>
        </w:rPr>
      </w:pPr>
      <w:r>
        <w:rPr>
          <w:rFonts w:ascii="Arial" w:hAnsi="Arial" w:cs="Arial"/>
          <w:sz w:val="18"/>
          <w:szCs w:val="18"/>
        </w:rPr>
        <w:t>1.4.2. Beton asfaltowy – mieszanka mineralno-asfaltowa o uziarnieniu ciągłym lub nieciągłym tworzy strukturę wzajemnie klinującą się.</w:t>
      </w:r>
    </w:p>
    <w:p w14:paraId="4859DF16" w14:textId="77777777" w:rsidR="001752FA" w:rsidRDefault="005D3332">
      <w:pPr>
        <w:tabs>
          <w:tab w:val="left" w:pos="567"/>
          <w:tab w:val="right" w:pos="8809"/>
        </w:tabs>
        <w:ind w:left="567" w:hanging="567"/>
        <w:jc w:val="both"/>
        <w:rPr>
          <w:rFonts w:ascii="Arial" w:hAnsi="Arial" w:cs="Arial"/>
          <w:sz w:val="18"/>
          <w:szCs w:val="18"/>
        </w:rPr>
      </w:pPr>
      <w:r>
        <w:rPr>
          <w:rFonts w:ascii="Arial" w:hAnsi="Arial" w:cs="Arial"/>
          <w:sz w:val="18"/>
          <w:szCs w:val="18"/>
        </w:rPr>
        <w:t>1.4.3. Podłoże pod warstwę asfaltową – powierzchnia przygotowana do ułożenia warstwy z mieszanki mineralno-asfaltowej</w:t>
      </w:r>
    </w:p>
    <w:p w14:paraId="3AD02A1B" w14:textId="77777777" w:rsidR="001752FA" w:rsidRDefault="005D3332">
      <w:pPr>
        <w:tabs>
          <w:tab w:val="left" w:pos="567"/>
          <w:tab w:val="right" w:pos="8809"/>
        </w:tabs>
        <w:ind w:left="567" w:hanging="567"/>
        <w:jc w:val="both"/>
        <w:rPr>
          <w:rFonts w:ascii="Arial" w:hAnsi="Arial" w:cs="Arial"/>
          <w:sz w:val="18"/>
          <w:szCs w:val="18"/>
        </w:rPr>
      </w:pPr>
      <w:r>
        <w:rPr>
          <w:rFonts w:ascii="Arial" w:hAnsi="Arial" w:cs="Arial"/>
          <w:sz w:val="18"/>
          <w:szCs w:val="18"/>
        </w:rPr>
        <w:t>1.4.4. Wymiar mieszanki mineralno-asfaltowej – jest to określenie mieszanki mineralno-asfaltowej ze względu na wymiar największego kruszywa.</w:t>
      </w:r>
    </w:p>
    <w:p w14:paraId="5EEC22DA" w14:textId="77777777" w:rsidR="001752FA" w:rsidRDefault="005D3332">
      <w:pPr>
        <w:tabs>
          <w:tab w:val="left" w:pos="567"/>
          <w:tab w:val="right" w:pos="8809"/>
        </w:tabs>
        <w:ind w:left="567" w:hanging="567"/>
        <w:jc w:val="both"/>
        <w:rPr>
          <w:rFonts w:ascii="Arial" w:hAnsi="Arial" w:cs="Arial"/>
          <w:sz w:val="18"/>
          <w:szCs w:val="18"/>
        </w:rPr>
      </w:pPr>
      <w:r>
        <w:rPr>
          <w:rFonts w:ascii="Arial" w:hAnsi="Arial" w:cs="Arial"/>
          <w:sz w:val="18"/>
          <w:szCs w:val="18"/>
        </w:rPr>
        <w:t>1.4.5. Typ mieszanki mineralno-asfaltowej – jest to określenie mieszanki mineralno-asfaltowej ze względu na: krzywą uziarnienia kruszywa (ciągłą lub nieciągłą), zawartość wolnych przestrzeni, proporcje składników lub technologię wytwarzania i wbudowania.</w:t>
      </w:r>
    </w:p>
    <w:p w14:paraId="2401E541" w14:textId="77777777" w:rsidR="001752FA" w:rsidRDefault="005D3332">
      <w:pPr>
        <w:tabs>
          <w:tab w:val="left" w:pos="567"/>
          <w:tab w:val="right" w:pos="8809"/>
        </w:tabs>
        <w:ind w:left="567" w:hanging="567"/>
        <w:jc w:val="both"/>
        <w:rPr>
          <w:rFonts w:ascii="Arial" w:hAnsi="Arial" w:cs="Arial"/>
          <w:sz w:val="18"/>
          <w:szCs w:val="18"/>
        </w:rPr>
      </w:pPr>
      <w:r>
        <w:rPr>
          <w:rFonts w:ascii="Arial" w:hAnsi="Arial" w:cs="Arial"/>
          <w:sz w:val="18"/>
          <w:szCs w:val="18"/>
        </w:rPr>
        <w:t>1.4.6. Pozostałe określenia – podane w niniejszej STWiORB są zgodne z obowiązującymi odpowiednimi polskimi normami i określeniami podanymi w pkt.1.4 STWiORB D-00.00.00 „Wymagania ogólne”.</w:t>
      </w:r>
    </w:p>
    <w:p w14:paraId="77C4C334" w14:textId="77777777" w:rsidR="001752FA" w:rsidRDefault="001752FA">
      <w:pPr>
        <w:tabs>
          <w:tab w:val="left" w:pos="0"/>
          <w:tab w:val="right" w:pos="8809"/>
        </w:tabs>
        <w:jc w:val="both"/>
        <w:rPr>
          <w:rFonts w:ascii="Arial" w:hAnsi="Arial" w:cs="Arial"/>
          <w:b/>
          <w:sz w:val="18"/>
          <w:szCs w:val="18"/>
        </w:rPr>
      </w:pPr>
    </w:p>
    <w:p w14:paraId="5281A4DD" w14:textId="77777777" w:rsidR="001752FA" w:rsidRDefault="005D3332">
      <w:pPr>
        <w:tabs>
          <w:tab w:val="left" w:pos="0"/>
          <w:tab w:val="right" w:pos="8809"/>
        </w:tabs>
        <w:suppressAutoHyphens/>
        <w:overflowPunct w:val="0"/>
        <w:autoSpaceDE w:val="0"/>
        <w:spacing w:after="60"/>
        <w:rPr>
          <w:rFonts w:ascii="Arial" w:hAnsi="Arial" w:cs="Arial"/>
          <w:b/>
          <w:sz w:val="18"/>
          <w:szCs w:val="18"/>
        </w:rPr>
      </w:pPr>
      <w:r>
        <w:rPr>
          <w:rFonts w:ascii="Arial" w:hAnsi="Arial" w:cs="Arial"/>
          <w:b/>
          <w:sz w:val="18"/>
          <w:szCs w:val="18"/>
        </w:rPr>
        <w:t>1.5. Ogólne wymagania dotyczące robót</w:t>
      </w:r>
    </w:p>
    <w:p w14:paraId="529E9F9B"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Ogólne wymagania dotyczące robót podano w STWiORB D-00.00.00. „Wymagania ogólne” pkt. 1.5.</w:t>
      </w:r>
    </w:p>
    <w:p w14:paraId="2A5DD7AC" w14:textId="77777777" w:rsidR="001752FA" w:rsidRDefault="001752FA">
      <w:pPr>
        <w:tabs>
          <w:tab w:val="left" w:pos="0"/>
          <w:tab w:val="right" w:pos="8809"/>
        </w:tabs>
        <w:jc w:val="both"/>
        <w:rPr>
          <w:rFonts w:ascii="Arial" w:hAnsi="Arial" w:cs="Arial"/>
          <w:sz w:val="18"/>
          <w:szCs w:val="18"/>
        </w:rPr>
      </w:pPr>
    </w:p>
    <w:p w14:paraId="6D27BD92" w14:textId="77777777" w:rsidR="001752FA" w:rsidRDefault="001752FA">
      <w:pPr>
        <w:tabs>
          <w:tab w:val="left" w:pos="0"/>
          <w:tab w:val="right" w:pos="8809"/>
        </w:tabs>
        <w:jc w:val="both"/>
        <w:rPr>
          <w:rFonts w:ascii="Arial" w:hAnsi="Arial" w:cs="Arial"/>
          <w:sz w:val="18"/>
          <w:szCs w:val="18"/>
        </w:rPr>
      </w:pPr>
    </w:p>
    <w:p w14:paraId="28A06CF2" w14:textId="77777777" w:rsidR="001752FA" w:rsidRDefault="005D3332">
      <w:pPr>
        <w:tabs>
          <w:tab w:val="left" w:pos="142"/>
          <w:tab w:val="right" w:pos="8809"/>
        </w:tabs>
        <w:spacing w:after="120"/>
        <w:jc w:val="center"/>
        <w:rPr>
          <w:rFonts w:ascii="Arial" w:hAnsi="Arial" w:cs="Arial"/>
          <w:b/>
        </w:rPr>
      </w:pPr>
      <w:r>
        <w:rPr>
          <w:rFonts w:ascii="Arial" w:hAnsi="Arial" w:cs="Arial"/>
          <w:b/>
        </w:rPr>
        <w:t>2. MATERIAŁY</w:t>
      </w:r>
    </w:p>
    <w:p w14:paraId="2D8050C3"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2.1. Wymagania ogólne</w:t>
      </w:r>
    </w:p>
    <w:p w14:paraId="2EA7224E" w14:textId="77777777" w:rsidR="001752FA" w:rsidRDefault="005D3332">
      <w:pPr>
        <w:suppressAutoHyphens/>
        <w:ind w:firstLine="567"/>
        <w:jc w:val="both"/>
        <w:rPr>
          <w:rFonts w:ascii="Arial" w:hAnsi="Arial" w:cs="Arial"/>
          <w:spacing w:val="-3"/>
          <w:sz w:val="18"/>
          <w:szCs w:val="18"/>
        </w:rPr>
      </w:pPr>
      <w:r>
        <w:rPr>
          <w:rFonts w:ascii="Arial" w:hAnsi="Arial" w:cs="Arial"/>
          <w:spacing w:val="-3"/>
          <w:sz w:val="18"/>
          <w:szCs w:val="18"/>
        </w:rPr>
        <w:t xml:space="preserve">Ogólne wymagania dotyczące materiałów, ich pozyskiwania i składowania podano w </w:t>
      </w:r>
      <w:r>
        <w:rPr>
          <w:rFonts w:ascii="Arial" w:hAnsi="Arial" w:cs="Arial"/>
          <w:sz w:val="18"/>
          <w:szCs w:val="18"/>
        </w:rPr>
        <w:t>STWiORB</w:t>
      </w:r>
      <w:r>
        <w:rPr>
          <w:rFonts w:ascii="Arial" w:hAnsi="Arial" w:cs="Arial"/>
          <w:spacing w:val="-3"/>
          <w:sz w:val="18"/>
          <w:szCs w:val="18"/>
        </w:rPr>
        <w:t xml:space="preserve"> D-M.00.00.00. „Wymagania ogólne” pkt. 2.</w:t>
      </w:r>
    </w:p>
    <w:p w14:paraId="5CDBDF87" w14:textId="77777777" w:rsidR="001752FA" w:rsidRDefault="005D3332">
      <w:pPr>
        <w:suppressAutoHyphens/>
        <w:ind w:firstLine="567"/>
        <w:jc w:val="both"/>
        <w:rPr>
          <w:rFonts w:ascii="Arial" w:hAnsi="Arial" w:cs="Arial"/>
          <w:sz w:val="18"/>
          <w:szCs w:val="18"/>
        </w:rPr>
      </w:pPr>
      <w:r>
        <w:rPr>
          <w:rFonts w:ascii="Arial" w:hAnsi="Arial" w:cs="Arial"/>
          <w:sz w:val="18"/>
          <w:szCs w:val="18"/>
        </w:rPr>
        <w:t xml:space="preserve">Poszczególne rodzaje materiałów powinny pochodzić ze źródeł zatwierdzonych przez Inspektora Nadzoru. </w:t>
      </w:r>
    </w:p>
    <w:p w14:paraId="7A1B2C09" w14:textId="77777777" w:rsidR="001752FA" w:rsidRDefault="005D3332">
      <w:pPr>
        <w:suppressAutoHyphens/>
        <w:ind w:firstLine="567"/>
        <w:jc w:val="both"/>
        <w:rPr>
          <w:rFonts w:ascii="Arial" w:hAnsi="Arial" w:cs="Arial"/>
          <w:sz w:val="18"/>
          <w:szCs w:val="18"/>
        </w:rPr>
      </w:pPr>
      <w:r>
        <w:rPr>
          <w:rFonts w:ascii="Arial" w:hAnsi="Arial" w:cs="Arial"/>
          <w:sz w:val="18"/>
          <w:szCs w:val="18"/>
        </w:rPr>
        <w:t>Należy dążyć do zaopatrzenia się w materiały z jednego źródła. W przypadku zmiany pochodzenia materiału należy, po wykonaniu odpowiednich badań, opracować skorygowaną receptę.</w:t>
      </w:r>
    </w:p>
    <w:p w14:paraId="7F7547FB" w14:textId="77777777" w:rsidR="001752FA" w:rsidRDefault="001752FA">
      <w:pPr>
        <w:suppressAutoHyphens/>
        <w:ind w:firstLine="567"/>
        <w:jc w:val="both"/>
        <w:rPr>
          <w:rFonts w:ascii="Arial" w:hAnsi="Arial" w:cs="Arial"/>
          <w:sz w:val="18"/>
          <w:szCs w:val="18"/>
        </w:rPr>
      </w:pPr>
    </w:p>
    <w:p w14:paraId="51576BFB" w14:textId="77777777" w:rsidR="001752FA" w:rsidRDefault="005D3332">
      <w:pPr>
        <w:spacing w:after="60"/>
        <w:jc w:val="both"/>
        <w:rPr>
          <w:rFonts w:ascii="Arial" w:hAnsi="Arial" w:cs="Arial"/>
          <w:b/>
          <w:sz w:val="18"/>
          <w:szCs w:val="18"/>
        </w:rPr>
      </w:pPr>
      <w:r>
        <w:rPr>
          <w:rFonts w:ascii="Arial" w:hAnsi="Arial" w:cs="Arial"/>
          <w:b/>
          <w:sz w:val="18"/>
          <w:szCs w:val="18"/>
        </w:rPr>
        <w:t xml:space="preserve">2.2. Materiały do produkcji mieszanki AC 16 W </w:t>
      </w:r>
    </w:p>
    <w:p w14:paraId="21D66982"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Do produkcji mieszanki betonu asfaltowego AC 16 W należy stosować materiały podane w Tablicy 1.</w:t>
      </w:r>
    </w:p>
    <w:p w14:paraId="399A543A" w14:textId="77777777" w:rsidR="001752FA" w:rsidRDefault="001752FA">
      <w:pPr>
        <w:tabs>
          <w:tab w:val="left" w:pos="1008"/>
          <w:tab w:val="left" w:pos="7459"/>
        </w:tabs>
        <w:ind w:firstLine="567"/>
        <w:jc w:val="both"/>
        <w:rPr>
          <w:rFonts w:ascii="Arial" w:hAnsi="Arial" w:cs="Arial"/>
          <w:snapToGrid w:val="0"/>
          <w:color w:val="000000"/>
          <w:sz w:val="18"/>
          <w:szCs w:val="18"/>
        </w:rPr>
      </w:pPr>
    </w:p>
    <w:p w14:paraId="709E1128" w14:textId="77777777" w:rsidR="001752FA" w:rsidRDefault="005D3332">
      <w:pPr>
        <w:tabs>
          <w:tab w:val="left" w:pos="1008"/>
          <w:tab w:val="left" w:pos="7459"/>
        </w:tabs>
        <w:spacing w:after="120"/>
        <w:rPr>
          <w:rFonts w:ascii="Arial" w:hAnsi="Arial" w:cs="Arial"/>
          <w:snapToGrid w:val="0"/>
          <w:color w:val="000000"/>
          <w:sz w:val="18"/>
          <w:szCs w:val="18"/>
        </w:rPr>
      </w:pPr>
      <w:r>
        <w:rPr>
          <w:rFonts w:ascii="Arial" w:hAnsi="Arial" w:cs="Arial"/>
          <w:snapToGrid w:val="0"/>
          <w:color w:val="000000"/>
          <w:sz w:val="18"/>
          <w:szCs w:val="18"/>
        </w:rPr>
        <w:t>Tablica 1. Materiały do wykonania warstwy wiążącej z AC 16W KR 2.</w:t>
      </w:r>
    </w:p>
    <w:tbl>
      <w:tblPr>
        <w:tblW w:w="8784" w:type="dxa"/>
        <w:jc w:val="center"/>
        <w:tblLook w:val="01E0" w:firstRow="1" w:lastRow="1" w:firstColumn="1" w:lastColumn="1" w:noHBand="0" w:noVBand="0"/>
      </w:tblPr>
      <w:tblGrid>
        <w:gridCol w:w="534"/>
        <w:gridCol w:w="4110"/>
        <w:gridCol w:w="4140"/>
      </w:tblGrid>
      <w:tr w:rsidR="001752FA" w14:paraId="19DA56DD" w14:textId="77777777">
        <w:trPr>
          <w:tblHeader/>
          <w:jc w:val="center"/>
        </w:trPr>
        <w:tc>
          <w:tcPr>
            <w:tcW w:w="534" w:type="dxa"/>
            <w:tcBorders>
              <w:top w:val="single" w:sz="4" w:space="0" w:color="auto"/>
              <w:left w:val="single" w:sz="4" w:space="0" w:color="auto"/>
              <w:bottom w:val="single" w:sz="4" w:space="0" w:color="auto"/>
              <w:right w:val="single" w:sz="4" w:space="0" w:color="auto"/>
            </w:tcBorders>
            <w:hideMark/>
          </w:tcPr>
          <w:p w14:paraId="7B050E6F"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Lp.</w:t>
            </w:r>
          </w:p>
        </w:tc>
        <w:tc>
          <w:tcPr>
            <w:tcW w:w="4110" w:type="dxa"/>
            <w:tcBorders>
              <w:top w:val="single" w:sz="4" w:space="0" w:color="auto"/>
              <w:left w:val="single" w:sz="4" w:space="0" w:color="auto"/>
              <w:bottom w:val="single" w:sz="4" w:space="0" w:color="auto"/>
              <w:right w:val="single" w:sz="4" w:space="0" w:color="auto"/>
            </w:tcBorders>
            <w:hideMark/>
          </w:tcPr>
          <w:p w14:paraId="0C07AF8A"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Materiał</w:t>
            </w:r>
          </w:p>
        </w:tc>
        <w:tc>
          <w:tcPr>
            <w:tcW w:w="4140" w:type="dxa"/>
            <w:tcBorders>
              <w:top w:val="single" w:sz="4" w:space="0" w:color="auto"/>
              <w:left w:val="single" w:sz="4" w:space="0" w:color="auto"/>
              <w:bottom w:val="single" w:sz="4" w:space="0" w:color="auto"/>
              <w:right w:val="single" w:sz="4" w:space="0" w:color="auto"/>
            </w:tcBorders>
            <w:hideMark/>
          </w:tcPr>
          <w:p w14:paraId="1DE5F450"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Wymagania wg</w:t>
            </w:r>
          </w:p>
        </w:tc>
      </w:tr>
      <w:tr w:rsidR="001752FA" w14:paraId="2750EDE1" w14:textId="77777777">
        <w:trPr>
          <w:jc w:val="center"/>
        </w:trPr>
        <w:tc>
          <w:tcPr>
            <w:tcW w:w="534" w:type="dxa"/>
            <w:tcBorders>
              <w:top w:val="single" w:sz="4" w:space="0" w:color="auto"/>
              <w:left w:val="single" w:sz="4" w:space="0" w:color="auto"/>
              <w:bottom w:val="single" w:sz="4" w:space="0" w:color="auto"/>
              <w:right w:val="single" w:sz="4" w:space="0" w:color="auto"/>
            </w:tcBorders>
            <w:hideMark/>
          </w:tcPr>
          <w:p w14:paraId="68431FCB"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1.</w:t>
            </w:r>
          </w:p>
        </w:tc>
        <w:tc>
          <w:tcPr>
            <w:tcW w:w="4110" w:type="dxa"/>
            <w:tcBorders>
              <w:top w:val="single" w:sz="4" w:space="0" w:color="auto"/>
              <w:left w:val="single" w:sz="4" w:space="0" w:color="auto"/>
              <w:bottom w:val="single" w:sz="4" w:space="0" w:color="auto"/>
              <w:right w:val="single" w:sz="4" w:space="0" w:color="auto"/>
            </w:tcBorders>
            <w:hideMark/>
          </w:tcPr>
          <w:p w14:paraId="7227A1D5"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Kruszywo grube</w:t>
            </w:r>
          </w:p>
        </w:tc>
        <w:tc>
          <w:tcPr>
            <w:tcW w:w="4140" w:type="dxa"/>
            <w:tcBorders>
              <w:top w:val="single" w:sz="4" w:space="0" w:color="auto"/>
              <w:left w:val="single" w:sz="4" w:space="0" w:color="auto"/>
              <w:bottom w:val="single" w:sz="4" w:space="0" w:color="auto"/>
              <w:right w:val="single" w:sz="4" w:space="0" w:color="auto"/>
            </w:tcBorders>
            <w:hideMark/>
          </w:tcPr>
          <w:p w14:paraId="75786894"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WT-1 2014, Tablica 8.</w:t>
            </w:r>
          </w:p>
        </w:tc>
      </w:tr>
      <w:tr w:rsidR="001752FA" w14:paraId="7ED55A84" w14:textId="77777777">
        <w:trPr>
          <w:jc w:val="center"/>
        </w:trPr>
        <w:tc>
          <w:tcPr>
            <w:tcW w:w="534" w:type="dxa"/>
            <w:tcBorders>
              <w:top w:val="single" w:sz="4" w:space="0" w:color="auto"/>
              <w:left w:val="single" w:sz="4" w:space="0" w:color="auto"/>
              <w:bottom w:val="single" w:sz="4" w:space="0" w:color="auto"/>
              <w:right w:val="single" w:sz="4" w:space="0" w:color="auto"/>
            </w:tcBorders>
            <w:hideMark/>
          </w:tcPr>
          <w:p w14:paraId="66C28ACE"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2.</w:t>
            </w:r>
          </w:p>
        </w:tc>
        <w:tc>
          <w:tcPr>
            <w:tcW w:w="4110" w:type="dxa"/>
            <w:tcBorders>
              <w:top w:val="single" w:sz="4" w:space="0" w:color="auto"/>
              <w:left w:val="single" w:sz="4" w:space="0" w:color="auto"/>
              <w:bottom w:val="single" w:sz="4" w:space="0" w:color="auto"/>
              <w:right w:val="single" w:sz="4" w:space="0" w:color="auto"/>
            </w:tcBorders>
            <w:hideMark/>
          </w:tcPr>
          <w:p w14:paraId="5053F845"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Kruszywo  niełamane drobne lub o ciągłym uziarnieniu D≤8 mm</w:t>
            </w:r>
          </w:p>
        </w:tc>
        <w:tc>
          <w:tcPr>
            <w:tcW w:w="4140" w:type="dxa"/>
            <w:tcBorders>
              <w:top w:val="single" w:sz="4" w:space="0" w:color="auto"/>
              <w:left w:val="single" w:sz="4" w:space="0" w:color="auto"/>
              <w:bottom w:val="single" w:sz="4" w:space="0" w:color="auto"/>
              <w:right w:val="single" w:sz="4" w:space="0" w:color="auto"/>
            </w:tcBorders>
            <w:hideMark/>
          </w:tcPr>
          <w:p w14:paraId="40685D70"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WT-1 2014, Tablica 9.</w:t>
            </w:r>
          </w:p>
        </w:tc>
      </w:tr>
      <w:tr w:rsidR="001752FA" w14:paraId="74DBDA0A" w14:textId="77777777">
        <w:trPr>
          <w:jc w:val="center"/>
        </w:trPr>
        <w:tc>
          <w:tcPr>
            <w:tcW w:w="534" w:type="dxa"/>
            <w:tcBorders>
              <w:top w:val="single" w:sz="4" w:space="0" w:color="auto"/>
              <w:left w:val="single" w:sz="4" w:space="0" w:color="auto"/>
              <w:bottom w:val="single" w:sz="4" w:space="0" w:color="auto"/>
              <w:right w:val="single" w:sz="4" w:space="0" w:color="auto"/>
            </w:tcBorders>
            <w:hideMark/>
          </w:tcPr>
          <w:p w14:paraId="59FE6912"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3.</w:t>
            </w:r>
          </w:p>
        </w:tc>
        <w:tc>
          <w:tcPr>
            <w:tcW w:w="4110" w:type="dxa"/>
            <w:tcBorders>
              <w:top w:val="single" w:sz="4" w:space="0" w:color="auto"/>
              <w:left w:val="single" w:sz="4" w:space="0" w:color="auto"/>
              <w:bottom w:val="single" w:sz="4" w:space="0" w:color="auto"/>
              <w:right w:val="single" w:sz="4" w:space="0" w:color="auto"/>
            </w:tcBorders>
            <w:hideMark/>
          </w:tcPr>
          <w:p w14:paraId="1011BFC4"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Kruszywo  łamane drobne lub o ciągłym uziarnieniu D≤8 mm</w:t>
            </w:r>
          </w:p>
        </w:tc>
        <w:tc>
          <w:tcPr>
            <w:tcW w:w="4140" w:type="dxa"/>
            <w:tcBorders>
              <w:top w:val="single" w:sz="4" w:space="0" w:color="auto"/>
              <w:left w:val="single" w:sz="4" w:space="0" w:color="auto"/>
              <w:bottom w:val="single" w:sz="4" w:space="0" w:color="auto"/>
              <w:right w:val="single" w:sz="4" w:space="0" w:color="auto"/>
            </w:tcBorders>
            <w:hideMark/>
          </w:tcPr>
          <w:p w14:paraId="13F68F15"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WT-1 2014, Tablica 10.</w:t>
            </w:r>
          </w:p>
        </w:tc>
      </w:tr>
      <w:tr w:rsidR="001752FA" w14:paraId="60A1485F" w14:textId="77777777">
        <w:trPr>
          <w:jc w:val="center"/>
        </w:trPr>
        <w:tc>
          <w:tcPr>
            <w:tcW w:w="534" w:type="dxa"/>
            <w:tcBorders>
              <w:top w:val="single" w:sz="4" w:space="0" w:color="auto"/>
              <w:left w:val="single" w:sz="4" w:space="0" w:color="auto"/>
              <w:bottom w:val="single" w:sz="4" w:space="0" w:color="auto"/>
              <w:right w:val="single" w:sz="4" w:space="0" w:color="auto"/>
            </w:tcBorders>
            <w:hideMark/>
          </w:tcPr>
          <w:p w14:paraId="3148A16D"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4.</w:t>
            </w:r>
          </w:p>
        </w:tc>
        <w:tc>
          <w:tcPr>
            <w:tcW w:w="4110" w:type="dxa"/>
            <w:tcBorders>
              <w:top w:val="single" w:sz="4" w:space="0" w:color="auto"/>
              <w:left w:val="single" w:sz="4" w:space="0" w:color="auto"/>
              <w:bottom w:val="single" w:sz="4" w:space="0" w:color="auto"/>
              <w:right w:val="single" w:sz="4" w:space="0" w:color="auto"/>
            </w:tcBorders>
            <w:hideMark/>
          </w:tcPr>
          <w:p w14:paraId="4A65ACBC"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Wypełniacz</w:t>
            </w:r>
          </w:p>
        </w:tc>
        <w:tc>
          <w:tcPr>
            <w:tcW w:w="4140" w:type="dxa"/>
            <w:tcBorders>
              <w:top w:val="single" w:sz="4" w:space="0" w:color="auto"/>
              <w:left w:val="single" w:sz="4" w:space="0" w:color="auto"/>
              <w:bottom w:val="single" w:sz="4" w:space="0" w:color="auto"/>
              <w:right w:val="single" w:sz="4" w:space="0" w:color="auto"/>
            </w:tcBorders>
            <w:hideMark/>
          </w:tcPr>
          <w:p w14:paraId="39A095D8"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WT-1 2014, Tablica 11.                                         Uziarnienie wypełniacza  Tablica 2. Niniejszej STWiORB</w:t>
            </w:r>
          </w:p>
        </w:tc>
      </w:tr>
      <w:tr w:rsidR="001752FA" w14:paraId="4E5EDFCD" w14:textId="77777777">
        <w:trPr>
          <w:trHeight w:val="133"/>
          <w:jc w:val="center"/>
        </w:trPr>
        <w:tc>
          <w:tcPr>
            <w:tcW w:w="534" w:type="dxa"/>
            <w:tcBorders>
              <w:top w:val="single" w:sz="4" w:space="0" w:color="auto"/>
              <w:left w:val="single" w:sz="4" w:space="0" w:color="auto"/>
              <w:bottom w:val="single" w:sz="4" w:space="0" w:color="auto"/>
              <w:right w:val="single" w:sz="4" w:space="0" w:color="auto"/>
            </w:tcBorders>
            <w:hideMark/>
          </w:tcPr>
          <w:p w14:paraId="26625A9A"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5.</w:t>
            </w:r>
          </w:p>
        </w:tc>
        <w:tc>
          <w:tcPr>
            <w:tcW w:w="4110" w:type="dxa"/>
            <w:tcBorders>
              <w:top w:val="single" w:sz="4" w:space="0" w:color="auto"/>
              <w:left w:val="single" w:sz="4" w:space="0" w:color="auto"/>
              <w:bottom w:val="single" w:sz="4" w:space="0" w:color="auto"/>
              <w:right w:val="single" w:sz="4" w:space="0" w:color="auto"/>
            </w:tcBorders>
            <w:hideMark/>
          </w:tcPr>
          <w:p w14:paraId="263A839D"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Asfalt drogowy                           </w:t>
            </w:r>
          </w:p>
        </w:tc>
        <w:tc>
          <w:tcPr>
            <w:tcW w:w="4140" w:type="dxa"/>
            <w:tcBorders>
              <w:top w:val="single" w:sz="4" w:space="0" w:color="auto"/>
              <w:left w:val="single" w:sz="4" w:space="0" w:color="auto"/>
              <w:bottom w:val="single" w:sz="4" w:space="0" w:color="auto"/>
              <w:right w:val="single" w:sz="4" w:space="0" w:color="auto"/>
            </w:tcBorders>
          </w:tcPr>
          <w:p w14:paraId="2DD7E452"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wg PN-EN 12591                          </w:t>
            </w:r>
          </w:p>
        </w:tc>
      </w:tr>
      <w:tr w:rsidR="001752FA" w14:paraId="7252B8CC" w14:textId="77777777">
        <w:trPr>
          <w:jc w:val="center"/>
        </w:trPr>
        <w:tc>
          <w:tcPr>
            <w:tcW w:w="534" w:type="dxa"/>
            <w:tcBorders>
              <w:top w:val="single" w:sz="4" w:space="0" w:color="auto"/>
              <w:left w:val="single" w:sz="4" w:space="0" w:color="auto"/>
              <w:bottom w:val="single" w:sz="4" w:space="0" w:color="auto"/>
              <w:right w:val="single" w:sz="4" w:space="0" w:color="auto"/>
            </w:tcBorders>
            <w:hideMark/>
          </w:tcPr>
          <w:p w14:paraId="28BC964A"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6.</w:t>
            </w:r>
          </w:p>
        </w:tc>
        <w:tc>
          <w:tcPr>
            <w:tcW w:w="4110" w:type="dxa"/>
            <w:tcBorders>
              <w:top w:val="single" w:sz="4" w:space="0" w:color="auto"/>
              <w:left w:val="single" w:sz="4" w:space="0" w:color="auto"/>
              <w:bottom w:val="single" w:sz="4" w:space="0" w:color="auto"/>
              <w:right w:val="single" w:sz="4" w:space="0" w:color="auto"/>
            </w:tcBorders>
            <w:hideMark/>
          </w:tcPr>
          <w:p w14:paraId="65DE4E0D"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Środek adhezyjny</w:t>
            </w:r>
          </w:p>
        </w:tc>
        <w:tc>
          <w:tcPr>
            <w:tcW w:w="4140" w:type="dxa"/>
            <w:tcBorders>
              <w:top w:val="single" w:sz="4" w:space="0" w:color="auto"/>
              <w:left w:val="single" w:sz="4" w:space="0" w:color="auto"/>
              <w:bottom w:val="single" w:sz="4" w:space="0" w:color="auto"/>
              <w:right w:val="single" w:sz="4" w:space="0" w:color="auto"/>
            </w:tcBorders>
            <w:hideMark/>
          </w:tcPr>
          <w:p w14:paraId="1C653944" w14:textId="77777777" w:rsidR="001752FA" w:rsidRDefault="005D3332">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Arial" w:hAnsi="Arial" w:cs="Arial"/>
                <w:sz w:val="18"/>
                <w:szCs w:val="18"/>
              </w:rPr>
            </w:pPr>
            <w:r>
              <w:rPr>
                <w:rFonts w:ascii="Arial" w:hAnsi="Arial" w:cs="Arial"/>
                <w:sz w:val="18"/>
                <w:szCs w:val="18"/>
              </w:rPr>
              <w:t>pkt. 2.3. niniejszej STWiORB</w:t>
            </w:r>
          </w:p>
        </w:tc>
      </w:tr>
    </w:tbl>
    <w:p w14:paraId="6A8854CE" w14:textId="77777777" w:rsidR="001752FA" w:rsidRDefault="001752FA">
      <w:pPr>
        <w:jc w:val="both"/>
        <w:rPr>
          <w:rFonts w:ascii="Arial" w:hAnsi="Arial" w:cs="Arial"/>
          <w:spacing w:val="-3"/>
          <w:sz w:val="18"/>
          <w:szCs w:val="18"/>
        </w:rPr>
      </w:pPr>
    </w:p>
    <w:p w14:paraId="0B2A55DB" w14:textId="77777777" w:rsidR="001752FA" w:rsidRDefault="005D3332">
      <w:pPr>
        <w:jc w:val="both"/>
        <w:rPr>
          <w:rFonts w:ascii="Arial" w:hAnsi="Arial" w:cs="Arial"/>
          <w:sz w:val="18"/>
          <w:szCs w:val="18"/>
        </w:rPr>
      </w:pPr>
      <w:r>
        <w:rPr>
          <w:rFonts w:ascii="Arial" w:hAnsi="Arial" w:cs="Arial"/>
          <w:spacing w:val="-3"/>
          <w:sz w:val="18"/>
          <w:szCs w:val="18"/>
        </w:rPr>
        <w:lastRenderedPageBreak/>
        <w:t xml:space="preserve">W mieszance mineralnej jako kruszywo drobne należy stosować kruszywo łamane lub mieszankę kruszywa łamanego i niełamanego. Jeżeli będzie stosowana mieszanka kruszywa drobnego niełamanego i łamanego, to należy przyjąć proporcję </w:t>
      </w:r>
      <w:r>
        <w:rPr>
          <w:rFonts w:ascii="Arial" w:hAnsi="Arial" w:cs="Arial"/>
          <w:sz w:val="18"/>
          <w:szCs w:val="18"/>
        </w:rPr>
        <w:t>kruszywa łamanego do niełamanego co najmniej 50/50.</w:t>
      </w:r>
    </w:p>
    <w:p w14:paraId="722C5F10" w14:textId="77777777" w:rsidR="001752FA" w:rsidRDefault="001752FA">
      <w:pPr>
        <w:tabs>
          <w:tab w:val="left" w:pos="0"/>
          <w:tab w:val="right" w:pos="5766"/>
        </w:tabs>
        <w:spacing w:line="240" w:lineRule="atLeast"/>
        <w:jc w:val="both"/>
        <w:rPr>
          <w:rFonts w:ascii="Arial" w:hAnsi="Arial" w:cs="Arial"/>
          <w:spacing w:val="-3"/>
          <w:sz w:val="18"/>
          <w:szCs w:val="18"/>
        </w:rPr>
      </w:pPr>
    </w:p>
    <w:p w14:paraId="2B47E4F8" w14:textId="77777777" w:rsidR="001752FA" w:rsidRDefault="005D3332">
      <w:pPr>
        <w:tabs>
          <w:tab w:val="left" w:pos="0"/>
          <w:tab w:val="right" w:pos="5766"/>
        </w:tabs>
        <w:spacing w:after="120"/>
        <w:rPr>
          <w:rFonts w:ascii="Arial" w:hAnsi="Arial" w:cs="Arial"/>
          <w:spacing w:val="-3"/>
          <w:sz w:val="18"/>
          <w:szCs w:val="18"/>
          <w:lang w:val="en-GB"/>
        </w:rPr>
      </w:pPr>
      <w:r>
        <w:rPr>
          <w:rFonts w:ascii="Arial" w:hAnsi="Arial" w:cs="Arial"/>
          <w:spacing w:val="-3"/>
          <w:sz w:val="18"/>
          <w:szCs w:val="18"/>
          <w:lang w:val="en-GB"/>
        </w:rPr>
        <w:t>Tablica 2. Uziarnienie wypełniacza.</w:t>
      </w:r>
    </w:p>
    <w:tbl>
      <w:tblPr>
        <w:tblW w:w="0" w:type="auto"/>
        <w:jc w:val="center"/>
        <w:tblLook w:val="01E0" w:firstRow="1" w:lastRow="1" w:firstColumn="1" w:lastColumn="1" w:noHBand="0" w:noVBand="0"/>
      </w:tblPr>
      <w:tblGrid>
        <w:gridCol w:w="925"/>
        <w:gridCol w:w="3969"/>
        <w:gridCol w:w="3261"/>
      </w:tblGrid>
      <w:tr w:rsidR="001752FA" w14:paraId="5719679F" w14:textId="77777777">
        <w:trPr>
          <w:jc w:val="center"/>
        </w:trPr>
        <w:tc>
          <w:tcPr>
            <w:tcW w:w="925" w:type="dxa"/>
            <w:vMerge w:val="restart"/>
            <w:tcBorders>
              <w:top w:val="single" w:sz="4" w:space="0" w:color="auto"/>
              <w:left w:val="single" w:sz="4" w:space="0" w:color="auto"/>
              <w:right w:val="single" w:sz="4" w:space="0" w:color="auto"/>
            </w:tcBorders>
            <w:hideMark/>
          </w:tcPr>
          <w:p w14:paraId="0027D730" w14:textId="77777777" w:rsidR="001752FA" w:rsidRDefault="005D3332">
            <w:pPr>
              <w:tabs>
                <w:tab w:val="left" w:pos="0"/>
                <w:tab w:val="right" w:pos="5766"/>
              </w:tabs>
              <w:spacing w:line="240" w:lineRule="atLeast"/>
              <w:jc w:val="center"/>
              <w:rPr>
                <w:rFonts w:ascii="Arial" w:hAnsi="Arial" w:cs="Arial"/>
                <w:spacing w:val="-3"/>
                <w:sz w:val="18"/>
                <w:szCs w:val="18"/>
                <w:lang w:val="en-GB"/>
              </w:rPr>
            </w:pPr>
            <w:r>
              <w:rPr>
                <w:rFonts w:ascii="Arial" w:hAnsi="Arial" w:cs="Arial"/>
                <w:spacing w:val="-3"/>
                <w:sz w:val="18"/>
                <w:szCs w:val="18"/>
                <w:lang w:val="en-GB"/>
              </w:rPr>
              <w:t>Sito          #,[mm]</w:t>
            </w:r>
          </w:p>
        </w:tc>
        <w:tc>
          <w:tcPr>
            <w:tcW w:w="7230" w:type="dxa"/>
            <w:gridSpan w:val="2"/>
            <w:tcBorders>
              <w:top w:val="single" w:sz="4" w:space="0" w:color="auto"/>
              <w:left w:val="single" w:sz="4" w:space="0" w:color="auto"/>
              <w:bottom w:val="single" w:sz="4" w:space="0" w:color="auto"/>
              <w:right w:val="single" w:sz="4" w:space="0" w:color="auto"/>
            </w:tcBorders>
            <w:hideMark/>
          </w:tcPr>
          <w:p w14:paraId="1376FECB" w14:textId="77777777" w:rsidR="001752FA" w:rsidRDefault="005D3332">
            <w:pPr>
              <w:tabs>
                <w:tab w:val="left" w:pos="0"/>
                <w:tab w:val="right" w:pos="5766"/>
              </w:tabs>
              <w:spacing w:line="240" w:lineRule="atLeast"/>
              <w:ind w:right="-923"/>
              <w:jc w:val="center"/>
              <w:rPr>
                <w:rFonts w:ascii="Arial" w:hAnsi="Arial" w:cs="Arial"/>
                <w:spacing w:val="-3"/>
                <w:sz w:val="18"/>
                <w:szCs w:val="18"/>
                <w:lang w:val="en-GB"/>
              </w:rPr>
            </w:pPr>
            <w:r>
              <w:rPr>
                <w:rFonts w:ascii="Arial" w:hAnsi="Arial" w:cs="Arial"/>
                <w:spacing w:val="-3"/>
                <w:sz w:val="18"/>
                <w:szCs w:val="18"/>
                <w:lang w:val="en-GB"/>
              </w:rPr>
              <w:t>Przesiew [ %(m/m)]</w:t>
            </w:r>
          </w:p>
        </w:tc>
      </w:tr>
      <w:tr w:rsidR="001752FA" w14:paraId="508748D6" w14:textId="77777777">
        <w:trPr>
          <w:jc w:val="center"/>
        </w:trPr>
        <w:tc>
          <w:tcPr>
            <w:tcW w:w="925" w:type="dxa"/>
            <w:vMerge/>
            <w:tcBorders>
              <w:left w:val="single" w:sz="4" w:space="0" w:color="auto"/>
              <w:bottom w:val="single" w:sz="4" w:space="0" w:color="auto"/>
              <w:right w:val="single" w:sz="4" w:space="0" w:color="auto"/>
            </w:tcBorders>
            <w:hideMark/>
          </w:tcPr>
          <w:p w14:paraId="04A9179D" w14:textId="77777777" w:rsidR="001752FA" w:rsidRDefault="001752FA">
            <w:pPr>
              <w:tabs>
                <w:tab w:val="left" w:pos="0"/>
                <w:tab w:val="right" w:pos="5766"/>
              </w:tabs>
              <w:spacing w:line="240" w:lineRule="atLeast"/>
              <w:jc w:val="both"/>
              <w:rPr>
                <w:rFonts w:ascii="Arial" w:hAnsi="Arial" w:cs="Arial"/>
                <w:spacing w:val="-3"/>
                <w:sz w:val="18"/>
                <w:szCs w:val="18"/>
                <w:lang w:val="en-GB"/>
              </w:rPr>
            </w:pPr>
          </w:p>
        </w:tc>
        <w:tc>
          <w:tcPr>
            <w:tcW w:w="3969" w:type="dxa"/>
            <w:tcBorders>
              <w:top w:val="single" w:sz="4" w:space="0" w:color="auto"/>
              <w:left w:val="single" w:sz="4" w:space="0" w:color="auto"/>
              <w:bottom w:val="single" w:sz="4" w:space="0" w:color="auto"/>
              <w:right w:val="single" w:sz="4" w:space="0" w:color="auto"/>
            </w:tcBorders>
            <w:hideMark/>
          </w:tcPr>
          <w:p w14:paraId="65FB8759" w14:textId="77777777" w:rsidR="001752FA" w:rsidRDefault="005D3332">
            <w:pPr>
              <w:tabs>
                <w:tab w:val="left" w:pos="0"/>
                <w:tab w:val="right" w:pos="5766"/>
              </w:tabs>
              <w:spacing w:line="240" w:lineRule="atLeast"/>
              <w:jc w:val="center"/>
              <w:rPr>
                <w:rFonts w:ascii="Arial" w:hAnsi="Arial" w:cs="Arial"/>
                <w:spacing w:val="-3"/>
                <w:sz w:val="18"/>
                <w:szCs w:val="18"/>
              </w:rPr>
            </w:pPr>
            <w:r>
              <w:rPr>
                <w:rFonts w:ascii="Arial" w:hAnsi="Arial" w:cs="Arial"/>
                <w:spacing w:val="-3"/>
                <w:sz w:val="18"/>
                <w:szCs w:val="18"/>
              </w:rPr>
              <w:t>Ogólny zakres</w:t>
            </w:r>
          </w:p>
          <w:p w14:paraId="7D844CB3" w14:textId="77777777" w:rsidR="001752FA" w:rsidRDefault="005D3332">
            <w:pPr>
              <w:tabs>
                <w:tab w:val="left" w:pos="0"/>
                <w:tab w:val="right" w:pos="5766"/>
              </w:tabs>
              <w:spacing w:line="240" w:lineRule="atLeast"/>
              <w:jc w:val="center"/>
              <w:rPr>
                <w:rFonts w:ascii="Arial" w:hAnsi="Arial" w:cs="Arial"/>
                <w:spacing w:val="-3"/>
                <w:sz w:val="18"/>
                <w:szCs w:val="18"/>
              </w:rPr>
            </w:pPr>
            <w:r>
              <w:rPr>
                <w:rFonts w:ascii="Arial" w:hAnsi="Arial" w:cs="Arial"/>
                <w:spacing w:val="-3"/>
                <w:sz w:val="18"/>
                <w:szCs w:val="18"/>
              </w:rPr>
              <w:t>dla poszczególnych wyników</w:t>
            </w:r>
          </w:p>
        </w:tc>
        <w:tc>
          <w:tcPr>
            <w:tcW w:w="3261" w:type="dxa"/>
            <w:tcBorders>
              <w:top w:val="single" w:sz="4" w:space="0" w:color="auto"/>
              <w:left w:val="single" w:sz="4" w:space="0" w:color="auto"/>
              <w:bottom w:val="single" w:sz="4" w:space="0" w:color="auto"/>
              <w:right w:val="single" w:sz="4" w:space="0" w:color="auto"/>
            </w:tcBorders>
            <w:hideMark/>
          </w:tcPr>
          <w:p w14:paraId="577F7A65" w14:textId="77777777" w:rsidR="001752FA" w:rsidRDefault="005D3332">
            <w:pPr>
              <w:tabs>
                <w:tab w:val="left" w:pos="0"/>
                <w:tab w:val="right" w:pos="5766"/>
              </w:tabs>
              <w:spacing w:line="240" w:lineRule="atLeast"/>
              <w:jc w:val="center"/>
              <w:rPr>
                <w:rFonts w:ascii="Arial" w:hAnsi="Arial" w:cs="Arial"/>
                <w:spacing w:val="-3"/>
                <w:sz w:val="18"/>
                <w:szCs w:val="18"/>
                <w:vertAlign w:val="superscript"/>
              </w:rPr>
            </w:pPr>
            <w:r>
              <w:rPr>
                <w:rFonts w:ascii="Arial" w:hAnsi="Arial" w:cs="Arial"/>
                <w:spacing w:val="-3"/>
                <w:sz w:val="18"/>
                <w:szCs w:val="18"/>
              </w:rPr>
              <w:t xml:space="preserve">Maksymalny zakres uziarnienia deklarowany przez producenta </w:t>
            </w:r>
            <w:r>
              <w:rPr>
                <w:rFonts w:ascii="Arial" w:hAnsi="Arial" w:cs="Arial"/>
                <w:spacing w:val="-3"/>
                <w:sz w:val="18"/>
                <w:szCs w:val="18"/>
                <w:vertAlign w:val="superscript"/>
              </w:rPr>
              <w:t>a)</w:t>
            </w:r>
          </w:p>
        </w:tc>
      </w:tr>
      <w:tr w:rsidR="001752FA" w14:paraId="2CA713A2" w14:textId="77777777">
        <w:trPr>
          <w:jc w:val="center"/>
        </w:trPr>
        <w:tc>
          <w:tcPr>
            <w:tcW w:w="925" w:type="dxa"/>
            <w:tcBorders>
              <w:top w:val="single" w:sz="4" w:space="0" w:color="auto"/>
              <w:left w:val="single" w:sz="4" w:space="0" w:color="auto"/>
              <w:bottom w:val="single" w:sz="4" w:space="0" w:color="auto"/>
              <w:right w:val="single" w:sz="4" w:space="0" w:color="auto"/>
            </w:tcBorders>
            <w:hideMark/>
          </w:tcPr>
          <w:p w14:paraId="710212E7" w14:textId="77777777" w:rsidR="001752FA" w:rsidRDefault="005D3332">
            <w:pPr>
              <w:tabs>
                <w:tab w:val="left" w:pos="0"/>
                <w:tab w:val="right" w:pos="5766"/>
              </w:tabs>
              <w:spacing w:line="240" w:lineRule="atLeast"/>
              <w:jc w:val="center"/>
              <w:rPr>
                <w:rFonts w:ascii="Arial" w:hAnsi="Arial" w:cs="Arial"/>
                <w:spacing w:val="-3"/>
                <w:sz w:val="18"/>
                <w:szCs w:val="18"/>
                <w:lang w:val="en-GB"/>
              </w:rPr>
            </w:pPr>
            <w:r>
              <w:rPr>
                <w:rFonts w:ascii="Arial" w:hAnsi="Arial" w:cs="Arial"/>
                <w:spacing w:val="-3"/>
                <w:sz w:val="18"/>
                <w:szCs w:val="18"/>
                <w:lang w:val="en-GB"/>
              </w:rPr>
              <w:t>2  0,125  0,063</w:t>
            </w:r>
          </w:p>
        </w:tc>
        <w:tc>
          <w:tcPr>
            <w:tcW w:w="3969" w:type="dxa"/>
            <w:tcBorders>
              <w:top w:val="single" w:sz="4" w:space="0" w:color="auto"/>
              <w:left w:val="single" w:sz="4" w:space="0" w:color="auto"/>
              <w:bottom w:val="single" w:sz="4" w:space="0" w:color="auto"/>
              <w:right w:val="single" w:sz="4" w:space="0" w:color="auto"/>
            </w:tcBorders>
            <w:hideMark/>
          </w:tcPr>
          <w:p w14:paraId="779C2DF6" w14:textId="77777777" w:rsidR="001752FA" w:rsidRDefault="005D3332">
            <w:pPr>
              <w:tabs>
                <w:tab w:val="left" w:pos="0"/>
                <w:tab w:val="right" w:pos="5766"/>
              </w:tabs>
              <w:spacing w:line="240" w:lineRule="atLeast"/>
              <w:jc w:val="center"/>
              <w:rPr>
                <w:rFonts w:ascii="Arial" w:hAnsi="Arial" w:cs="Arial"/>
                <w:spacing w:val="-3"/>
                <w:sz w:val="18"/>
                <w:szCs w:val="18"/>
                <w:lang w:val="en-GB"/>
              </w:rPr>
            </w:pPr>
            <w:r>
              <w:rPr>
                <w:rFonts w:ascii="Arial" w:hAnsi="Arial" w:cs="Arial"/>
                <w:spacing w:val="-3"/>
                <w:sz w:val="18"/>
                <w:szCs w:val="18"/>
                <w:lang w:val="en-GB"/>
              </w:rPr>
              <w:t>100                               od 85 do 100                                           od 70 do 100</w:t>
            </w:r>
          </w:p>
        </w:tc>
        <w:tc>
          <w:tcPr>
            <w:tcW w:w="3261" w:type="dxa"/>
            <w:tcBorders>
              <w:top w:val="single" w:sz="4" w:space="0" w:color="auto"/>
              <w:left w:val="single" w:sz="4" w:space="0" w:color="auto"/>
              <w:bottom w:val="single" w:sz="4" w:space="0" w:color="auto"/>
              <w:right w:val="single" w:sz="4" w:space="0" w:color="auto"/>
            </w:tcBorders>
            <w:hideMark/>
          </w:tcPr>
          <w:p w14:paraId="3D9C34EC" w14:textId="77777777" w:rsidR="001752FA" w:rsidRDefault="005D3332">
            <w:pPr>
              <w:tabs>
                <w:tab w:val="left" w:pos="0"/>
                <w:tab w:val="right" w:pos="5766"/>
              </w:tabs>
              <w:spacing w:line="240" w:lineRule="atLeast"/>
              <w:jc w:val="center"/>
              <w:rPr>
                <w:rFonts w:ascii="Arial" w:hAnsi="Arial" w:cs="Arial"/>
                <w:spacing w:val="-3"/>
                <w:sz w:val="18"/>
                <w:szCs w:val="18"/>
                <w:lang w:val="en-GB"/>
              </w:rPr>
            </w:pPr>
            <w:r>
              <w:rPr>
                <w:rFonts w:ascii="Arial" w:hAnsi="Arial" w:cs="Arial"/>
                <w:i/>
                <w:sz w:val="18"/>
                <w:szCs w:val="18"/>
                <w:lang w:val="en-GB"/>
              </w:rPr>
              <w:t xml:space="preserve">-                                               </w:t>
            </w:r>
            <w:r>
              <w:rPr>
                <w:rFonts w:ascii="Arial" w:hAnsi="Arial" w:cs="Arial"/>
                <w:sz w:val="18"/>
                <w:szCs w:val="18"/>
                <w:lang w:val="en-GB"/>
              </w:rPr>
              <w:t>10                                            10</w:t>
            </w:r>
          </w:p>
        </w:tc>
      </w:tr>
      <w:tr w:rsidR="001752FA" w14:paraId="0CE9E1E3" w14:textId="77777777">
        <w:trPr>
          <w:jc w:val="center"/>
        </w:trPr>
        <w:tc>
          <w:tcPr>
            <w:tcW w:w="8155" w:type="dxa"/>
            <w:gridSpan w:val="3"/>
            <w:tcBorders>
              <w:top w:val="single" w:sz="4" w:space="0" w:color="auto"/>
              <w:left w:val="single" w:sz="4" w:space="0" w:color="auto"/>
              <w:bottom w:val="single" w:sz="4" w:space="0" w:color="auto"/>
              <w:right w:val="single" w:sz="4" w:space="0" w:color="auto"/>
            </w:tcBorders>
            <w:hideMark/>
          </w:tcPr>
          <w:p w14:paraId="20A8F5C9" w14:textId="77777777" w:rsidR="001752FA" w:rsidRDefault="005D3332">
            <w:pPr>
              <w:tabs>
                <w:tab w:val="left" w:pos="0"/>
                <w:tab w:val="right" w:pos="5766"/>
              </w:tabs>
              <w:spacing w:line="240" w:lineRule="atLeast"/>
              <w:rPr>
                <w:rFonts w:ascii="Arial" w:hAnsi="Arial" w:cs="Arial"/>
                <w:spacing w:val="-3"/>
                <w:sz w:val="18"/>
                <w:szCs w:val="18"/>
              </w:rPr>
            </w:pPr>
            <w:r>
              <w:rPr>
                <w:rFonts w:ascii="Arial" w:hAnsi="Arial" w:cs="Arial"/>
                <w:spacing w:val="-3"/>
                <w:sz w:val="18"/>
                <w:szCs w:val="18"/>
                <w:vertAlign w:val="superscript"/>
              </w:rPr>
              <w:t>a)</w:t>
            </w:r>
            <w:r>
              <w:rPr>
                <w:rFonts w:ascii="Arial" w:hAnsi="Arial" w:cs="Arial"/>
                <w:spacing w:val="-3"/>
                <w:sz w:val="18"/>
                <w:szCs w:val="18"/>
              </w:rPr>
              <w:t>Zakres uziarnienia powinien być deklarowany na podstawie ostatnich 20 wyników z których 90% powinno się mieścić w tym zakresie, a wszystkie powinny się mieścić w ogólnym zakresie podanym w tej tablicy</w:t>
            </w:r>
          </w:p>
        </w:tc>
      </w:tr>
    </w:tbl>
    <w:p w14:paraId="038B67FB" w14:textId="77777777" w:rsidR="001752FA" w:rsidRDefault="001752FA">
      <w:pPr>
        <w:tabs>
          <w:tab w:val="left" w:pos="1008"/>
          <w:tab w:val="left" w:pos="7459"/>
        </w:tabs>
        <w:rPr>
          <w:rFonts w:ascii="Arial" w:hAnsi="Arial" w:cs="Arial"/>
          <w:snapToGrid w:val="0"/>
          <w:color w:val="000000"/>
          <w:sz w:val="18"/>
          <w:szCs w:val="18"/>
        </w:rPr>
      </w:pPr>
    </w:p>
    <w:p w14:paraId="1620C999" w14:textId="77777777" w:rsidR="001752FA" w:rsidRDefault="005D3332">
      <w:pPr>
        <w:suppressAutoHyphens/>
        <w:spacing w:after="60"/>
        <w:rPr>
          <w:rFonts w:ascii="Arial" w:hAnsi="Arial" w:cs="Arial"/>
          <w:spacing w:val="-3"/>
          <w:sz w:val="18"/>
          <w:szCs w:val="18"/>
        </w:rPr>
      </w:pPr>
      <w:r>
        <w:rPr>
          <w:rFonts w:ascii="Arial" w:hAnsi="Arial" w:cs="Arial"/>
          <w:b/>
          <w:spacing w:val="-3"/>
          <w:sz w:val="18"/>
          <w:szCs w:val="18"/>
        </w:rPr>
        <w:t>2.3. Środek adhezyjny</w:t>
      </w:r>
    </w:p>
    <w:p w14:paraId="02E2BC04" w14:textId="77777777" w:rsidR="001752FA" w:rsidRDefault="005D3332">
      <w:pPr>
        <w:tabs>
          <w:tab w:val="left" w:pos="0"/>
          <w:tab w:val="right" w:pos="5766"/>
        </w:tabs>
        <w:ind w:firstLine="567"/>
        <w:jc w:val="both"/>
        <w:rPr>
          <w:rFonts w:ascii="Arial" w:hAnsi="Arial" w:cs="Arial"/>
          <w:spacing w:val="-3"/>
          <w:sz w:val="18"/>
          <w:szCs w:val="18"/>
        </w:rPr>
      </w:pPr>
      <w:r>
        <w:rPr>
          <w:rFonts w:ascii="Arial" w:hAnsi="Arial" w:cs="Arial"/>
          <w:spacing w:val="-3"/>
          <w:sz w:val="18"/>
          <w:szCs w:val="18"/>
        </w:rPr>
        <w:t>W celu poprawy przyczepności lepiszcza asfaltowego do kruszywa, należy dobrać i stosować odpowiedni środek adhezyjny, tak aby dla konkretnej pary kruszywo-lepiszcze wartość przyczepności określona wg PN EN 12697-11, metoda A, po 6h obracania , stosując kruszywo 8/11 jako podstawowe (dopuszcza się inne wymiary w wypadku braku wymiaru podstawowego do tego badania) wynosiła co najmniej 80%.</w:t>
      </w:r>
    </w:p>
    <w:p w14:paraId="4F53993A" w14:textId="77777777" w:rsidR="001752FA" w:rsidRDefault="005D3332">
      <w:pPr>
        <w:tabs>
          <w:tab w:val="left" w:pos="0"/>
          <w:tab w:val="right" w:pos="5766"/>
        </w:tabs>
        <w:ind w:firstLine="567"/>
        <w:jc w:val="both"/>
        <w:rPr>
          <w:rFonts w:ascii="Arial" w:hAnsi="Arial" w:cs="Arial"/>
          <w:spacing w:val="-3"/>
          <w:sz w:val="18"/>
          <w:szCs w:val="18"/>
        </w:rPr>
      </w:pPr>
      <w:r>
        <w:rPr>
          <w:rFonts w:ascii="Arial" w:hAnsi="Arial" w:cs="Arial"/>
          <w:spacing w:val="-3"/>
          <w:sz w:val="18"/>
          <w:szCs w:val="18"/>
        </w:rPr>
        <w:t>Ilość środka adhezyjnego powinna być udokumentowana i określona w recepcie.</w:t>
      </w:r>
    </w:p>
    <w:p w14:paraId="552A339E" w14:textId="77777777" w:rsidR="001752FA" w:rsidRDefault="005D3332">
      <w:pPr>
        <w:tabs>
          <w:tab w:val="left" w:pos="0"/>
          <w:tab w:val="right" w:pos="5766"/>
        </w:tabs>
        <w:ind w:firstLine="567"/>
        <w:jc w:val="both"/>
        <w:rPr>
          <w:rFonts w:ascii="Arial" w:hAnsi="Arial" w:cs="Arial"/>
          <w:spacing w:val="-3"/>
          <w:sz w:val="18"/>
          <w:szCs w:val="18"/>
        </w:rPr>
      </w:pPr>
      <w:r>
        <w:rPr>
          <w:rFonts w:ascii="Arial" w:hAnsi="Arial" w:cs="Arial"/>
          <w:spacing w:val="-3"/>
          <w:sz w:val="18"/>
          <w:szCs w:val="18"/>
        </w:rPr>
        <w:t>Przydatność środka adhezyjnego do zastosowania do mieszanek mineralno-asfaltowych powinna być udokumentowana. Powinien on być składowany i stosowany  zgodnie  z zaleceniami producenta.</w:t>
      </w:r>
    </w:p>
    <w:p w14:paraId="4F0B144E" w14:textId="77777777" w:rsidR="001752FA" w:rsidRDefault="001752FA">
      <w:pPr>
        <w:tabs>
          <w:tab w:val="left" w:pos="0"/>
          <w:tab w:val="right" w:pos="5766"/>
        </w:tabs>
        <w:ind w:firstLine="567"/>
        <w:jc w:val="both"/>
        <w:rPr>
          <w:rFonts w:ascii="Arial" w:hAnsi="Arial" w:cs="Arial"/>
          <w:spacing w:val="-3"/>
          <w:sz w:val="18"/>
          <w:szCs w:val="18"/>
        </w:rPr>
      </w:pPr>
    </w:p>
    <w:p w14:paraId="7716E15B" w14:textId="77777777" w:rsidR="001752FA" w:rsidRDefault="005D3332">
      <w:pPr>
        <w:tabs>
          <w:tab w:val="left" w:pos="0"/>
          <w:tab w:val="right" w:pos="5766"/>
        </w:tabs>
        <w:suppressAutoHyphens/>
        <w:spacing w:after="60"/>
        <w:rPr>
          <w:rFonts w:ascii="Arial" w:hAnsi="Arial" w:cs="Arial"/>
          <w:spacing w:val="-3"/>
          <w:sz w:val="18"/>
          <w:szCs w:val="18"/>
        </w:rPr>
      </w:pPr>
      <w:r>
        <w:rPr>
          <w:rFonts w:ascii="Arial" w:hAnsi="Arial" w:cs="Arial"/>
          <w:b/>
          <w:spacing w:val="-3"/>
          <w:sz w:val="18"/>
          <w:szCs w:val="18"/>
        </w:rPr>
        <w:t>2.4. Materiały do uszczelnienia krawędzi i połączeń</w:t>
      </w:r>
    </w:p>
    <w:p w14:paraId="43D044EA" w14:textId="77777777" w:rsidR="001752FA" w:rsidRDefault="005D3332">
      <w:pPr>
        <w:tabs>
          <w:tab w:val="left" w:pos="1134"/>
        </w:tabs>
        <w:ind w:firstLine="567"/>
        <w:jc w:val="both"/>
        <w:rPr>
          <w:rFonts w:ascii="Arial" w:hAnsi="Arial" w:cs="Arial"/>
          <w:spacing w:val="-3"/>
          <w:sz w:val="18"/>
          <w:szCs w:val="18"/>
        </w:rPr>
      </w:pPr>
      <w:r>
        <w:rPr>
          <w:rFonts w:ascii="Arial" w:hAnsi="Arial" w:cs="Arial"/>
          <w:spacing w:val="-3"/>
          <w:sz w:val="18"/>
          <w:szCs w:val="18"/>
        </w:rPr>
        <w:t xml:space="preserve">Do uszczelnienia krawędzi warstwy asfaltowej należy stosować gorący asfalt, np. taki jak użyty do produkcji mieszanki mineralno-asfaltowej.                                                                                                                 </w:t>
      </w:r>
    </w:p>
    <w:p w14:paraId="27F08B5E" w14:textId="77777777" w:rsidR="001752FA" w:rsidRDefault="005D3332">
      <w:pPr>
        <w:tabs>
          <w:tab w:val="left" w:pos="1134"/>
        </w:tabs>
        <w:ind w:firstLine="567"/>
        <w:jc w:val="both"/>
        <w:rPr>
          <w:rFonts w:ascii="Arial" w:hAnsi="Arial" w:cs="Arial"/>
          <w:spacing w:val="-3"/>
          <w:sz w:val="18"/>
          <w:szCs w:val="18"/>
        </w:rPr>
      </w:pPr>
      <w:r>
        <w:rPr>
          <w:rFonts w:ascii="Arial" w:hAnsi="Arial" w:cs="Arial"/>
          <w:spacing w:val="-3"/>
          <w:sz w:val="18"/>
          <w:szCs w:val="18"/>
        </w:rPr>
        <w:t>Do uszczelnienia połączeń technologicznych (złącza podłużne i poprzeczne) należy stosować elastyczne taśmy bitumiczne spełniające wymagania WT-2 cz. II 2016 Tabela 10.</w:t>
      </w:r>
    </w:p>
    <w:p w14:paraId="521F5E21" w14:textId="77777777" w:rsidR="001752FA" w:rsidRDefault="005D3332">
      <w:pPr>
        <w:tabs>
          <w:tab w:val="left" w:pos="1134"/>
        </w:tabs>
        <w:ind w:firstLine="567"/>
        <w:jc w:val="both"/>
        <w:rPr>
          <w:rFonts w:ascii="Arial" w:hAnsi="Arial" w:cs="Arial"/>
          <w:spacing w:val="-3"/>
          <w:sz w:val="18"/>
          <w:szCs w:val="18"/>
        </w:rPr>
      </w:pPr>
      <w:r>
        <w:rPr>
          <w:rFonts w:ascii="Arial" w:hAnsi="Arial" w:cs="Arial"/>
          <w:spacing w:val="-3"/>
          <w:sz w:val="18"/>
          <w:szCs w:val="18"/>
        </w:rPr>
        <w:t>Do wykonania spoin między fragmentami zagęszczonej mieszanki mineralno-asfaltowej i elementami wyposażenia drogi należy stosować elastyczne taśmy bitumiczne lub pasty asfaltowe, spełniające wymagania WT-2 cz. II 2016 Tabele 10, 11 i 12.</w:t>
      </w:r>
    </w:p>
    <w:p w14:paraId="186AEEAF" w14:textId="77777777" w:rsidR="001752FA" w:rsidRDefault="005D3332">
      <w:pPr>
        <w:tabs>
          <w:tab w:val="left" w:pos="1134"/>
        </w:tabs>
        <w:ind w:firstLine="567"/>
        <w:jc w:val="both"/>
        <w:rPr>
          <w:rFonts w:ascii="Arial" w:hAnsi="Arial" w:cs="Arial"/>
          <w:spacing w:val="-3"/>
          <w:sz w:val="18"/>
          <w:szCs w:val="18"/>
        </w:rPr>
      </w:pPr>
      <w:r>
        <w:rPr>
          <w:rFonts w:ascii="Arial" w:hAnsi="Arial" w:cs="Arial"/>
          <w:spacing w:val="-3"/>
          <w:sz w:val="18"/>
          <w:szCs w:val="18"/>
        </w:rPr>
        <w:t>Wszystkie stosowane materiały powinny spełniać wymagania odpowiednich norm lub Aprobat Technicznych.</w:t>
      </w:r>
    </w:p>
    <w:p w14:paraId="5953691E" w14:textId="77777777" w:rsidR="001752FA" w:rsidRDefault="001752FA">
      <w:pPr>
        <w:tabs>
          <w:tab w:val="left" w:pos="1134"/>
        </w:tabs>
        <w:ind w:firstLine="567"/>
        <w:jc w:val="both"/>
        <w:rPr>
          <w:rFonts w:ascii="Arial" w:hAnsi="Arial" w:cs="Arial"/>
          <w:spacing w:val="-3"/>
          <w:sz w:val="18"/>
          <w:szCs w:val="18"/>
        </w:rPr>
      </w:pPr>
    </w:p>
    <w:p w14:paraId="6FF490EB" w14:textId="77777777" w:rsidR="001752FA" w:rsidRDefault="005D3332">
      <w:pPr>
        <w:tabs>
          <w:tab w:val="left" w:pos="0"/>
          <w:tab w:val="right" w:pos="5766"/>
        </w:tabs>
        <w:suppressAutoHyphens/>
        <w:spacing w:after="60"/>
        <w:rPr>
          <w:rFonts w:ascii="Arial" w:hAnsi="Arial" w:cs="Arial"/>
          <w:spacing w:val="-3"/>
          <w:sz w:val="18"/>
          <w:szCs w:val="18"/>
        </w:rPr>
      </w:pPr>
      <w:r>
        <w:rPr>
          <w:rFonts w:ascii="Arial" w:hAnsi="Arial" w:cs="Arial"/>
          <w:b/>
          <w:spacing w:val="-3"/>
          <w:sz w:val="18"/>
          <w:szCs w:val="18"/>
        </w:rPr>
        <w:t xml:space="preserve">2.5. Materiały do skropienia podłoża </w:t>
      </w:r>
    </w:p>
    <w:p w14:paraId="14686C3A"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pacing w:val="-3"/>
          <w:sz w:val="18"/>
          <w:szCs w:val="18"/>
        </w:rPr>
        <w:t xml:space="preserve">Skropienie podłoża należy wykonać zgodnie z STWiORB D-04.03.01. </w:t>
      </w:r>
      <w:r>
        <w:rPr>
          <w:rFonts w:ascii="Arial" w:hAnsi="Arial" w:cs="Arial"/>
          <w:snapToGrid w:val="0"/>
          <w:color w:val="000000"/>
          <w:sz w:val="18"/>
          <w:szCs w:val="18"/>
        </w:rPr>
        <w:t>Oczyszczenie i skropienie warstw konstrukcyjnych.</w:t>
      </w:r>
    </w:p>
    <w:p w14:paraId="050CB36F" w14:textId="77777777" w:rsidR="001752FA" w:rsidRDefault="001752FA">
      <w:pPr>
        <w:tabs>
          <w:tab w:val="left" w:pos="1008"/>
          <w:tab w:val="left" w:pos="7459"/>
        </w:tabs>
        <w:ind w:firstLine="567"/>
        <w:jc w:val="both"/>
        <w:rPr>
          <w:rFonts w:ascii="Arial" w:hAnsi="Arial" w:cs="Arial"/>
          <w:snapToGrid w:val="0"/>
          <w:color w:val="000000"/>
          <w:sz w:val="18"/>
          <w:szCs w:val="18"/>
        </w:rPr>
      </w:pPr>
    </w:p>
    <w:p w14:paraId="534C4BF1" w14:textId="77777777" w:rsidR="001752FA" w:rsidRDefault="005D3332">
      <w:pPr>
        <w:tabs>
          <w:tab w:val="left" w:pos="1008"/>
          <w:tab w:val="left" w:pos="7459"/>
        </w:tabs>
        <w:suppressAutoHyphens/>
        <w:spacing w:after="60"/>
        <w:rPr>
          <w:rFonts w:ascii="Arial" w:hAnsi="Arial" w:cs="Arial"/>
          <w:snapToGrid w:val="0"/>
          <w:color w:val="000000"/>
          <w:sz w:val="18"/>
          <w:szCs w:val="18"/>
        </w:rPr>
      </w:pPr>
      <w:r>
        <w:rPr>
          <w:rFonts w:ascii="Arial" w:hAnsi="Arial" w:cs="Arial"/>
          <w:b/>
          <w:snapToGrid w:val="0"/>
          <w:color w:val="000000"/>
          <w:sz w:val="18"/>
          <w:szCs w:val="18"/>
        </w:rPr>
        <w:t>2.6. Dostawy materiałów</w:t>
      </w:r>
    </w:p>
    <w:p w14:paraId="310A333E"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Za dostawy materiałów odpowiedzialny jest Wykonawca robót zgodnie z ustaleniami określonymi w STWiORB D.M-00.00.00 „Wymagania ogólne”. </w:t>
      </w:r>
    </w:p>
    <w:p w14:paraId="6F5CB16E"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Do obowiązku Wykonawcy należy takie zorganizowanie dostaw materiałów do wytwarzania mieszanki AC 16 W, aby zapewnić zapas materiałów kruszywowych na całe zadanie.</w:t>
      </w:r>
    </w:p>
    <w:p w14:paraId="520FB5FB"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Każda dostawa asfaltu, kruszywa i wypełniacza musi być zaopatrzona w deklarację zgodności, potwierdzającą spełnienie wymagań podanych w pkt. 2, o treści według Rozporządzenia Ministra Infrastruktury z dn. 11 sierpnia 2004, wydaną przez dostawcę.</w:t>
      </w:r>
    </w:p>
    <w:p w14:paraId="3FC5431D"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Wykonawca musi deklarować przydatność wszystkich materiałów budowlanych stosowanych do wykonania nawierzchni asfaltowej. Odbywa się to poprzez:</w:t>
      </w:r>
    </w:p>
    <w:p w14:paraId="0DAC7CB7" w14:textId="77777777" w:rsidR="001752FA" w:rsidRDefault="005D3332">
      <w:pPr>
        <w:numPr>
          <w:ilvl w:val="0"/>
          <w:numId w:val="12"/>
        </w:numPr>
        <w:ind w:left="284" w:hanging="284"/>
        <w:jc w:val="both"/>
        <w:rPr>
          <w:rFonts w:ascii="Arial" w:hAnsi="Arial" w:cs="Arial"/>
          <w:sz w:val="18"/>
          <w:szCs w:val="18"/>
        </w:rPr>
      </w:pPr>
      <w:r>
        <w:rPr>
          <w:rFonts w:ascii="Arial" w:hAnsi="Arial" w:cs="Arial"/>
          <w:sz w:val="18"/>
          <w:szCs w:val="18"/>
        </w:rPr>
        <w:t>wykazanie informacji zawartych w badaniu typu wymaganym w odpowiednim dokumencie wyrobu (normy wyrobu, aprobaty techniczne),</w:t>
      </w:r>
    </w:p>
    <w:p w14:paraId="2D392F68" w14:textId="77777777" w:rsidR="001752FA" w:rsidRDefault="005D3332">
      <w:pPr>
        <w:numPr>
          <w:ilvl w:val="0"/>
          <w:numId w:val="12"/>
        </w:numPr>
        <w:ind w:left="284" w:hanging="284"/>
        <w:jc w:val="both"/>
        <w:rPr>
          <w:rFonts w:ascii="Arial" w:hAnsi="Arial" w:cs="Arial"/>
          <w:sz w:val="18"/>
          <w:szCs w:val="18"/>
        </w:rPr>
      </w:pPr>
      <w:r>
        <w:rPr>
          <w:rFonts w:ascii="Arial" w:hAnsi="Arial" w:cs="Arial"/>
          <w:sz w:val="18"/>
          <w:szCs w:val="18"/>
        </w:rPr>
        <w:t>deklarowanie przydatności materiału do przewidywanego celu,</w:t>
      </w:r>
    </w:p>
    <w:p w14:paraId="05DC61BB" w14:textId="77777777" w:rsidR="001752FA" w:rsidRDefault="005D3332">
      <w:pPr>
        <w:numPr>
          <w:ilvl w:val="0"/>
          <w:numId w:val="12"/>
        </w:numPr>
        <w:ind w:left="284" w:hanging="284"/>
        <w:jc w:val="both"/>
        <w:rPr>
          <w:rFonts w:ascii="Arial" w:hAnsi="Arial" w:cs="Arial"/>
          <w:sz w:val="18"/>
          <w:szCs w:val="18"/>
        </w:rPr>
      </w:pPr>
      <w:r>
        <w:rPr>
          <w:rFonts w:ascii="Arial" w:hAnsi="Arial" w:cs="Arial"/>
          <w:sz w:val="18"/>
          <w:szCs w:val="18"/>
        </w:rPr>
        <w:t xml:space="preserve">ewentualne dodatkowe informacje wymagane w </w:t>
      </w:r>
      <w:r>
        <w:rPr>
          <w:rFonts w:ascii="Arial" w:hAnsi="Arial" w:cs="Arial"/>
          <w:snapToGrid w:val="0"/>
          <w:sz w:val="18"/>
          <w:szCs w:val="18"/>
        </w:rPr>
        <w:t>dokumentacji projektowej</w:t>
      </w:r>
      <w:r>
        <w:rPr>
          <w:rFonts w:ascii="Arial" w:hAnsi="Arial" w:cs="Arial"/>
          <w:sz w:val="18"/>
          <w:szCs w:val="18"/>
        </w:rPr>
        <w:t>.</w:t>
      </w:r>
    </w:p>
    <w:p w14:paraId="729DF834"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W wypadku zmiany rodzaju i właściwości materiałów budowlanych należy ponownie wykazać ich przydatność do przewidywanego celu.</w:t>
      </w:r>
    </w:p>
    <w:p w14:paraId="3147E8B7" w14:textId="77777777" w:rsidR="001752FA" w:rsidRDefault="001752FA">
      <w:pPr>
        <w:tabs>
          <w:tab w:val="left" w:pos="1008"/>
          <w:tab w:val="left" w:pos="7459"/>
        </w:tabs>
        <w:ind w:firstLine="567"/>
        <w:jc w:val="both"/>
        <w:rPr>
          <w:rFonts w:ascii="Arial" w:hAnsi="Arial" w:cs="Arial"/>
          <w:snapToGrid w:val="0"/>
          <w:color w:val="000000"/>
          <w:sz w:val="18"/>
          <w:szCs w:val="18"/>
        </w:rPr>
      </w:pPr>
    </w:p>
    <w:p w14:paraId="2EB777D8" w14:textId="77777777" w:rsidR="001752FA" w:rsidRDefault="005D3332">
      <w:pPr>
        <w:tabs>
          <w:tab w:val="left" w:pos="1008"/>
          <w:tab w:val="left" w:pos="7459"/>
        </w:tabs>
        <w:suppressAutoHyphens/>
        <w:spacing w:after="60"/>
        <w:rPr>
          <w:rFonts w:ascii="Arial" w:hAnsi="Arial" w:cs="Arial"/>
          <w:snapToGrid w:val="0"/>
          <w:color w:val="000000"/>
          <w:sz w:val="18"/>
          <w:szCs w:val="18"/>
        </w:rPr>
      </w:pPr>
      <w:r>
        <w:rPr>
          <w:rFonts w:ascii="Arial" w:hAnsi="Arial" w:cs="Arial"/>
          <w:b/>
          <w:snapToGrid w:val="0"/>
          <w:color w:val="000000"/>
          <w:sz w:val="18"/>
          <w:szCs w:val="18"/>
        </w:rPr>
        <w:t>2.7. Składowanie materiałów</w:t>
      </w:r>
    </w:p>
    <w:p w14:paraId="4F7D5842" w14:textId="77777777" w:rsidR="001752FA" w:rsidRDefault="005D3332">
      <w:p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2.7.1. Składowanie kruszywa</w:t>
      </w:r>
    </w:p>
    <w:p w14:paraId="16AFBE0F"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Składowanie kruszywa powinno odbywać się w warunkach zabezpieczających je przed zanieczyszczeniem i zmieszaniem z innymi rodzajami lub frakcjami kruszywa. </w:t>
      </w:r>
    </w:p>
    <w:p w14:paraId="6F1B165F" w14:textId="77777777" w:rsidR="001752FA" w:rsidRDefault="001752FA">
      <w:pPr>
        <w:tabs>
          <w:tab w:val="left" w:pos="1008"/>
          <w:tab w:val="left" w:pos="7459"/>
        </w:tabs>
        <w:rPr>
          <w:rFonts w:ascii="Arial" w:hAnsi="Arial" w:cs="Arial"/>
          <w:b/>
          <w:snapToGrid w:val="0"/>
          <w:color w:val="000000"/>
          <w:sz w:val="18"/>
          <w:szCs w:val="18"/>
        </w:rPr>
      </w:pPr>
    </w:p>
    <w:p w14:paraId="7D361AF1" w14:textId="77777777" w:rsidR="001752FA" w:rsidRDefault="005D3332">
      <w:p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2.7.2. Składowanie wypełniacza</w:t>
      </w:r>
    </w:p>
    <w:p w14:paraId="1FB48710" w14:textId="77777777" w:rsidR="001752FA" w:rsidRDefault="005D3332">
      <w:pPr>
        <w:tabs>
          <w:tab w:val="left" w:pos="1008"/>
          <w:tab w:val="left" w:pos="7459"/>
        </w:tabs>
        <w:ind w:firstLine="567"/>
        <w:rPr>
          <w:rFonts w:ascii="Arial" w:hAnsi="Arial" w:cs="Arial"/>
          <w:snapToGrid w:val="0"/>
          <w:color w:val="000000"/>
          <w:sz w:val="18"/>
          <w:szCs w:val="18"/>
        </w:rPr>
      </w:pPr>
      <w:r>
        <w:rPr>
          <w:rFonts w:ascii="Arial" w:hAnsi="Arial" w:cs="Arial"/>
          <w:snapToGrid w:val="0"/>
          <w:color w:val="000000"/>
          <w:sz w:val="18"/>
          <w:szCs w:val="18"/>
        </w:rPr>
        <w:t>Wypełniacz należy składować w silosach wyposażonych w urządzenia do aeracji.</w:t>
      </w:r>
    </w:p>
    <w:p w14:paraId="6BAE3FDC" w14:textId="77777777" w:rsidR="001752FA" w:rsidRDefault="001752FA">
      <w:pPr>
        <w:tabs>
          <w:tab w:val="left" w:pos="1008"/>
          <w:tab w:val="left" w:pos="7459"/>
        </w:tabs>
        <w:rPr>
          <w:rFonts w:ascii="Arial" w:hAnsi="Arial" w:cs="Arial"/>
          <w:snapToGrid w:val="0"/>
          <w:color w:val="000000"/>
          <w:sz w:val="18"/>
          <w:szCs w:val="18"/>
        </w:rPr>
      </w:pPr>
    </w:p>
    <w:p w14:paraId="16D4CCF7"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b/>
          <w:snapToGrid w:val="0"/>
          <w:color w:val="000000"/>
          <w:sz w:val="18"/>
          <w:szCs w:val="18"/>
        </w:rPr>
        <w:t>2.7.3. Składowanie asfaltu</w:t>
      </w:r>
    </w:p>
    <w:p w14:paraId="7CC7E4E3"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lastRenderedPageBreak/>
        <w:t xml:space="preserve">Asfalt powinien być składowany w zbiornikach, których konstrukcja i użyte do ich wykonania materiały wykluczają możliwość zanieczyszczenia asfaltu. </w:t>
      </w:r>
    </w:p>
    <w:p w14:paraId="1BA4CB68"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Zbiorniki powinny być wyposażone w automatycznie sterowane urządzenia grzewcze  - olejowe, parowe lub elektryczne. </w:t>
      </w:r>
    </w:p>
    <w:p w14:paraId="1C1C20D6"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Nie dopuszcza się ogrzewania asfaltu otwartym ogniem.</w:t>
      </w:r>
    </w:p>
    <w:p w14:paraId="7E24733A"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 Zbiornik roboczy otaczarki powinien być izolowany termicznie, posiadać automatyczny system grzewczy zdolny do utrzymania zadanej temperatury z tolerancją ± 5</w:t>
      </w:r>
      <w:r>
        <w:rPr>
          <w:rFonts w:ascii="Arial" w:hAnsi="Arial" w:cs="Arial"/>
          <w:snapToGrid w:val="0"/>
          <w:color w:val="000000"/>
          <w:sz w:val="18"/>
          <w:szCs w:val="18"/>
          <w:vertAlign w:val="superscript"/>
        </w:rPr>
        <w:t>o</w:t>
      </w:r>
      <w:r>
        <w:rPr>
          <w:rFonts w:ascii="Arial" w:hAnsi="Arial" w:cs="Arial"/>
          <w:snapToGrid w:val="0"/>
          <w:color w:val="000000"/>
          <w:sz w:val="18"/>
          <w:szCs w:val="18"/>
        </w:rPr>
        <w:t xml:space="preserve">C oraz posiadać układ cyrkulacji asfaltu. </w:t>
      </w:r>
    </w:p>
    <w:p w14:paraId="57656ED5"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Wylot rury powrotnej powinien znajdować się  w zbiorniku poniżej zwierciadła gorącego asfaltu. </w:t>
      </w:r>
    </w:p>
    <w:p w14:paraId="6959B778" w14:textId="77777777" w:rsidR="001752FA" w:rsidRDefault="001752FA">
      <w:pPr>
        <w:tabs>
          <w:tab w:val="left" w:pos="1008"/>
          <w:tab w:val="left" w:pos="7459"/>
        </w:tabs>
        <w:jc w:val="both"/>
        <w:rPr>
          <w:rFonts w:ascii="Arial" w:hAnsi="Arial" w:cs="Arial"/>
          <w:snapToGrid w:val="0"/>
          <w:color w:val="000000"/>
          <w:sz w:val="18"/>
          <w:szCs w:val="18"/>
        </w:rPr>
      </w:pPr>
    </w:p>
    <w:p w14:paraId="31E06B7C" w14:textId="77777777" w:rsidR="001752FA" w:rsidRDefault="005D3332">
      <w:pPr>
        <w:numPr>
          <w:ilvl w:val="12"/>
          <w:numId w:val="0"/>
        </w:num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2.7.4. Składowanie emulsji</w:t>
      </w:r>
    </w:p>
    <w:p w14:paraId="09883550" w14:textId="77777777" w:rsidR="001752FA" w:rsidRDefault="005D3332">
      <w:pPr>
        <w:numPr>
          <w:ilvl w:val="12"/>
          <w:numId w:val="0"/>
        </w:numPr>
        <w:tabs>
          <w:tab w:val="left" w:pos="1008"/>
          <w:tab w:val="left" w:pos="7459"/>
        </w:tabs>
        <w:ind w:firstLine="567"/>
        <w:rPr>
          <w:rFonts w:ascii="Arial" w:hAnsi="Arial" w:cs="Arial"/>
          <w:snapToGrid w:val="0"/>
          <w:color w:val="000000"/>
          <w:sz w:val="18"/>
          <w:szCs w:val="18"/>
        </w:rPr>
      </w:pPr>
      <w:r>
        <w:rPr>
          <w:rFonts w:ascii="Arial" w:hAnsi="Arial" w:cs="Arial"/>
          <w:snapToGrid w:val="0"/>
          <w:color w:val="000000"/>
          <w:sz w:val="18"/>
          <w:szCs w:val="18"/>
        </w:rPr>
        <w:t xml:space="preserve">Warunki przechowywania emulsji nie mogą powodować utraty jej cech i obniżenia jakości. Przechowywanie i transport emulsji powinien być zgodny z zaleceniami producenta. </w:t>
      </w:r>
    </w:p>
    <w:p w14:paraId="4971F98E" w14:textId="77777777" w:rsidR="001752FA" w:rsidRDefault="001752FA">
      <w:pPr>
        <w:tabs>
          <w:tab w:val="left" w:pos="0"/>
          <w:tab w:val="right" w:pos="8809"/>
        </w:tabs>
        <w:jc w:val="both"/>
        <w:rPr>
          <w:rFonts w:ascii="Arial" w:hAnsi="Arial" w:cs="Arial"/>
          <w:b/>
          <w:sz w:val="18"/>
          <w:szCs w:val="18"/>
        </w:rPr>
      </w:pPr>
    </w:p>
    <w:p w14:paraId="347F9EF8" w14:textId="77777777" w:rsidR="001752FA" w:rsidRDefault="001752FA">
      <w:pPr>
        <w:tabs>
          <w:tab w:val="left" w:pos="0"/>
          <w:tab w:val="right" w:pos="8809"/>
        </w:tabs>
        <w:jc w:val="both"/>
        <w:rPr>
          <w:rFonts w:ascii="Arial" w:hAnsi="Arial" w:cs="Arial"/>
          <w:b/>
          <w:sz w:val="18"/>
          <w:szCs w:val="18"/>
        </w:rPr>
      </w:pPr>
    </w:p>
    <w:p w14:paraId="1F025687" w14:textId="77777777" w:rsidR="001752FA" w:rsidRDefault="005D3332">
      <w:pPr>
        <w:tabs>
          <w:tab w:val="left" w:pos="142"/>
          <w:tab w:val="right" w:pos="8809"/>
        </w:tabs>
        <w:spacing w:after="120"/>
        <w:jc w:val="center"/>
        <w:rPr>
          <w:rFonts w:ascii="Arial" w:hAnsi="Arial" w:cs="Arial"/>
          <w:b/>
        </w:rPr>
      </w:pPr>
      <w:r>
        <w:rPr>
          <w:rFonts w:ascii="Arial" w:hAnsi="Arial" w:cs="Arial"/>
          <w:b/>
        </w:rPr>
        <w:t>3. SPRZĘT</w:t>
      </w:r>
    </w:p>
    <w:p w14:paraId="37BE48FE"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3.1. Wymagania ogólne dotyczące sprzętu</w:t>
      </w:r>
    </w:p>
    <w:p w14:paraId="1A030AD9"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Wymagania ogólne dotyczące sprzętu podano w STWiORB D-M-00.00.00. „Wymagania ogólne" pkt.3.2. Wykonawca przystępujący do wykonania warstwy wiążącej z AC 16 W powinien wykazać się możliwością korzystania z następującego sprzętu:</w:t>
      </w:r>
    </w:p>
    <w:p w14:paraId="01C3E0C1" w14:textId="77777777" w:rsidR="001752FA" w:rsidRDefault="005D3332">
      <w:pPr>
        <w:numPr>
          <w:ilvl w:val="0"/>
          <w:numId w:val="22"/>
        </w:numPr>
        <w:tabs>
          <w:tab w:val="left" w:pos="284"/>
          <w:tab w:val="left" w:pos="7459"/>
        </w:tabs>
        <w:ind w:left="284" w:hanging="284"/>
        <w:jc w:val="both"/>
        <w:rPr>
          <w:rFonts w:ascii="Arial" w:hAnsi="Arial" w:cs="Arial"/>
          <w:caps/>
          <w:snapToGrid w:val="0"/>
          <w:color w:val="000000"/>
          <w:kern w:val="28"/>
          <w:sz w:val="18"/>
          <w:szCs w:val="18"/>
        </w:rPr>
      </w:pPr>
      <w:r>
        <w:rPr>
          <w:rFonts w:ascii="Arial" w:hAnsi="Arial" w:cs="Arial"/>
          <w:snapToGrid w:val="0"/>
          <w:color w:val="000000"/>
          <w:sz w:val="18"/>
          <w:szCs w:val="18"/>
        </w:rPr>
        <w:t>otaczarki (zespołu maszyn i urządzeń dozowania, podgrzewania i mieszania składników oraz przechowywania gotowej mieszanki).</w:t>
      </w:r>
      <w:r>
        <w:rPr>
          <w:rFonts w:ascii="Arial" w:hAnsi="Arial" w:cs="Arial"/>
          <w:i/>
          <w:snapToGrid w:val="0"/>
          <w:color w:val="000000"/>
          <w:sz w:val="18"/>
          <w:szCs w:val="18"/>
          <w:lang w:eastAsia="ar-SA"/>
        </w:rPr>
        <w:t xml:space="preserve"> </w:t>
      </w:r>
      <w:r>
        <w:rPr>
          <w:rFonts w:ascii="Arial" w:hAnsi="Arial" w:cs="Arial"/>
          <w:snapToGrid w:val="0"/>
          <w:color w:val="000000"/>
          <w:sz w:val="18"/>
          <w:szCs w:val="18"/>
          <w:lang w:eastAsia="ar-SA"/>
        </w:rPr>
        <w:t>Na WMA musi być wdrożony certyfikowany system ZKP, zgodnie z wymaganiami PN-EN 13108-21.</w:t>
      </w:r>
      <w:r>
        <w:rPr>
          <w:rFonts w:ascii="Arial" w:hAnsi="Arial" w:cs="Arial"/>
          <w:snapToGrid w:val="0"/>
          <w:color w:val="000000"/>
          <w:kern w:val="28"/>
          <w:sz w:val="18"/>
          <w:szCs w:val="18"/>
        </w:rPr>
        <w:t xml:space="preserve"> WMA ma być tak wyposażona, aby był na niej możliwy pobór próbek asfaltu do badań. Próbki takie należy pobierać ze zbiorników na asfalt, z miejsc przepływu asfaltu tj. przed pompą tankującą (kontrola dostarczanego asfaltu) oraz przed pompą dozującą na wagę (kontrola zastosowanego do mma asfaltu). Wykonawca (właściciel WMA) ma dostosować WMA do poboru próbek podczas produkcji mma, we wskazanych miejscach.</w:t>
      </w:r>
    </w:p>
    <w:p w14:paraId="52920F40" w14:textId="77777777" w:rsidR="001752FA" w:rsidRDefault="005D3332">
      <w:pPr>
        <w:numPr>
          <w:ilvl w:val="0"/>
          <w:numId w:val="22"/>
        </w:numPr>
        <w:tabs>
          <w:tab w:val="left" w:pos="0"/>
        </w:tabs>
        <w:ind w:left="284" w:hanging="284"/>
        <w:jc w:val="both"/>
        <w:rPr>
          <w:rFonts w:ascii="Arial" w:hAnsi="Arial" w:cs="Arial"/>
          <w:sz w:val="18"/>
          <w:szCs w:val="18"/>
        </w:rPr>
      </w:pPr>
      <w:r>
        <w:rPr>
          <w:rFonts w:ascii="Arial" w:hAnsi="Arial" w:cs="Arial"/>
          <w:sz w:val="18"/>
          <w:szCs w:val="18"/>
        </w:rPr>
        <w:t xml:space="preserve">skrapiarek, </w:t>
      </w:r>
    </w:p>
    <w:p w14:paraId="485FDA80" w14:textId="77777777" w:rsidR="001752FA" w:rsidRDefault="005D3332">
      <w:pPr>
        <w:numPr>
          <w:ilvl w:val="0"/>
          <w:numId w:val="22"/>
        </w:numPr>
        <w:tabs>
          <w:tab w:val="left" w:pos="0"/>
          <w:tab w:val="right" w:pos="8809"/>
        </w:tabs>
        <w:ind w:left="284" w:hanging="284"/>
        <w:jc w:val="both"/>
        <w:rPr>
          <w:rFonts w:ascii="Arial" w:hAnsi="Arial" w:cs="Arial"/>
          <w:sz w:val="18"/>
          <w:szCs w:val="18"/>
        </w:rPr>
      </w:pPr>
      <w:r>
        <w:rPr>
          <w:rFonts w:ascii="Arial" w:hAnsi="Arial" w:cs="Arial"/>
          <w:sz w:val="18"/>
          <w:szCs w:val="18"/>
        </w:rPr>
        <w:t xml:space="preserve">rozkładarki wyposażonej w układ automatycznego sterowania grubości warstwy i utrzymania niwelety zgodnie z dokumentacją projektową, </w:t>
      </w:r>
    </w:p>
    <w:p w14:paraId="204E3F96" w14:textId="77777777" w:rsidR="001752FA" w:rsidRDefault="005D3332">
      <w:pPr>
        <w:numPr>
          <w:ilvl w:val="0"/>
          <w:numId w:val="22"/>
        </w:numPr>
        <w:tabs>
          <w:tab w:val="left" w:pos="0"/>
          <w:tab w:val="right" w:pos="8809"/>
        </w:tabs>
        <w:ind w:left="284" w:hanging="284"/>
        <w:jc w:val="both"/>
        <w:rPr>
          <w:rFonts w:ascii="Arial" w:hAnsi="Arial" w:cs="Arial"/>
          <w:sz w:val="18"/>
          <w:szCs w:val="18"/>
        </w:rPr>
      </w:pPr>
      <w:r>
        <w:rPr>
          <w:rFonts w:ascii="Arial" w:hAnsi="Arial" w:cs="Arial"/>
          <w:sz w:val="18"/>
          <w:szCs w:val="18"/>
        </w:rPr>
        <w:t>drobnego sprzętu do ręcznego wykonania warstwy w miejscach niedostępnych dla rozkładarki,</w:t>
      </w:r>
    </w:p>
    <w:p w14:paraId="74EA2439" w14:textId="77777777" w:rsidR="001752FA" w:rsidRDefault="005D3332">
      <w:pPr>
        <w:numPr>
          <w:ilvl w:val="0"/>
          <w:numId w:val="22"/>
        </w:numPr>
        <w:tabs>
          <w:tab w:val="left" w:pos="0"/>
          <w:tab w:val="right" w:pos="8809"/>
        </w:tabs>
        <w:ind w:left="284" w:hanging="284"/>
        <w:jc w:val="both"/>
        <w:rPr>
          <w:rFonts w:ascii="Arial" w:hAnsi="Arial" w:cs="Arial"/>
          <w:sz w:val="18"/>
          <w:szCs w:val="18"/>
        </w:rPr>
      </w:pPr>
      <w:r>
        <w:rPr>
          <w:rFonts w:ascii="Arial" w:hAnsi="Arial" w:cs="Arial"/>
          <w:sz w:val="18"/>
          <w:szCs w:val="18"/>
        </w:rPr>
        <w:t>walców drogowych ciężkich, stalowych, gładkich z możliwością wibracji, oscylacji lub walce ogumione, płyt wibracyjnych lub ręcznych zagęszczarek do zagęszczania warstwy w miejscach niedostępnych dla walców,</w:t>
      </w:r>
    </w:p>
    <w:p w14:paraId="557C8A87" w14:textId="77777777" w:rsidR="001752FA" w:rsidRDefault="005D3332">
      <w:pPr>
        <w:numPr>
          <w:ilvl w:val="0"/>
          <w:numId w:val="22"/>
        </w:numPr>
        <w:tabs>
          <w:tab w:val="left" w:pos="0"/>
          <w:tab w:val="right" w:pos="8809"/>
        </w:tabs>
        <w:ind w:left="284" w:hanging="284"/>
        <w:jc w:val="both"/>
        <w:rPr>
          <w:rFonts w:ascii="Arial" w:hAnsi="Arial" w:cs="Arial"/>
          <w:sz w:val="18"/>
          <w:szCs w:val="18"/>
        </w:rPr>
      </w:pPr>
      <w:r>
        <w:rPr>
          <w:rFonts w:ascii="Arial" w:hAnsi="Arial" w:cs="Arial"/>
          <w:sz w:val="18"/>
          <w:szCs w:val="18"/>
        </w:rPr>
        <w:t>samochodów samowyładowczych z przykryciem brezentowym.</w:t>
      </w:r>
    </w:p>
    <w:p w14:paraId="25DB4592" w14:textId="77777777" w:rsidR="001752FA" w:rsidRDefault="001752FA">
      <w:pPr>
        <w:tabs>
          <w:tab w:val="left" w:pos="0"/>
          <w:tab w:val="right" w:pos="8809"/>
        </w:tabs>
        <w:jc w:val="both"/>
        <w:rPr>
          <w:rFonts w:ascii="Arial" w:hAnsi="Arial" w:cs="Arial"/>
          <w:sz w:val="18"/>
          <w:szCs w:val="18"/>
        </w:rPr>
      </w:pPr>
    </w:p>
    <w:p w14:paraId="6808B46C" w14:textId="77777777" w:rsidR="001752FA" w:rsidRDefault="001752FA">
      <w:pPr>
        <w:tabs>
          <w:tab w:val="left" w:pos="0"/>
          <w:tab w:val="right" w:pos="8809"/>
        </w:tabs>
        <w:spacing w:after="120"/>
        <w:jc w:val="both"/>
        <w:rPr>
          <w:rFonts w:ascii="Arial" w:hAnsi="Arial" w:cs="Arial"/>
          <w:b/>
          <w:sz w:val="18"/>
          <w:szCs w:val="18"/>
        </w:rPr>
      </w:pPr>
    </w:p>
    <w:p w14:paraId="30FE90E4" w14:textId="77777777" w:rsidR="001752FA" w:rsidRDefault="005D3332">
      <w:pPr>
        <w:tabs>
          <w:tab w:val="left" w:pos="142"/>
          <w:tab w:val="right" w:pos="8809"/>
        </w:tabs>
        <w:spacing w:after="120"/>
        <w:jc w:val="center"/>
        <w:rPr>
          <w:rFonts w:ascii="Arial" w:hAnsi="Arial" w:cs="Arial"/>
          <w:b/>
        </w:rPr>
      </w:pPr>
      <w:r>
        <w:rPr>
          <w:rFonts w:ascii="Arial" w:hAnsi="Arial" w:cs="Arial"/>
          <w:b/>
        </w:rPr>
        <w:t>4. TRANSPORT</w:t>
      </w:r>
    </w:p>
    <w:p w14:paraId="310945C2"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4.1. Wymagania ogólne</w:t>
      </w:r>
    </w:p>
    <w:p w14:paraId="4BC5EF87"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Ogólne wymagania dotyczące transportu podano w STWiORB D-M-00.00.00 „Wymagania ogólne" pkt.4.</w:t>
      </w:r>
    </w:p>
    <w:p w14:paraId="0382F5E6" w14:textId="77777777" w:rsidR="001752FA" w:rsidRDefault="001752FA">
      <w:pPr>
        <w:tabs>
          <w:tab w:val="left" w:pos="0"/>
          <w:tab w:val="right" w:pos="8809"/>
        </w:tabs>
        <w:ind w:firstLine="567"/>
        <w:jc w:val="both"/>
        <w:rPr>
          <w:rFonts w:ascii="Arial" w:hAnsi="Arial" w:cs="Arial"/>
          <w:sz w:val="18"/>
          <w:szCs w:val="18"/>
        </w:rPr>
      </w:pPr>
    </w:p>
    <w:p w14:paraId="52202297"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4.2. Asfalt</w:t>
      </w:r>
    </w:p>
    <w:p w14:paraId="35DBD0E0"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Asfalt należy przewozić zgodnie z zaleceniami Producenta.</w:t>
      </w:r>
    </w:p>
    <w:p w14:paraId="4CE8E8EE" w14:textId="77777777" w:rsidR="001752FA" w:rsidRDefault="001752FA">
      <w:pPr>
        <w:tabs>
          <w:tab w:val="left" w:pos="0"/>
          <w:tab w:val="right" w:pos="8809"/>
        </w:tabs>
        <w:ind w:firstLine="567"/>
        <w:jc w:val="both"/>
        <w:rPr>
          <w:rFonts w:ascii="Arial" w:hAnsi="Arial" w:cs="Arial"/>
          <w:sz w:val="18"/>
          <w:szCs w:val="18"/>
        </w:rPr>
      </w:pPr>
    </w:p>
    <w:p w14:paraId="1E3CDE36"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4.3. Wypełniacz</w:t>
      </w:r>
    </w:p>
    <w:p w14:paraId="202578BD"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Wypełniacz luzem należy przewozić w cysternach przystosowanych do przewozu materiałów sypkich, umożliwiających rozładunek pneumatyczny.</w:t>
      </w:r>
    </w:p>
    <w:p w14:paraId="5895AA33"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Wypełniacz workowany można przewozić dowolnymi środkami transportu w sposób zabezpieczony przed zawilgoceniem i uszkodzeniem worków.</w:t>
      </w:r>
    </w:p>
    <w:p w14:paraId="00AF4192" w14:textId="77777777" w:rsidR="001752FA" w:rsidRDefault="001752FA">
      <w:pPr>
        <w:tabs>
          <w:tab w:val="left" w:pos="0"/>
          <w:tab w:val="right" w:pos="8809"/>
        </w:tabs>
        <w:jc w:val="both"/>
        <w:rPr>
          <w:rFonts w:ascii="Arial" w:hAnsi="Arial" w:cs="Arial"/>
          <w:sz w:val="18"/>
          <w:szCs w:val="18"/>
        </w:rPr>
      </w:pPr>
    </w:p>
    <w:p w14:paraId="5E7325C0"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4.4. Kruszywo</w:t>
      </w:r>
    </w:p>
    <w:p w14:paraId="027C1AEF"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Kruszywo można przewozić dowolnymi środkami transportu, w warunkach zabezpieczających je przed zanieczyszczeniem, zmieszaniem z innymi asortymentami kruszywa lub jego frakcjami i nadmiernym zawilgoceniem.</w:t>
      </w:r>
    </w:p>
    <w:p w14:paraId="6E21FC24" w14:textId="77777777" w:rsidR="001752FA" w:rsidRDefault="001752FA">
      <w:pPr>
        <w:tabs>
          <w:tab w:val="left" w:pos="0"/>
          <w:tab w:val="right" w:pos="8809"/>
        </w:tabs>
        <w:jc w:val="both"/>
        <w:rPr>
          <w:rFonts w:ascii="Arial" w:hAnsi="Arial" w:cs="Arial"/>
          <w:sz w:val="18"/>
          <w:szCs w:val="18"/>
        </w:rPr>
      </w:pPr>
    </w:p>
    <w:p w14:paraId="28D2EF90"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4.5. Mieszanka mineralno-asfaltowa</w:t>
      </w:r>
    </w:p>
    <w:p w14:paraId="3F3D22E2"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Mieszankę mineralno-asfaltową należy przewozić pojazdami samowyładowczymi o dużej ładowności, wyposażonymi w plandeki do przykrywania mieszanki podczas transportu.</w:t>
      </w:r>
      <w:r>
        <w:rPr>
          <w:rFonts w:ascii="Arial" w:hAnsi="Arial" w:cs="Arial"/>
          <w:snapToGrid w:val="0"/>
          <w:color w:val="000000"/>
          <w:sz w:val="18"/>
          <w:szCs w:val="18"/>
        </w:rPr>
        <w:tab/>
      </w:r>
    </w:p>
    <w:p w14:paraId="276FFB17"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Czas i warunki transportu powinny być takie, aby mieszanka wyładowywana do kosza układarki posiadała temperaturę nie niższą niż minimalna temperatura wbudowania określona w pkt. 5.3. </w:t>
      </w:r>
    </w:p>
    <w:p w14:paraId="0E0063AC" w14:textId="77777777" w:rsidR="001752FA" w:rsidRDefault="005D3332">
      <w:pPr>
        <w:suppressAutoHyphens/>
        <w:ind w:firstLine="567"/>
        <w:jc w:val="both"/>
        <w:rPr>
          <w:rFonts w:ascii="Arial" w:hAnsi="Arial" w:cs="Arial"/>
          <w:spacing w:val="-3"/>
          <w:sz w:val="18"/>
          <w:szCs w:val="18"/>
        </w:rPr>
      </w:pPr>
      <w:r>
        <w:rPr>
          <w:rFonts w:ascii="Arial" w:hAnsi="Arial" w:cs="Arial"/>
          <w:spacing w:val="-3"/>
          <w:sz w:val="18"/>
          <w:szCs w:val="18"/>
        </w:rPr>
        <w:t>Zaleca się stosowanie samochodów-termosów.</w:t>
      </w:r>
    </w:p>
    <w:p w14:paraId="3FFC6772" w14:textId="77777777" w:rsidR="001752FA" w:rsidRDefault="001752FA">
      <w:pPr>
        <w:suppressAutoHyphens/>
        <w:ind w:firstLine="567"/>
        <w:jc w:val="both"/>
        <w:rPr>
          <w:rFonts w:ascii="Arial" w:hAnsi="Arial" w:cs="Arial"/>
          <w:spacing w:val="-3"/>
          <w:sz w:val="18"/>
          <w:szCs w:val="18"/>
        </w:rPr>
      </w:pPr>
    </w:p>
    <w:p w14:paraId="51194F76" w14:textId="77777777" w:rsidR="001752FA" w:rsidRDefault="001752FA">
      <w:pPr>
        <w:suppressAutoHyphens/>
        <w:ind w:firstLine="567"/>
        <w:jc w:val="both"/>
        <w:rPr>
          <w:rFonts w:ascii="Arial" w:hAnsi="Arial" w:cs="Arial"/>
          <w:spacing w:val="-3"/>
          <w:sz w:val="18"/>
          <w:szCs w:val="18"/>
        </w:rPr>
      </w:pPr>
    </w:p>
    <w:p w14:paraId="530A53E8" w14:textId="77777777" w:rsidR="001752FA" w:rsidRDefault="005D3332">
      <w:pPr>
        <w:tabs>
          <w:tab w:val="left" w:pos="142"/>
          <w:tab w:val="right" w:pos="8809"/>
        </w:tabs>
        <w:spacing w:after="120"/>
        <w:jc w:val="center"/>
        <w:rPr>
          <w:rFonts w:ascii="Arial" w:hAnsi="Arial" w:cs="Arial"/>
          <w:b/>
        </w:rPr>
      </w:pPr>
      <w:r>
        <w:rPr>
          <w:rFonts w:ascii="Arial" w:hAnsi="Arial" w:cs="Arial"/>
          <w:b/>
        </w:rPr>
        <w:t>5. WYKONANIE ROBÓT</w:t>
      </w:r>
    </w:p>
    <w:p w14:paraId="4E41D6A7"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5.1. Ogólne zasady wykonania robót</w:t>
      </w:r>
    </w:p>
    <w:p w14:paraId="4ED4A9AC"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lastRenderedPageBreak/>
        <w:t>Ogólne zasady wykonania robót podano w STWiORB D-M-00.00.00. “Wymagania ogólne” pkt. 5.</w:t>
      </w:r>
    </w:p>
    <w:p w14:paraId="4F7DFFA1" w14:textId="77777777" w:rsidR="001752FA" w:rsidRDefault="001752FA">
      <w:pPr>
        <w:tabs>
          <w:tab w:val="left" w:pos="0"/>
          <w:tab w:val="right" w:pos="8809"/>
        </w:tabs>
        <w:ind w:firstLine="567"/>
        <w:jc w:val="both"/>
        <w:rPr>
          <w:rFonts w:ascii="Arial" w:hAnsi="Arial" w:cs="Arial"/>
          <w:sz w:val="18"/>
          <w:szCs w:val="18"/>
        </w:rPr>
      </w:pPr>
    </w:p>
    <w:p w14:paraId="2FC49CA7"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5.2. Projektowanie mieszanki mineralno-asfaltowej</w:t>
      </w:r>
    </w:p>
    <w:p w14:paraId="24BA925A"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Przed przystąpieniem do robót, w terminie uzgodnionym z Inspektorem Nadzoru, ale nie krótszym niż 1 miesiąc, Wykonawca dostarczy Inspektorowi Nadzoru do akceptacji projekt składu mieszanki mineralno-asfaltowej oraz wyniki badań laboratoryjnych i próbki materiałów pobrane w obecności Inspektora Nadzoru.</w:t>
      </w:r>
    </w:p>
    <w:p w14:paraId="248D5ED0"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Projektowanie mieszanki mineralno-asfaltowej polega na:</w:t>
      </w:r>
    </w:p>
    <w:p w14:paraId="5E7B1C6A" w14:textId="77777777" w:rsidR="001752FA" w:rsidRDefault="005D3332">
      <w:pPr>
        <w:numPr>
          <w:ilvl w:val="0"/>
          <w:numId w:val="23"/>
        </w:numPr>
        <w:tabs>
          <w:tab w:val="clear" w:pos="720"/>
          <w:tab w:val="left" w:pos="0"/>
          <w:tab w:val="num" w:pos="284"/>
          <w:tab w:val="right" w:pos="8809"/>
        </w:tabs>
        <w:ind w:left="284" w:hanging="284"/>
        <w:jc w:val="both"/>
        <w:rPr>
          <w:rFonts w:ascii="Arial" w:hAnsi="Arial" w:cs="Arial"/>
          <w:sz w:val="18"/>
          <w:szCs w:val="18"/>
        </w:rPr>
      </w:pPr>
      <w:r>
        <w:rPr>
          <w:rFonts w:ascii="Arial" w:hAnsi="Arial" w:cs="Arial"/>
          <w:sz w:val="18"/>
          <w:szCs w:val="18"/>
        </w:rPr>
        <w:t>doborze składników mieszanki,</w:t>
      </w:r>
    </w:p>
    <w:p w14:paraId="33FDF9F5" w14:textId="77777777" w:rsidR="001752FA" w:rsidRDefault="005D3332">
      <w:pPr>
        <w:numPr>
          <w:ilvl w:val="0"/>
          <w:numId w:val="23"/>
        </w:numPr>
        <w:tabs>
          <w:tab w:val="clear" w:pos="720"/>
          <w:tab w:val="left" w:pos="0"/>
          <w:tab w:val="num" w:pos="284"/>
          <w:tab w:val="right" w:pos="8809"/>
        </w:tabs>
        <w:ind w:left="284" w:hanging="284"/>
        <w:jc w:val="both"/>
        <w:rPr>
          <w:rFonts w:ascii="Arial" w:hAnsi="Arial" w:cs="Arial"/>
          <w:sz w:val="18"/>
          <w:szCs w:val="18"/>
        </w:rPr>
      </w:pPr>
      <w:r>
        <w:rPr>
          <w:rFonts w:ascii="Arial" w:hAnsi="Arial" w:cs="Arial"/>
          <w:sz w:val="18"/>
          <w:szCs w:val="18"/>
        </w:rPr>
        <w:t>doborze optymalnej ilości asfaltu,</w:t>
      </w:r>
    </w:p>
    <w:p w14:paraId="316AF19D" w14:textId="77777777" w:rsidR="001752FA" w:rsidRDefault="005D3332">
      <w:pPr>
        <w:numPr>
          <w:ilvl w:val="0"/>
          <w:numId w:val="23"/>
        </w:numPr>
        <w:tabs>
          <w:tab w:val="clear" w:pos="720"/>
          <w:tab w:val="left" w:pos="0"/>
          <w:tab w:val="num" w:pos="284"/>
          <w:tab w:val="right" w:pos="8809"/>
        </w:tabs>
        <w:ind w:left="284" w:hanging="284"/>
        <w:jc w:val="both"/>
        <w:rPr>
          <w:rFonts w:ascii="Arial" w:hAnsi="Arial" w:cs="Arial"/>
          <w:sz w:val="18"/>
          <w:szCs w:val="18"/>
        </w:rPr>
      </w:pPr>
      <w:r>
        <w:rPr>
          <w:rFonts w:ascii="Arial" w:hAnsi="Arial" w:cs="Arial"/>
          <w:sz w:val="18"/>
          <w:szCs w:val="18"/>
        </w:rPr>
        <w:t>określeniu jej właściwości i porównaniu wyników z założeniami projektowymi.</w:t>
      </w:r>
    </w:p>
    <w:p w14:paraId="6EC3E40E"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Zmiana składników mieszanki w czasie trwania robót wymaga akceptacji Inspektora Nadzoru oraz opracowania nowej recepty i jej zatwierdzenia.</w:t>
      </w:r>
    </w:p>
    <w:p w14:paraId="6C10ECFC"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Krzywa uziarnienia mieszanki mineralnej powinna się mieścić w polu dobrego uziarnienia wyznaczonego przez krzywe graniczne, podane w Tablicy 3.</w:t>
      </w:r>
    </w:p>
    <w:p w14:paraId="60608225" w14:textId="77777777" w:rsidR="001752FA" w:rsidRDefault="001752FA">
      <w:pPr>
        <w:tabs>
          <w:tab w:val="left" w:pos="0"/>
          <w:tab w:val="right" w:pos="8809"/>
        </w:tabs>
        <w:jc w:val="both"/>
        <w:rPr>
          <w:rFonts w:ascii="Arial" w:hAnsi="Arial" w:cs="Arial"/>
          <w:sz w:val="18"/>
          <w:szCs w:val="18"/>
        </w:rPr>
      </w:pPr>
    </w:p>
    <w:p w14:paraId="716DB65B"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Tablica 3. Rzędne krzywych granicznych uziarnienia mieszanki mineralnej AC 16 W oraz orientacyjną zawartość asfaltu dla KR 2.</w:t>
      </w:r>
    </w:p>
    <w:p w14:paraId="18F9B700" w14:textId="77777777" w:rsidR="001752FA" w:rsidRDefault="001752FA">
      <w:pPr>
        <w:tabs>
          <w:tab w:val="left" w:pos="0"/>
          <w:tab w:val="right" w:pos="8809"/>
        </w:tabs>
        <w:jc w:val="both"/>
        <w:rPr>
          <w:rFonts w:ascii="Arial" w:hAnsi="Arial" w:cs="Arial"/>
          <w:sz w:val="18"/>
          <w:szCs w:val="18"/>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827"/>
        <w:gridCol w:w="1152"/>
        <w:gridCol w:w="1152"/>
      </w:tblGrid>
      <w:tr w:rsidR="001752FA" w14:paraId="78F941E8" w14:textId="77777777">
        <w:trPr>
          <w:trHeight w:val="120"/>
          <w:jc w:val="center"/>
        </w:trPr>
        <w:tc>
          <w:tcPr>
            <w:tcW w:w="3827" w:type="dxa"/>
            <w:vMerge w:val="restart"/>
            <w:tcBorders>
              <w:top w:val="single" w:sz="4" w:space="0" w:color="auto"/>
              <w:left w:val="single" w:sz="4" w:space="0" w:color="auto"/>
              <w:right w:val="single" w:sz="4" w:space="0" w:color="auto"/>
            </w:tcBorders>
          </w:tcPr>
          <w:p w14:paraId="3EEE2AE1"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Właściwość</w:t>
            </w:r>
          </w:p>
        </w:tc>
        <w:tc>
          <w:tcPr>
            <w:tcW w:w="2304" w:type="dxa"/>
            <w:gridSpan w:val="2"/>
            <w:tcBorders>
              <w:top w:val="single" w:sz="4" w:space="0" w:color="auto"/>
              <w:left w:val="single" w:sz="4" w:space="0" w:color="auto"/>
              <w:bottom w:val="single" w:sz="4" w:space="0" w:color="auto"/>
              <w:right w:val="single" w:sz="4" w:space="0" w:color="auto"/>
            </w:tcBorders>
          </w:tcPr>
          <w:p w14:paraId="51EFD633"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Przesiew [%(mm)]</w:t>
            </w:r>
          </w:p>
        </w:tc>
      </w:tr>
      <w:tr w:rsidR="001752FA" w14:paraId="07BE0872" w14:textId="77777777">
        <w:trPr>
          <w:trHeight w:val="120"/>
          <w:jc w:val="center"/>
        </w:trPr>
        <w:tc>
          <w:tcPr>
            <w:tcW w:w="3827" w:type="dxa"/>
            <w:vMerge/>
            <w:tcBorders>
              <w:left w:val="single" w:sz="4" w:space="0" w:color="auto"/>
              <w:bottom w:val="single" w:sz="4" w:space="0" w:color="auto"/>
              <w:right w:val="single" w:sz="4" w:space="0" w:color="auto"/>
            </w:tcBorders>
          </w:tcPr>
          <w:p w14:paraId="0D626A41" w14:textId="77777777" w:rsidR="001752FA" w:rsidRDefault="001752FA">
            <w:pPr>
              <w:tabs>
                <w:tab w:val="left" w:pos="0"/>
                <w:tab w:val="right" w:pos="8809"/>
              </w:tabs>
              <w:jc w:val="both"/>
              <w:rPr>
                <w:rFonts w:ascii="Arial" w:hAnsi="Arial" w:cs="Arial"/>
                <w:sz w:val="18"/>
                <w:szCs w:val="18"/>
              </w:rPr>
            </w:pPr>
          </w:p>
        </w:tc>
        <w:tc>
          <w:tcPr>
            <w:tcW w:w="2304" w:type="dxa"/>
            <w:gridSpan w:val="2"/>
            <w:tcBorders>
              <w:top w:val="single" w:sz="4" w:space="0" w:color="auto"/>
              <w:left w:val="single" w:sz="4" w:space="0" w:color="auto"/>
              <w:bottom w:val="single" w:sz="4" w:space="0" w:color="auto"/>
              <w:right w:val="single" w:sz="4" w:space="0" w:color="auto"/>
            </w:tcBorders>
          </w:tcPr>
          <w:p w14:paraId="1392F497"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AC 16 W      KR 2</w:t>
            </w:r>
          </w:p>
        </w:tc>
      </w:tr>
      <w:tr w:rsidR="001752FA" w14:paraId="1F8B1F6E" w14:textId="77777777">
        <w:trPr>
          <w:jc w:val="center"/>
        </w:trPr>
        <w:tc>
          <w:tcPr>
            <w:tcW w:w="3827" w:type="dxa"/>
            <w:tcBorders>
              <w:top w:val="single" w:sz="4" w:space="0" w:color="auto"/>
              <w:left w:val="single" w:sz="4" w:space="0" w:color="auto"/>
              <w:bottom w:val="single" w:sz="4" w:space="0" w:color="auto"/>
              <w:right w:val="single" w:sz="4" w:space="0" w:color="auto"/>
            </w:tcBorders>
          </w:tcPr>
          <w:p w14:paraId="2056AABF"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Wymiar oczek sit [mm]</w:t>
            </w:r>
          </w:p>
        </w:tc>
        <w:tc>
          <w:tcPr>
            <w:tcW w:w="1152" w:type="dxa"/>
            <w:tcBorders>
              <w:top w:val="single" w:sz="4" w:space="0" w:color="auto"/>
              <w:left w:val="single" w:sz="4" w:space="0" w:color="auto"/>
              <w:bottom w:val="single" w:sz="4" w:space="0" w:color="auto"/>
              <w:right w:val="single" w:sz="4" w:space="0" w:color="auto"/>
            </w:tcBorders>
          </w:tcPr>
          <w:p w14:paraId="37E1371B"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 xml:space="preserve">od </w:t>
            </w:r>
          </w:p>
        </w:tc>
        <w:tc>
          <w:tcPr>
            <w:tcW w:w="1152" w:type="dxa"/>
            <w:tcBorders>
              <w:top w:val="single" w:sz="4" w:space="0" w:color="auto"/>
              <w:left w:val="single" w:sz="4" w:space="0" w:color="auto"/>
              <w:bottom w:val="single" w:sz="4" w:space="0" w:color="auto"/>
              <w:right w:val="single" w:sz="4" w:space="0" w:color="auto"/>
            </w:tcBorders>
          </w:tcPr>
          <w:p w14:paraId="560BD8DB"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do</w:t>
            </w:r>
          </w:p>
        </w:tc>
      </w:tr>
      <w:tr w:rsidR="001752FA" w14:paraId="2C9DA86A" w14:textId="77777777">
        <w:trPr>
          <w:jc w:val="center"/>
        </w:trPr>
        <w:tc>
          <w:tcPr>
            <w:tcW w:w="3827" w:type="dxa"/>
            <w:tcBorders>
              <w:top w:val="single" w:sz="4" w:space="0" w:color="auto"/>
              <w:left w:val="single" w:sz="4" w:space="0" w:color="auto"/>
              <w:bottom w:val="single" w:sz="4" w:space="0" w:color="auto"/>
              <w:right w:val="single" w:sz="4" w:space="0" w:color="auto"/>
            </w:tcBorders>
          </w:tcPr>
          <w:p w14:paraId="37417895"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31,5</w:t>
            </w:r>
          </w:p>
        </w:tc>
        <w:tc>
          <w:tcPr>
            <w:tcW w:w="1152" w:type="dxa"/>
            <w:tcBorders>
              <w:top w:val="single" w:sz="4" w:space="0" w:color="auto"/>
              <w:left w:val="single" w:sz="4" w:space="0" w:color="auto"/>
              <w:bottom w:val="single" w:sz="4" w:space="0" w:color="auto"/>
              <w:right w:val="single" w:sz="4" w:space="0" w:color="auto"/>
            </w:tcBorders>
          </w:tcPr>
          <w:p w14:paraId="65BBB9C1"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w:t>
            </w:r>
          </w:p>
        </w:tc>
        <w:tc>
          <w:tcPr>
            <w:tcW w:w="1152" w:type="dxa"/>
            <w:tcBorders>
              <w:top w:val="single" w:sz="4" w:space="0" w:color="auto"/>
              <w:left w:val="single" w:sz="4" w:space="0" w:color="auto"/>
              <w:bottom w:val="single" w:sz="4" w:space="0" w:color="auto"/>
              <w:right w:val="single" w:sz="4" w:space="0" w:color="auto"/>
            </w:tcBorders>
          </w:tcPr>
          <w:p w14:paraId="6DD201D8"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w:t>
            </w:r>
          </w:p>
        </w:tc>
      </w:tr>
      <w:tr w:rsidR="001752FA" w14:paraId="4E3D24C5" w14:textId="77777777">
        <w:trPr>
          <w:jc w:val="center"/>
        </w:trPr>
        <w:tc>
          <w:tcPr>
            <w:tcW w:w="3827" w:type="dxa"/>
            <w:tcBorders>
              <w:top w:val="single" w:sz="4" w:space="0" w:color="auto"/>
              <w:left w:val="single" w:sz="4" w:space="0" w:color="auto"/>
              <w:bottom w:val="single" w:sz="4" w:space="0" w:color="auto"/>
              <w:right w:val="single" w:sz="4" w:space="0" w:color="auto"/>
            </w:tcBorders>
          </w:tcPr>
          <w:p w14:paraId="3752C88B"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22,4</w:t>
            </w:r>
          </w:p>
        </w:tc>
        <w:tc>
          <w:tcPr>
            <w:tcW w:w="1152" w:type="dxa"/>
            <w:tcBorders>
              <w:top w:val="single" w:sz="4" w:space="0" w:color="auto"/>
              <w:left w:val="single" w:sz="4" w:space="0" w:color="auto"/>
              <w:bottom w:val="single" w:sz="4" w:space="0" w:color="auto"/>
              <w:right w:val="single" w:sz="4" w:space="0" w:color="auto"/>
            </w:tcBorders>
          </w:tcPr>
          <w:p w14:paraId="7DE454C2"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100</w:t>
            </w:r>
          </w:p>
        </w:tc>
        <w:tc>
          <w:tcPr>
            <w:tcW w:w="1152" w:type="dxa"/>
            <w:tcBorders>
              <w:top w:val="single" w:sz="4" w:space="0" w:color="auto"/>
              <w:left w:val="single" w:sz="4" w:space="0" w:color="auto"/>
              <w:bottom w:val="single" w:sz="4" w:space="0" w:color="auto"/>
              <w:right w:val="single" w:sz="4" w:space="0" w:color="auto"/>
            </w:tcBorders>
          </w:tcPr>
          <w:p w14:paraId="3B9495A1"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w:t>
            </w:r>
          </w:p>
        </w:tc>
      </w:tr>
      <w:tr w:rsidR="001752FA" w14:paraId="4DE06AC5" w14:textId="77777777">
        <w:trPr>
          <w:jc w:val="center"/>
        </w:trPr>
        <w:tc>
          <w:tcPr>
            <w:tcW w:w="3827" w:type="dxa"/>
            <w:tcBorders>
              <w:top w:val="single" w:sz="4" w:space="0" w:color="auto"/>
              <w:left w:val="single" w:sz="4" w:space="0" w:color="auto"/>
              <w:bottom w:val="single" w:sz="4" w:space="0" w:color="auto"/>
              <w:right w:val="single" w:sz="4" w:space="0" w:color="auto"/>
            </w:tcBorders>
          </w:tcPr>
          <w:p w14:paraId="1AB866E5"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16</w:t>
            </w:r>
          </w:p>
        </w:tc>
        <w:tc>
          <w:tcPr>
            <w:tcW w:w="1152" w:type="dxa"/>
            <w:tcBorders>
              <w:top w:val="single" w:sz="4" w:space="0" w:color="auto"/>
              <w:left w:val="single" w:sz="4" w:space="0" w:color="auto"/>
              <w:bottom w:val="single" w:sz="4" w:space="0" w:color="auto"/>
              <w:right w:val="single" w:sz="4" w:space="0" w:color="auto"/>
            </w:tcBorders>
          </w:tcPr>
          <w:p w14:paraId="2F50240D"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90</w:t>
            </w:r>
          </w:p>
        </w:tc>
        <w:tc>
          <w:tcPr>
            <w:tcW w:w="1152" w:type="dxa"/>
            <w:tcBorders>
              <w:top w:val="single" w:sz="4" w:space="0" w:color="auto"/>
              <w:left w:val="single" w:sz="4" w:space="0" w:color="auto"/>
              <w:bottom w:val="single" w:sz="4" w:space="0" w:color="auto"/>
              <w:right w:val="single" w:sz="4" w:space="0" w:color="auto"/>
            </w:tcBorders>
          </w:tcPr>
          <w:p w14:paraId="3083DDCA"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100</w:t>
            </w:r>
          </w:p>
        </w:tc>
      </w:tr>
      <w:tr w:rsidR="001752FA" w14:paraId="5B74EEC7" w14:textId="77777777">
        <w:trPr>
          <w:jc w:val="center"/>
        </w:trPr>
        <w:tc>
          <w:tcPr>
            <w:tcW w:w="3827" w:type="dxa"/>
            <w:tcBorders>
              <w:top w:val="single" w:sz="4" w:space="0" w:color="auto"/>
              <w:left w:val="single" w:sz="4" w:space="0" w:color="auto"/>
              <w:bottom w:val="single" w:sz="4" w:space="0" w:color="auto"/>
              <w:right w:val="single" w:sz="4" w:space="0" w:color="auto"/>
            </w:tcBorders>
          </w:tcPr>
          <w:p w14:paraId="356CDFFC"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11,2</w:t>
            </w:r>
          </w:p>
        </w:tc>
        <w:tc>
          <w:tcPr>
            <w:tcW w:w="1152" w:type="dxa"/>
            <w:tcBorders>
              <w:top w:val="single" w:sz="4" w:space="0" w:color="auto"/>
              <w:left w:val="single" w:sz="4" w:space="0" w:color="auto"/>
              <w:bottom w:val="single" w:sz="4" w:space="0" w:color="auto"/>
              <w:right w:val="single" w:sz="4" w:space="0" w:color="auto"/>
            </w:tcBorders>
          </w:tcPr>
          <w:p w14:paraId="2CD986E9"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65</w:t>
            </w:r>
          </w:p>
        </w:tc>
        <w:tc>
          <w:tcPr>
            <w:tcW w:w="1152" w:type="dxa"/>
            <w:tcBorders>
              <w:top w:val="single" w:sz="4" w:space="0" w:color="auto"/>
              <w:left w:val="single" w:sz="4" w:space="0" w:color="auto"/>
              <w:bottom w:val="single" w:sz="4" w:space="0" w:color="auto"/>
              <w:right w:val="single" w:sz="4" w:space="0" w:color="auto"/>
            </w:tcBorders>
          </w:tcPr>
          <w:p w14:paraId="3019739C"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80</w:t>
            </w:r>
          </w:p>
        </w:tc>
      </w:tr>
      <w:tr w:rsidR="001752FA" w14:paraId="1F43ED67" w14:textId="77777777">
        <w:trPr>
          <w:jc w:val="center"/>
        </w:trPr>
        <w:tc>
          <w:tcPr>
            <w:tcW w:w="3827" w:type="dxa"/>
            <w:tcBorders>
              <w:top w:val="single" w:sz="4" w:space="0" w:color="auto"/>
              <w:left w:val="single" w:sz="4" w:space="0" w:color="auto"/>
              <w:bottom w:val="single" w:sz="4" w:space="0" w:color="auto"/>
              <w:right w:val="single" w:sz="4" w:space="0" w:color="auto"/>
            </w:tcBorders>
          </w:tcPr>
          <w:p w14:paraId="2FF93098"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8</w:t>
            </w:r>
          </w:p>
        </w:tc>
        <w:tc>
          <w:tcPr>
            <w:tcW w:w="1152" w:type="dxa"/>
            <w:tcBorders>
              <w:top w:val="single" w:sz="4" w:space="0" w:color="auto"/>
              <w:left w:val="single" w:sz="4" w:space="0" w:color="auto"/>
              <w:bottom w:val="single" w:sz="4" w:space="0" w:color="auto"/>
              <w:right w:val="single" w:sz="4" w:space="0" w:color="auto"/>
            </w:tcBorders>
          </w:tcPr>
          <w:p w14:paraId="05CA0B11"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w:t>
            </w:r>
          </w:p>
        </w:tc>
        <w:tc>
          <w:tcPr>
            <w:tcW w:w="1152" w:type="dxa"/>
            <w:tcBorders>
              <w:top w:val="single" w:sz="4" w:space="0" w:color="auto"/>
              <w:left w:val="single" w:sz="4" w:space="0" w:color="auto"/>
              <w:bottom w:val="single" w:sz="4" w:space="0" w:color="auto"/>
              <w:right w:val="single" w:sz="4" w:space="0" w:color="auto"/>
            </w:tcBorders>
          </w:tcPr>
          <w:p w14:paraId="33174878"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w:t>
            </w:r>
          </w:p>
        </w:tc>
      </w:tr>
      <w:tr w:rsidR="001752FA" w14:paraId="44B9D65B" w14:textId="77777777">
        <w:trPr>
          <w:jc w:val="center"/>
        </w:trPr>
        <w:tc>
          <w:tcPr>
            <w:tcW w:w="3827" w:type="dxa"/>
            <w:tcBorders>
              <w:top w:val="single" w:sz="4" w:space="0" w:color="auto"/>
              <w:left w:val="single" w:sz="4" w:space="0" w:color="auto"/>
              <w:bottom w:val="single" w:sz="4" w:space="0" w:color="auto"/>
              <w:right w:val="single" w:sz="4" w:space="0" w:color="auto"/>
            </w:tcBorders>
          </w:tcPr>
          <w:p w14:paraId="0BF738AD"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2</w:t>
            </w:r>
          </w:p>
        </w:tc>
        <w:tc>
          <w:tcPr>
            <w:tcW w:w="1152" w:type="dxa"/>
            <w:tcBorders>
              <w:top w:val="single" w:sz="4" w:space="0" w:color="auto"/>
              <w:left w:val="single" w:sz="4" w:space="0" w:color="auto"/>
              <w:bottom w:val="single" w:sz="4" w:space="0" w:color="auto"/>
              <w:right w:val="single" w:sz="4" w:space="0" w:color="auto"/>
            </w:tcBorders>
          </w:tcPr>
          <w:p w14:paraId="2645F76D"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25</w:t>
            </w:r>
          </w:p>
        </w:tc>
        <w:tc>
          <w:tcPr>
            <w:tcW w:w="1152" w:type="dxa"/>
            <w:tcBorders>
              <w:top w:val="single" w:sz="4" w:space="0" w:color="auto"/>
              <w:left w:val="single" w:sz="4" w:space="0" w:color="auto"/>
              <w:bottom w:val="single" w:sz="4" w:space="0" w:color="auto"/>
              <w:right w:val="single" w:sz="4" w:space="0" w:color="auto"/>
            </w:tcBorders>
          </w:tcPr>
          <w:p w14:paraId="6531DB60"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55</w:t>
            </w:r>
          </w:p>
        </w:tc>
      </w:tr>
      <w:tr w:rsidR="001752FA" w14:paraId="2491B680" w14:textId="77777777">
        <w:trPr>
          <w:jc w:val="center"/>
        </w:trPr>
        <w:tc>
          <w:tcPr>
            <w:tcW w:w="3827" w:type="dxa"/>
            <w:tcBorders>
              <w:top w:val="single" w:sz="4" w:space="0" w:color="auto"/>
              <w:left w:val="single" w:sz="4" w:space="0" w:color="auto"/>
              <w:bottom w:val="single" w:sz="4" w:space="0" w:color="auto"/>
              <w:right w:val="single" w:sz="4" w:space="0" w:color="auto"/>
            </w:tcBorders>
          </w:tcPr>
          <w:p w14:paraId="28612ACA"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0,125</w:t>
            </w:r>
          </w:p>
        </w:tc>
        <w:tc>
          <w:tcPr>
            <w:tcW w:w="1152" w:type="dxa"/>
            <w:tcBorders>
              <w:top w:val="single" w:sz="4" w:space="0" w:color="auto"/>
              <w:left w:val="single" w:sz="4" w:space="0" w:color="auto"/>
              <w:bottom w:val="single" w:sz="4" w:space="0" w:color="auto"/>
              <w:right w:val="single" w:sz="4" w:space="0" w:color="auto"/>
            </w:tcBorders>
          </w:tcPr>
          <w:p w14:paraId="32B35708"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5</w:t>
            </w:r>
          </w:p>
        </w:tc>
        <w:tc>
          <w:tcPr>
            <w:tcW w:w="1152" w:type="dxa"/>
            <w:tcBorders>
              <w:top w:val="single" w:sz="4" w:space="0" w:color="auto"/>
              <w:left w:val="single" w:sz="4" w:space="0" w:color="auto"/>
              <w:bottom w:val="single" w:sz="4" w:space="0" w:color="auto"/>
              <w:right w:val="single" w:sz="4" w:space="0" w:color="auto"/>
            </w:tcBorders>
          </w:tcPr>
          <w:p w14:paraId="251EAAF8"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15</w:t>
            </w:r>
          </w:p>
        </w:tc>
      </w:tr>
      <w:tr w:rsidR="001752FA" w14:paraId="69ECC1CE" w14:textId="77777777">
        <w:trPr>
          <w:jc w:val="center"/>
        </w:trPr>
        <w:tc>
          <w:tcPr>
            <w:tcW w:w="3827" w:type="dxa"/>
            <w:tcBorders>
              <w:top w:val="single" w:sz="4" w:space="0" w:color="auto"/>
              <w:left w:val="single" w:sz="4" w:space="0" w:color="auto"/>
              <w:bottom w:val="single" w:sz="4" w:space="0" w:color="auto"/>
              <w:right w:val="single" w:sz="4" w:space="0" w:color="auto"/>
            </w:tcBorders>
          </w:tcPr>
          <w:p w14:paraId="05130E24"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0,063</w:t>
            </w:r>
          </w:p>
        </w:tc>
        <w:tc>
          <w:tcPr>
            <w:tcW w:w="1152" w:type="dxa"/>
            <w:tcBorders>
              <w:top w:val="single" w:sz="4" w:space="0" w:color="auto"/>
              <w:left w:val="single" w:sz="4" w:space="0" w:color="auto"/>
              <w:bottom w:val="single" w:sz="4" w:space="0" w:color="auto"/>
              <w:right w:val="single" w:sz="4" w:space="0" w:color="auto"/>
            </w:tcBorders>
          </w:tcPr>
          <w:p w14:paraId="4712330D"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3,0</w:t>
            </w:r>
          </w:p>
        </w:tc>
        <w:tc>
          <w:tcPr>
            <w:tcW w:w="1152" w:type="dxa"/>
            <w:tcBorders>
              <w:top w:val="single" w:sz="4" w:space="0" w:color="auto"/>
              <w:left w:val="single" w:sz="4" w:space="0" w:color="auto"/>
              <w:bottom w:val="single" w:sz="4" w:space="0" w:color="auto"/>
              <w:right w:val="single" w:sz="4" w:space="0" w:color="auto"/>
            </w:tcBorders>
          </w:tcPr>
          <w:p w14:paraId="203D4780"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8,0</w:t>
            </w:r>
          </w:p>
        </w:tc>
      </w:tr>
      <w:tr w:rsidR="001752FA" w14:paraId="2DDD04DA" w14:textId="77777777">
        <w:trPr>
          <w:jc w:val="center"/>
        </w:trPr>
        <w:tc>
          <w:tcPr>
            <w:tcW w:w="3827" w:type="dxa"/>
            <w:tcBorders>
              <w:top w:val="single" w:sz="4" w:space="0" w:color="auto"/>
              <w:left w:val="single" w:sz="4" w:space="0" w:color="auto"/>
              <w:bottom w:val="single" w:sz="4" w:space="0" w:color="auto"/>
              <w:right w:val="single" w:sz="4" w:space="0" w:color="auto"/>
            </w:tcBorders>
          </w:tcPr>
          <w:p w14:paraId="3AD3E08A"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 xml:space="preserve">Zawartość lepiszcza, wzór (2) </w:t>
            </w:r>
          </w:p>
        </w:tc>
        <w:tc>
          <w:tcPr>
            <w:tcW w:w="2304" w:type="dxa"/>
            <w:gridSpan w:val="2"/>
            <w:tcBorders>
              <w:top w:val="single" w:sz="4" w:space="0" w:color="auto"/>
              <w:left w:val="single" w:sz="4" w:space="0" w:color="auto"/>
              <w:bottom w:val="single" w:sz="4" w:space="0" w:color="auto"/>
              <w:right w:val="single" w:sz="4" w:space="0" w:color="auto"/>
            </w:tcBorders>
          </w:tcPr>
          <w:p w14:paraId="6D59ECC4" w14:textId="77777777" w:rsidR="001752FA" w:rsidRDefault="005D3332">
            <w:pPr>
              <w:tabs>
                <w:tab w:val="left" w:pos="0"/>
                <w:tab w:val="right" w:pos="8809"/>
              </w:tabs>
              <w:jc w:val="center"/>
              <w:rPr>
                <w:rFonts w:ascii="Arial" w:hAnsi="Arial" w:cs="Arial"/>
                <w:sz w:val="18"/>
                <w:szCs w:val="18"/>
                <w:vertAlign w:val="subscript"/>
              </w:rPr>
            </w:pPr>
            <w:r>
              <w:rPr>
                <w:rFonts w:ascii="Arial" w:hAnsi="Arial" w:cs="Arial"/>
                <w:sz w:val="18"/>
                <w:szCs w:val="18"/>
              </w:rPr>
              <w:t xml:space="preserve">B </w:t>
            </w:r>
            <w:r>
              <w:rPr>
                <w:rFonts w:ascii="Arial" w:hAnsi="Arial" w:cs="Arial"/>
                <w:sz w:val="18"/>
                <w:szCs w:val="18"/>
                <w:vertAlign w:val="subscript"/>
              </w:rPr>
              <w:t>min 4,6</w:t>
            </w:r>
          </w:p>
        </w:tc>
      </w:tr>
    </w:tbl>
    <w:p w14:paraId="130FFD88" w14:textId="77777777" w:rsidR="001752FA" w:rsidRDefault="001752FA">
      <w:pPr>
        <w:tabs>
          <w:tab w:val="left" w:pos="0"/>
          <w:tab w:val="right" w:pos="8809"/>
        </w:tabs>
        <w:jc w:val="both"/>
        <w:rPr>
          <w:rFonts w:ascii="Arial" w:hAnsi="Arial" w:cs="Arial"/>
          <w:sz w:val="18"/>
          <w:szCs w:val="18"/>
        </w:rPr>
      </w:pPr>
    </w:p>
    <w:p w14:paraId="677E182E"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 xml:space="preserve">Minimalna zawartość lepiszcza (kategoria B </w:t>
      </w:r>
      <w:r>
        <w:rPr>
          <w:rFonts w:ascii="Arial" w:hAnsi="Arial" w:cs="Arial"/>
          <w:sz w:val="18"/>
          <w:szCs w:val="18"/>
          <w:vertAlign w:val="subscript"/>
        </w:rPr>
        <w:t xml:space="preserve">min </w:t>
      </w:r>
      <w:r>
        <w:rPr>
          <w:rFonts w:ascii="Arial" w:hAnsi="Arial" w:cs="Arial"/>
          <w:sz w:val="18"/>
          <w:szCs w:val="18"/>
        </w:rPr>
        <w:t>) w mieszance mineralno-asfaltowej, podana w Tablicy 3 jest określona przy założonej gęstości mieszanki mineralnej 2,650 Mg/m</w:t>
      </w:r>
      <w:r>
        <w:rPr>
          <w:rFonts w:ascii="Arial" w:hAnsi="Arial" w:cs="Arial"/>
          <w:sz w:val="18"/>
          <w:szCs w:val="18"/>
          <w:vertAlign w:val="superscript"/>
        </w:rPr>
        <w:t>3</w:t>
      </w:r>
      <w:r>
        <w:rPr>
          <w:rFonts w:ascii="Arial" w:hAnsi="Arial" w:cs="Arial"/>
          <w:sz w:val="18"/>
          <w:szCs w:val="18"/>
        </w:rPr>
        <w:t>. Jeżeli stosowana mieszanka ma inną gęstość (ρ</w:t>
      </w:r>
      <w:r>
        <w:rPr>
          <w:rFonts w:ascii="Arial" w:hAnsi="Arial" w:cs="Arial"/>
          <w:sz w:val="18"/>
          <w:szCs w:val="18"/>
          <w:vertAlign w:val="subscript"/>
        </w:rPr>
        <w:t>A</w:t>
      </w:r>
      <w:r>
        <w:rPr>
          <w:rFonts w:ascii="Arial" w:hAnsi="Arial" w:cs="Arial"/>
          <w:sz w:val="18"/>
          <w:szCs w:val="18"/>
        </w:rPr>
        <w:t>), to do wyznaczenia minimalnej zawartości lepiszcza podaną wartość należy pomnożyć przez współczynnik A wg równania:</w:t>
      </w:r>
    </w:p>
    <w:p w14:paraId="6B728B61"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 xml:space="preserve">                                                                                           </w:t>
      </w:r>
    </w:p>
    <w:p w14:paraId="2459ECF2" w14:textId="77777777" w:rsidR="001752FA" w:rsidRDefault="005D3332">
      <w:pPr>
        <w:tabs>
          <w:tab w:val="left" w:pos="0"/>
          <w:tab w:val="right" w:pos="8809"/>
        </w:tabs>
        <w:jc w:val="both"/>
        <w:rPr>
          <w:rFonts w:ascii="Arial" w:hAnsi="Arial" w:cs="Arial"/>
          <w:sz w:val="18"/>
          <w:szCs w:val="18"/>
          <w:vertAlign w:val="subscript"/>
        </w:rPr>
      </w:pPr>
      <w:r>
        <w:rPr>
          <w:rFonts w:ascii="Arial" w:hAnsi="Arial" w:cs="Arial"/>
          <w:sz w:val="18"/>
          <w:szCs w:val="18"/>
        </w:rPr>
        <w:t xml:space="preserve">                                     Α = 2,650 : ρ</w:t>
      </w:r>
      <w:r>
        <w:rPr>
          <w:rFonts w:ascii="Arial" w:hAnsi="Arial" w:cs="Arial"/>
          <w:sz w:val="18"/>
          <w:szCs w:val="18"/>
          <w:vertAlign w:val="subscript"/>
        </w:rPr>
        <w:t>A</w:t>
      </w:r>
    </w:p>
    <w:p w14:paraId="28E3B830" w14:textId="77777777" w:rsidR="001752FA" w:rsidRDefault="001752FA">
      <w:pPr>
        <w:tabs>
          <w:tab w:val="left" w:pos="0"/>
          <w:tab w:val="right" w:pos="8809"/>
        </w:tabs>
        <w:jc w:val="both"/>
        <w:rPr>
          <w:rFonts w:ascii="Arial" w:hAnsi="Arial" w:cs="Arial"/>
          <w:sz w:val="18"/>
          <w:szCs w:val="18"/>
        </w:rPr>
      </w:pPr>
    </w:p>
    <w:p w14:paraId="431DCCB9"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Skład mieszanki mineralno-asfaltowej powinien być ustalony na podstawie badań próbek wykonanych wg metody Marshalla oraz pozostałych wymagań podanych w Tablicy 4. </w:t>
      </w:r>
    </w:p>
    <w:p w14:paraId="6943B364" w14:textId="77777777" w:rsidR="001752FA" w:rsidRDefault="001752FA">
      <w:pPr>
        <w:tabs>
          <w:tab w:val="left" w:pos="1008"/>
          <w:tab w:val="left" w:pos="7459"/>
        </w:tabs>
        <w:rPr>
          <w:rFonts w:ascii="Arial" w:hAnsi="Arial" w:cs="Arial"/>
          <w:snapToGrid w:val="0"/>
          <w:color w:val="000000"/>
          <w:sz w:val="18"/>
          <w:szCs w:val="18"/>
        </w:rPr>
      </w:pPr>
    </w:p>
    <w:p w14:paraId="6545E987"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Tablica 4. Wymagane właściwości mieszanki AC 16 W dla ruchu </w:t>
      </w:r>
      <w:r>
        <w:rPr>
          <w:rFonts w:ascii="Arial" w:hAnsi="Arial" w:cs="Arial"/>
          <w:sz w:val="18"/>
          <w:szCs w:val="18"/>
        </w:rPr>
        <w:t xml:space="preserve">KR 2 </w:t>
      </w:r>
      <w:r>
        <w:rPr>
          <w:rFonts w:ascii="Arial" w:hAnsi="Arial" w:cs="Arial"/>
          <w:snapToGrid w:val="0"/>
          <w:color w:val="000000"/>
          <w:sz w:val="18"/>
          <w:szCs w:val="18"/>
        </w:rPr>
        <w:t>oraz warstwy wiążącej.</w:t>
      </w:r>
    </w:p>
    <w:p w14:paraId="461CD6F4" w14:textId="77777777" w:rsidR="001752FA" w:rsidRDefault="001752FA">
      <w:pPr>
        <w:tabs>
          <w:tab w:val="left" w:pos="1008"/>
          <w:tab w:val="left" w:pos="7459"/>
        </w:tabs>
        <w:rPr>
          <w:rFonts w:ascii="Arial" w:hAnsi="Arial" w:cs="Arial"/>
          <w:snapToGrid w:val="0"/>
          <w:color w:val="000000"/>
          <w:sz w:val="18"/>
          <w:szCs w:val="18"/>
        </w:rPr>
      </w:pPr>
    </w:p>
    <w:tbl>
      <w:tblPr>
        <w:tblW w:w="9498" w:type="dxa"/>
        <w:tblInd w:w="70" w:type="dxa"/>
        <w:tblLayout w:type="fixed"/>
        <w:tblCellMar>
          <w:left w:w="70" w:type="dxa"/>
          <w:right w:w="70" w:type="dxa"/>
        </w:tblCellMar>
        <w:tblLook w:val="0000" w:firstRow="0" w:lastRow="0" w:firstColumn="0" w:lastColumn="0" w:noHBand="0" w:noVBand="0"/>
      </w:tblPr>
      <w:tblGrid>
        <w:gridCol w:w="426"/>
        <w:gridCol w:w="2976"/>
        <w:gridCol w:w="1843"/>
        <w:gridCol w:w="1701"/>
        <w:gridCol w:w="2552"/>
      </w:tblGrid>
      <w:tr w:rsidR="001752FA" w14:paraId="309CF552" w14:textId="77777777">
        <w:trPr>
          <w:cantSplit/>
          <w:trHeight w:val="230"/>
        </w:trPr>
        <w:tc>
          <w:tcPr>
            <w:tcW w:w="426" w:type="dxa"/>
            <w:tcBorders>
              <w:top w:val="single" w:sz="6" w:space="0" w:color="auto"/>
              <w:left w:val="single" w:sz="6" w:space="0" w:color="auto"/>
              <w:right w:val="single" w:sz="6" w:space="0" w:color="auto"/>
            </w:tcBorders>
          </w:tcPr>
          <w:p w14:paraId="5B6F3298" w14:textId="77777777" w:rsidR="001752FA" w:rsidRDefault="005D3332">
            <w:pPr>
              <w:tabs>
                <w:tab w:val="left" w:pos="1008"/>
                <w:tab w:val="left" w:pos="7459"/>
              </w:tabs>
              <w:rPr>
                <w:rFonts w:ascii="Arial" w:hAnsi="Arial" w:cs="Arial"/>
                <w:snapToGrid w:val="0"/>
                <w:sz w:val="18"/>
                <w:szCs w:val="18"/>
              </w:rPr>
            </w:pPr>
            <w:r>
              <w:rPr>
                <w:rFonts w:ascii="Arial" w:hAnsi="Arial" w:cs="Arial"/>
                <w:snapToGrid w:val="0"/>
                <w:sz w:val="18"/>
                <w:szCs w:val="18"/>
              </w:rPr>
              <w:t>Lp.</w:t>
            </w:r>
          </w:p>
        </w:tc>
        <w:tc>
          <w:tcPr>
            <w:tcW w:w="2976" w:type="dxa"/>
            <w:tcBorders>
              <w:top w:val="single" w:sz="6" w:space="0" w:color="auto"/>
              <w:right w:val="single" w:sz="4" w:space="0" w:color="auto"/>
            </w:tcBorders>
          </w:tcPr>
          <w:p w14:paraId="53F4D6E5"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Właściwości</w:t>
            </w:r>
          </w:p>
        </w:tc>
        <w:tc>
          <w:tcPr>
            <w:tcW w:w="1843" w:type="dxa"/>
            <w:tcBorders>
              <w:top w:val="single" w:sz="4" w:space="0" w:color="auto"/>
              <w:right w:val="single" w:sz="4" w:space="0" w:color="auto"/>
            </w:tcBorders>
          </w:tcPr>
          <w:p w14:paraId="72E4FBAF"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Warunki zagęszczenia wg PN-EN 13108-20</w:t>
            </w:r>
          </w:p>
        </w:tc>
        <w:tc>
          <w:tcPr>
            <w:tcW w:w="1701" w:type="dxa"/>
            <w:tcBorders>
              <w:top w:val="single" w:sz="4" w:space="0" w:color="auto"/>
              <w:left w:val="single" w:sz="4" w:space="0" w:color="auto"/>
              <w:bottom w:val="single" w:sz="4" w:space="0" w:color="auto"/>
              <w:right w:val="single" w:sz="4" w:space="0" w:color="auto"/>
            </w:tcBorders>
          </w:tcPr>
          <w:p w14:paraId="55986960"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Wymagania</w:t>
            </w:r>
          </w:p>
          <w:p w14:paraId="530F6B01"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dla AC 16 W </w:t>
            </w:r>
          </w:p>
          <w:p w14:paraId="1188EB1E"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z w:val="18"/>
                <w:szCs w:val="18"/>
              </w:rPr>
              <w:t>KR 2</w:t>
            </w:r>
          </w:p>
        </w:tc>
        <w:tc>
          <w:tcPr>
            <w:tcW w:w="2552" w:type="dxa"/>
            <w:tcBorders>
              <w:top w:val="single" w:sz="6" w:space="0" w:color="auto"/>
              <w:left w:val="single" w:sz="4" w:space="0" w:color="auto"/>
              <w:right w:val="single" w:sz="4" w:space="0" w:color="auto"/>
            </w:tcBorders>
          </w:tcPr>
          <w:p w14:paraId="4CB0AB00" w14:textId="77777777" w:rsidR="001752FA" w:rsidRDefault="005D3332">
            <w:pPr>
              <w:tabs>
                <w:tab w:val="left" w:pos="1008"/>
                <w:tab w:val="left" w:pos="7459"/>
              </w:tabs>
              <w:rPr>
                <w:rFonts w:ascii="Arial" w:hAnsi="Arial" w:cs="Arial"/>
                <w:snapToGrid w:val="0"/>
                <w:sz w:val="18"/>
                <w:szCs w:val="18"/>
              </w:rPr>
            </w:pPr>
            <w:r>
              <w:rPr>
                <w:rFonts w:ascii="Arial" w:hAnsi="Arial" w:cs="Arial"/>
                <w:snapToGrid w:val="0"/>
                <w:sz w:val="18"/>
                <w:szCs w:val="18"/>
              </w:rPr>
              <w:t>Metoda i warunki badania</w:t>
            </w:r>
          </w:p>
        </w:tc>
      </w:tr>
      <w:tr w:rsidR="001752FA" w14:paraId="6F982441" w14:textId="77777777">
        <w:trPr>
          <w:cantSplit/>
          <w:trHeight w:val="629"/>
        </w:trPr>
        <w:tc>
          <w:tcPr>
            <w:tcW w:w="426" w:type="dxa"/>
            <w:tcBorders>
              <w:top w:val="single" w:sz="6" w:space="0" w:color="auto"/>
              <w:left w:val="single" w:sz="6" w:space="0" w:color="auto"/>
              <w:bottom w:val="single" w:sz="6" w:space="0" w:color="auto"/>
            </w:tcBorders>
          </w:tcPr>
          <w:p w14:paraId="107C07DC" w14:textId="77777777" w:rsidR="001752FA" w:rsidRDefault="005D3332">
            <w:pPr>
              <w:tabs>
                <w:tab w:val="left" w:pos="1008"/>
                <w:tab w:val="left" w:pos="7459"/>
              </w:tabs>
              <w:rPr>
                <w:rFonts w:ascii="Arial" w:hAnsi="Arial" w:cs="Arial"/>
                <w:snapToGrid w:val="0"/>
                <w:sz w:val="18"/>
                <w:szCs w:val="18"/>
              </w:rPr>
            </w:pPr>
            <w:r>
              <w:rPr>
                <w:rFonts w:ascii="Arial" w:hAnsi="Arial" w:cs="Arial"/>
                <w:snapToGrid w:val="0"/>
                <w:sz w:val="18"/>
                <w:szCs w:val="18"/>
              </w:rPr>
              <w:t>1.</w:t>
            </w:r>
          </w:p>
        </w:tc>
        <w:tc>
          <w:tcPr>
            <w:tcW w:w="2976" w:type="dxa"/>
            <w:tcBorders>
              <w:top w:val="single" w:sz="6" w:space="0" w:color="auto"/>
              <w:left w:val="single" w:sz="6" w:space="0" w:color="auto"/>
              <w:bottom w:val="single" w:sz="6" w:space="0" w:color="auto"/>
              <w:right w:val="single" w:sz="6" w:space="0" w:color="auto"/>
            </w:tcBorders>
          </w:tcPr>
          <w:p w14:paraId="014637D3" w14:textId="77777777" w:rsidR="001752FA" w:rsidRDefault="005D3332">
            <w:pPr>
              <w:tabs>
                <w:tab w:val="left" w:pos="1008"/>
                <w:tab w:val="left" w:pos="7459"/>
              </w:tabs>
              <w:rPr>
                <w:rFonts w:ascii="Arial" w:hAnsi="Arial" w:cs="Arial"/>
                <w:snapToGrid w:val="0"/>
                <w:sz w:val="18"/>
                <w:szCs w:val="18"/>
              </w:rPr>
            </w:pPr>
            <w:r>
              <w:rPr>
                <w:rFonts w:ascii="Arial" w:hAnsi="Arial" w:cs="Arial"/>
                <w:snapToGrid w:val="0"/>
                <w:sz w:val="18"/>
                <w:szCs w:val="18"/>
              </w:rPr>
              <w:t xml:space="preserve">Zawartość wolnych przestrzeni         </w:t>
            </w:r>
          </w:p>
        </w:tc>
        <w:tc>
          <w:tcPr>
            <w:tcW w:w="1843" w:type="dxa"/>
            <w:tcBorders>
              <w:top w:val="single" w:sz="4" w:space="0" w:color="auto"/>
              <w:left w:val="single" w:sz="6" w:space="0" w:color="auto"/>
              <w:bottom w:val="single" w:sz="6" w:space="0" w:color="auto"/>
              <w:right w:val="single" w:sz="6" w:space="0" w:color="auto"/>
            </w:tcBorders>
          </w:tcPr>
          <w:p w14:paraId="7DD85644"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C.1.2; ubijanie 2x50 uderzeń            </w:t>
            </w:r>
          </w:p>
        </w:tc>
        <w:tc>
          <w:tcPr>
            <w:tcW w:w="1701" w:type="dxa"/>
            <w:tcBorders>
              <w:top w:val="single" w:sz="4" w:space="0" w:color="auto"/>
              <w:left w:val="single" w:sz="6" w:space="0" w:color="auto"/>
              <w:bottom w:val="single" w:sz="6" w:space="0" w:color="auto"/>
              <w:right w:val="single" w:sz="6" w:space="0" w:color="auto"/>
            </w:tcBorders>
          </w:tcPr>
          <w:p w14:paraId="6F726CE2"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 V </w:t>
            </w:r>
            <w:r>
              <w:rPr>
                <w:rFonts w:ascii="Arial" w:hAnsi="Arial" w:cs="Arial"/>
                <w:snapToGrid w:val="0"/>
                <w:sz w:val="18"/>
                <w:szCs w:val="18"/>
                <w:vertAlign w:val="subscript"/>
              </w:rPr>
              <w:t>min 3,0</w:t>
            </w:r>
            <w:r>
              <w:rPr>
                <w:rFonts w:ascii="Arial" w:hAnsi="Arial" w:cs="Arial"/>
                <w:snapToGrid w:val="0"/>
                <w:sz w:val="18"/>
                <w:szCs w:val="18"/>
              </w:rPr>
              <w:t xml:space="preserve"> </w:t>
            </w:r>
          </w:p>
          <w:p w14:paraId="13C7FAFD"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 V </w:t>
            </w:r>
            <w:r>
              <w:rPr>
                <w:rFonts w:ascii="Arial" w:hAnsi="Arial" w:cs="Arial"/>
                <w:snapToGrid w:val="0"/>
                <w:sz w:val="18"/>
                <w:szCs w:val="18"/>
                <w:vertAlign w:val="subscript"/>
              </w:rPr>
              <w:t>max 6,0</w:t>
            </w:r>
          </w:p>
        </w:tc>
        <w:tc>
          <w:tcPr>
            <w:tcW w:w="2552" w:type="dxa"/>
            <w:tcBorders>
              <w:top w:val="single" w:sz="6" w:space="0" w:color="auto"/>
              <w:left w:val="single" w:sz="6" w:space="0" w:color="auto"/>
              <w:bottom w:val="single" w:sz="6" w:space="0" w:color="auto"/>
              <w:right w:val="single" w:sz="6" w:space="0" w:color="auto"/>
            </w:tcBorders>
          </w:tcPr>
          <w:p w14:paraId="79F46A23"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PN-EN 12697-8, p. 4 </w:t>
            </w:r>
          </w:p>
          <w:p w14:paraId="3098C3B1" w14:textId="77777777" w:rsidR="001752FA" w:rsidRDefault="001752FA">
            <w:pPr>
              <w:tabs>
                <w:tab w:val="left" w:pos="1008"/>
                <w:tab w:val="left" w:pos="7459"/>
              </w:tabs>
              <w:jc w:val="center"/>
              <w:rPr>
                <w:rFonts w:ascii="Arial" w:hAnsi="Arial" w:cs="Arial"/>
                <w:snapToGrid w:val="0"/>
                <w:sz w:val="18"/>
                <w:szCs w:val="18"/>
              </w:rPr>
            </w:pPr>
          </w:p>
        </w:tc>
      </w:tr>
      <w:tr w:rsidR="001752FA" w14:paraId="1382731E" w14:textId="77777777">
        <w:trPr>
          <w:cantSplit/>
          <w:trHeight w:val="672"/>
        </w:trPr>
        <w:tc>
          <w:tcPr>
            <w:tcW w:w="426" w:type="dxa"/>
            <w:tcBorders>
              <w:top w:val="single" w:sz="6" w:space="0" w:color="auto"/>
              <w:left w:val="single" w:sz="6" w:space="0" w:color="auto"/>
              <w:bottom w:val="single" w:sz="6" w:space="0" w:color="auto"/>
              <w:right w:val="single" w:sz="6" w:space="0" w:color="auto"/>
            </w:tcBorders>
          </w:tcPr>
          <w:p w14:paraId="3AB3D257" w14:textId="77777777" w:rsidR="001752FA" w:rsidRDefault="005D3332">
            <w:pPr>
              <w:tabs>
                <w:tab w:val="left" w:pos="1008"/>
                <w:tab w:val="left" w:pos="7459"/>
              </w:tabs>
              <w:rPr>
                <w:rFonts w:ascii="Arial" w:hAnsi="Arial" w:cs="Arial"/>
                <w:snapToGrid w:val="0"/>
                <w:sz w:val="18"/>
                <w:szCs w:val="18"/>
              </w:rPr>
            </w:pPr>
            <w:r>
              <w:rPr>
                <w:rFonts w:ascii="Arial" w:hAnsi="Arial" w:cs="Arial"/>
                <w:snapToGrid w:val="0"/>
                <w:sz w:val="18"/>
                <w:szCs w:val="18"/>
              </w:rPr>
              <w:t>2.</w:t>
            </w:r>
          </w:p>
        </w:tc>
        <w:tc>
          <w:tcPr>
            <w:tcW w:w="2976" w:type="dxa"/>
            <w:tcBorders>
              <w:top w:val="single" w:sz="6" w:space="0" w:color="auto"/>
              <w:left w:val="single" w:sz="6" w:space="0" w:color="auto"/>
              <w:bottom w:val="single" w:sz="6" w:space="0" w:color="auto"/>
              <w:right w:val="single" w:sz="6" w:space="0" w:color="auto"/>
            </w:tcBorders>
          </w:tcPr>
          <w:p w14:paraId="1F992FD8" w14:textId="77777777" w:rsidR="001752FA" w:rsidRDefault="005D3332">
            <w:pPr>
              <w:tabs>
                <w:tab w:val="left" w:pos="1008"/>
                <w:tab w:val="left" w:pos="7459"/>
              </w:tabs>
              <w:rPr>
                <w:rFonts w:ascii="Arial" w:hAnsi="Arial" w:cs="Arial"/>
                <w:snapToGrid w:val="0"/>
                <w:sz w:val="18"/>
                <w:szCs w:val="18"/>
                <w:vertAlign w:val="subscript"/>
              </w:rPr>
            </w:pPr>
            <w:r>
              <w:rPr>
                <w:rFonts w:ascii="Arial" w:hAnsi="Arial" w:cs="Arial"/>
                <w:snapToGrid w:val="0"/>
                <w:sz w:val="18"/>
                <w:szCs w:val="18"/>
              </w:rPr>
              <w:t>Wolne przestrzenie wypełnione lepiszczem</w:t>
            </w:r>
          </w:p>
        </w:tc>
        <w:tc>
          <w:tcPr>
            <w:tcW w:w="1843" w:type="dxa"/>
            <w:tcBorders>
              <w:top w:val="single" w:sz="6" w:space="0" w:color="auto"/>
              <w:left w:val="single" w:sz="6" w:space="0" w:color="auto"/>
              <w:bottom w:val="single" w:sz="6" w:space="0" w:color="auto"/>
              <w:right w:val="single" w:sz="6" w:space="0" w:color="auto"/>
            </w:tcBorders>
          </w:tcPr>
          <w:p w14:paraId="52CD3BF2"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C.1.2; ubijanie 2x50 uderzeń            </w:t>
            </w:r>
          </w:p>
        </w:tc>
        <w:tc>
          <w:tcPr>
            <w:tcW w:w="1701" w:type="dxa"/>
            <w:tcBorders>
              <w:top w:val="single" w:sz="6" w:space="0" w:color="auto"/>
              <w:left w:val="single" w:sz="6" w:space="0" w:color="auto"/>
              <w:bottom w:val="single" w:sz="6" w:space="0" w:color="auto"/>
              <w:right w:val="single" w:sz="6" w:space="0" w:color="auto"/>
            </w:tcBorders>
          </w:tcPr>
          <w:p w14:paraId="2681A1E2"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VFB </w:t>
            </w:r>
            <w:r>
              <w:rPr>
                <w:rFonts w:ascii="Arial" w:hAnsi="Arial" w:cs="Arial"/>
                <w:snapToGrid w:val="0"/>
                <w:sz w:val="18"/>
                <w:szCs w:val="18"/>
                <w:vertAlign w:val="subscript"/>
              </w:rPr>
              <w:t>min 60</w:t>
            </w:r>
          </w:p>
          <w:p w14:paraId="562C3550"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VFB </w:t>
            </w:r>
            <w:r>
              <w:rPr>
                <w:rFonts w:ascii="Arial" w:hAnsi="Arial" w:cs="Arial"/>
                <w:snapToGrid w:val="0"/>
                <w:sz w:val="18"/>
                <w:szCs w:val="18"/>
                <w:vertAlign w:val="subscript"/>
              </w:rPr>
              <w:t>min 80</w:t>
            </w:r>
          </w:p>
          <w:p w14:paraId="79063293" w14:textId="77777777" w:rsidR="001752FA" w:rsidRDefault="001752FA">
            <w:pPr>
              <w:tabs>
                <w:tab w:val="left" w:pos="1008"/>
                <w:tab w:val="left" w:pos="7459"/>
              </w:tabs>
              <w:rPr>
                <w:rFonts w:ascii="Arial" w:hAnsi="Arial" w:cs="Arial"/>
                <w:snapToGrid w:val="0"/>
                <w:sz w:val="18"/>
                <w:szCs w:val="18"/>
                <w:vertAlign w:val="subscript"/>
              </w:rPr>
            </w:pPr>
          </w:p>
        </w:tc>
        <w:tc>
          <w:tcPr>
            <w:tcW w:w="2552" w:type="dxa"/>
            <w:tcBorders>
              <w:top w:val="single" w:sz="6" w:space="0" w:color="auto"/>
              <w:left w:val="single" w:sz="6" w:space="0" w:color="auto"/>
              <w:bottom w:val="single" w:sz="6" w:space="0" w:color="auto"/>
              <w:right w:val="single" w:sz="6" w:space="0" w:color="auto"/>
            </w:tcBorders>
          </w:tcPr>
          <w:p w14:paraId="7DCF1C8C"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PN-EN 12697-8, p. 5 </w:t>
            </w:r>
          </w:p>
          <w:p w14:paraId="0D871D79" w14:textId="77777777" w:rsidR="001752FA" w:rsidRDefault="001752FA">
            <w:pPr>
              <w:tabs>
                <w:tab w:val="left" w:pos="1008"/>
                <w:tab w:val="left" w:pos="7459"/>
              </w:tabs>
              <w:jc w:val="center"/>
              <w:rPr>
                <w:rFonts w:ascii="Arial" w:hAnsi="Arial" w:cs="Arial"/>
                <w:snapToGrid w:val="0"/>
                <w:sz w:val="18"/>
                <w:szCs w:val="18"/>
              </w:rPr>
            </w:pPr>
          </w:p>
        </w:tc>
      </w:tr>
      <w:tr w:rsidR="001752FA" w14:paraId="3C74906F" w14:textId="77777777">
        <w:trPr>
          <w:cantSplit/>
          <w:trHeight w:val="580"/>
        </w:trPr>
        <w:tc>
          <w:tcPr>
            <w:tcW w:w="426" w:type="dxa"/>
            <w:tcBorders>
              <w:top w:val="single" w:sz="6" w:space="0" w:color="auto"/>
              <w:left w:val="single" w:sz="6" w:space="0" w:color="auto"/>
              <w:bottom w:val="single" w:sz="6" w:space="0" w:color="auto"/>
              <w:right w:val="single" w:sz="6" w:space="0" w:color="auto"/>
            </w:tcBorders>
          </w:tcPr>
          <w:p w14:paraId="0E86F64E" w14:textId="77777777" w:rsidR="001752FA" w:rsidRDefault="005D3332">
            <w:pPr>
              <w:tabs>
                <w:tab w:val="left" w:pos="1008"/>
                <w:tab w:val="left" w:pos="7459"/>
              </w:tabs>
              <w:rPr>
                <w:rFonts w:ascii="Arial" w:hAnsi="Arial" w:cs="Arial"/>
                <w:snapToGrid w:val="0"/>
                <w:sz w:val="18"/>
                <w:szCs w:val="18"/>
              </w:rPr>
            </w:pPr>
            <w:r>
              <w:rPr>
                <w:rFonts w:ascii="Arial" w:hAnsi="Arial" w:cs="Arial"/>
                <w:snapToGrid w:val="0"/>
                <w:sz w:val="18"/>
                <w:szCs w:val="18"/>
              </w:rPr>
              <w:t>3.</w:t>
            </w:r>
          </w:p>
        </w:tc>
        <w:tc>
          <w:tcPr>
            <w:tcW w:w="2976" w:type="dxa"/>
            <w:tcBorders>
              <w:top w:val="single" w:sz="6" w:space="0" w:color="auto"/>
              <w:left w:val="single" w:sz="6" w:space="0" w:color="auto"/>
              <w:bottom w:val="single" w:sz="6" w:space="0" w:color="auto"/>
              <w:right w:val="single" w:sz="6" w:space="0" w:color="auto"/>
            </w:tcBorders>
          </w:tcPr>
          <w:p w14:paraId="6AA3CED9" w14:textId="77777777" w:rsidR="001752FA" w:rsidRDefault="005D3332">
            <w:pPr>
              <w:tabs>
                <w:tab w:val="left" w:pos="1008"/>
                <w:tab w:val="left" w:pos="7459"/>
              </w:tabs>
              <w:rPr>
                <w:rFonts w:ascii="Arial" w:hAnsi="Arial" w:cs="Arial"/>
                <w:snapToGrid w:val="0"/>
                <w:sz w:val="18"/>
                <w:szCs w:val="18"/>
              </w:rPr>
            </w:pPr>
            <w:r>
              <w:rPr>
                <w:rFonts w:ascii="Arial" w:hAnsi="Arial" w:cs="Arial"/>
                <w:snapToGrid w:val="0"/>
                <w:sz w:val="18"/>
                <w:szCs w:val="18"/>
              </w:rPr>
              <w:t>Zawartość wolnych przestrzeni w mieszance mineralnej</w:t>
            </w:r>
          </w:p>
        </w:tc>
        <w:tc>
          <w:tcPr>
            <w:tcW w:w="1843" w:type="dxa"/>
            <w:tcBorders>
              <w:top w:val="single" w:sz="6" w:space="0" w:color="auto"/>
              <w:left w:val="single" w:sz="6" w:space="0" w:color="auto"/>
              <w:bottom w:val="single" w:sz="6" w:space="0" w:color="auto"/>
              <w:right w:val="single" w:sz="6" w:space="0" w:color="auto"/>
            </w:tcBorders>
          </w:tcPr>
          <w:p w14:paraId="294343BC"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C.1.2; ubijanie 2x50 uderzeń            </w:t>
            </w:r>
          </w:p>
        </w:tc>
        <w:tc>
          <w:tcPr>
            <w:tcW w:w="1701" w:type="dxa"/>
            <w:tcBorders>
              <w:top w:val="single" w:sz="6" w:space="0" w:color="auto"/>
              <w:left w:val="single" w:sz="6" w:space="0" w:color="auto"/>
              <w:bottom w:val="single" w:sz="6" w:space="0" w:color="auto"/>
              <w:right w:val="single" w:sz="6" w:space="0" w:color="auto"/>
            </w:tcBorders>
          </w:tcPr>
          <w:p w14:paraId="148A422A"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VMA </w:t>
            </w:r>
            <w:r>
              <w:rPr>
                <w:rFonts w:ascii="Arial" w:hAnsi="Arial" w:cs="Arial"/>
                <w:snapToGrid w:val="0"/>
                <w:sz w:val="18"/>
                <w:szCs w:val="18"/>
                <w:vertAlign w:val="subscript"/>
              </w:rPr>
              <w:t>min 14</w:t>
            </w:r>
          </w:p>
          <w:p w14:paraId="171907F2" w14:textId="77777777" w:rsidR="001752FA" w:rsidRDefault="001752FA">
            <w:pPr>
              <w:tabs>
                <w:tab w:val="left" w:pos="1008"/>
                <w:tab w:val="left" w:pos="7459"/>
              </w:tabs>
              <w:jc w:val="center"/>
              <w:rPr>
                <w:rFonts w:ascii="Arial" w:hAnsi="Arial" w:cs="Arial"/>
                <w:snapToGrid w:val="0"/>
                <w:sz w:val="18"/>
                <w:szCs w:val="18"/>
              </w:rPr>
            </w:pPr>
          </w:p>
        </w:tc>
        <w:tc>
          <w:tcPr>
            <w:tcW w:w="2552" w:type="dxa"/>
            <w:tcBorders>
              <w:top w:val="single" w:sz="6" w:space="0" w:color="auto"/>
              <w:left w:val="single" w:sz="6" w:space="0" w:color="auto"/>
              <w:bottom w:val="single" w:sz="6" w:space="0" w:color="auto"/>
              <w:right w:val="single" w:sz="6" w:space="0" w:color="auto"/>
            </w:tcBorders>
          </w:tcPr>
          <w:p w14:paraId="36529BB7"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PN-EN 12697-8, p. 5 </w:t>
            </w:r>
          </w:p>
          <w:p w14:paraId="1A2C9C4A" w14:textId="77777777" w:rsidR="001752FA" w:rsidRDefault="001752FA">
            <w:pPr>
              <w:tabs>
                <w:tab w:val="left" w:pos="1008"/>
                <w:tab w:val="left" w:pos="7459"/>
              </w:tabs>
              <w:jc w:val="center"/>
              <w:rPr>
                <w:rFonts w:ascii="Arial" w:hAnsi="Arial" w:cs="Arial"/>
                <w:snapToGrid w:val="0"/>
                <w:sz w:val="18"/>
                <w:szCs w:val="18"/>
              </w:rPr>
            </w:pPr>
          </w:p>
        </w:tc>
      </w:tr>
      <w:tr w:rsidR="001752FA" w14:paraId="7BF809B5" w14:textId="77777777">
        <w:trPr>
          <w:cantSplit/>
          <w:trHeight w:val="349"/>
        </w:trPr>
        <w:tc>
          <w:tcPr>
            <w:tcW w:w="426" w:type="dxa"/>
            <w:tcBorders>
              <w:top w:val="single" w:sz="6" w:space="0" w:color="auto"/>
              <w:left w:val="single" w:sz="6" w:space="0" w:color="auto"/>
              <w:bottom w:val="single" w:sz="6" w:space="0" w:color="auto"/>
              <w:right w:val="single" w:sz="6" w:space="0" w:color="auto"/>
            </w:tcBorders>
          </w:tcPr>
          <w:p w14:paraId="5ED5CC16" w14:textId="77777777" w:rsidR="001752FA" w:rsidRDefault="005D3332">
            <w:pPr>
              <w:tabs>
                <w:tab w:val="left" w:pos="1008"/>
                <w:tab w:val="left" w:pos="7459"/>
              </w:tabs>
              <w:rPr>
                <w:rFonts w:ascii="Arial" w:hAnsi="Arial" w:cs="Arial"/>
                <w:snapToGrid w:val="0"/>
                <w:sz w:val="18"/>
                <w:szCs w:val="18"/>
              </w:rPr>
            </w:pPr>
            <w:r>
              <w:rPr>
                <w:rFonts w:ascii="Arial" w:hAnsi="Arial" w:cs="Arial"/>
                <w:snapToGrid w:val="0"/>
                <w:sz w:val="18"/>
                <w:szCs w:val="18"/>
              </w:rPr>
              <w:t>4.</w:t>
            </w:r>
          </w:p>
        </w:tc>
        <w:tc>
          <w:tcPr>
            <w:tcW w:w="2976" w:type="dxa"/>
            <w:tcBorders>
              <w:top w:val="single" w:sz="6" w:space="0" w:color="auto"/>
              <w:left w:val="single" w:sz="6" w:space="0" w:color="auto"/>
              <w:bottom w:val="single" w:sz="6" w:space="0" w:color="auto"/>
              <w:right w:val="single" w:sz="6" w:space="0" w:color="auto"/>
            </w:tcBorders>
          </w:tcPr>
          <w:p w14:paraId="4B03590F" w14:textId="77777777" w:rsidR="001752FA" w:rsidRDefault="005D3332">
            <w:pPr>
              <w:tabs>
                <w:tab w:val="left" w:pos="1008"/>
                <w:tab w:val="left" w:pos="7459"/>
              </w:tabs>
              <w:rPr>
                <w:rFonts w:ascii="Arial" w:hAnsi="Arial" w:cs="Arial"/>
                <w:snapToGrid w:val="0"/>
                <w:sz w:val="18"/>
                <w:szCs w:val="18"/>
              </w:rPr>
            </w:pPr>
            <w:r>
              <w:rPr>
                <w:rFonts w:ascii="Arial" w:hAnsi="Arial" w:cs="Arial"/>
                <w:snapToGrid w:val="0"/>
                <w:sz w:val="18"/>
                <w:szCs w:val="18"/>
              </w:rPr>
              <w:t>Odporność na działanie wody</w:t>
            </w:r>
          </w:p>
        </w:tc>
        <w:tc>
          <w:tcPr>
            <w:tcW w:w="1843" w:type="dxa"/>
            <w:tcBorders>
              <w:top w:val="single" w:sz="6" w:space="0" w:color="auto"/>
              <w:left w:val="single" w:sz="6" w:space="0" w:color="auto"/>
              <w:bottom w:val="single" w:sz="6" w:space="0" w:color="auto"/>
              <w:right w:val="single" w:sz="6" w:space="0" w:color="auto"/>
            </w:tcBorders>
          </w:tcPr>
          <w:p w14:paraId="5A7C71F5"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C.1.1; ubijanie 2x35 uderzeń            </w:t>
            </w:r>
          </w:p>
        </w:tc>
        <w:tc>
          <w:tcPr>
            <w:tcW w:w="1701" w:type="dxa"/>
            <w:tcBorders>
              <w:top w:val="single" w:sz="6" w:space="0" w:color="auto"/>
              <w:left w:val="single" w:sz="6" w:space="0" w:color="auto"/>
              <w:bottom w:val="single" w:sz="6" w:space="0" w:color="auto"/>
              <w:right w:val="single" w:sz="6" w:space="0" w:color="auto"/>
            </w:tcBorders>
          </w:tcPr>
          <w:p w14:paraId="732CB837"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ITSR </w:t>
            </w:r>
            <w:r>
              <w:rPr>
                <w:rFonts w:ascii="Arial" w:hAnsi="Arial" w:cs="Arial"/>
                <w:snapToGrid w:val="0"/>
                <w:sz w:val="18"/>
                <w:szCs w:val="18"/>
                <w:vertAlign w:val="subscript"/>
              </w:rPr>
              <w:t>80</w:t>
            </w:r>
          </w:p>
          <w:p w14:paraId="15A40B9F" w14:textId="77777777" w:rsidR="001752FA" w:rsidRDefault="001752FA">
            <w:pPr>
              <w:tabs>
                <w:tab w:val="left" w:pos="1008"/>
                <w:tab w:val="left" w:pos="7459"/>
              </w:tabs>
              <w:jc w:val="center"/>
              <w:rPr>
                <w:rFonts w:ascii="Arial" w:hAnsi="Arial" w:cs="Arial"/>
                <w:snapToGrid w:val="0"/>
                <w:sz w:val="18"/>
                <w:szCs w:val="18"/>
              </w:rPr>
            </w:pPr>
          </w:p>
        </w:tc>
        <w:tc>
          <w:tcPr>
            <w:tcW w:w="2552" w:type="dxa"/>
            <w:tcBorders>
              <w:top w:val="single" w:sz="6" w:space="0" w:color="auto"/>
              <w:left w:val="single" w:sz="6" w:space="0" w:color="auto"/>
              <w:bottom w:val="single" w:sz="6" w:space="0" w:color="auto"/>
              <w:right w:val="single" w:sz="6" w:space="0" w:color="auto"/>
            </w:tcBorders>
          </w:tcPr>
          <w:p w14:paraId="515E8D21"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PN-EN 12697-12, lecz przechowywanie w 40</w:t>
            </w:r>
            <w:r>
              <w:rPr>
                <w:rFonts w:ascii="Arial" w:hAnsi="Arial" w:cs="Arial"/>
                <w:snapToGrid w:val="0"/>
                <w:sz w:val="18"/>
                <w:szCs w:val="18"/>
                <w:vertAlign w:val="superscript"/>
              </w:rPr>
              <w:t>0</w:t>
            </w:r>
            <w:r>
              <w:rPr>
                <w:rFonts w:ascii="Arial" w:hAnsi="Arial" w:cs="Arial"/>
                <w:snapToGrid w:val="0"/>
                <w:sz w:val="18"/>
                <w:szCs w:val="18"/>
              </w:rPr>
              <w:t xml:space="preserve">C </w:t>
            </w:r>
            <w:r>
              <w:rPr>
                <w:rFonts w:ascii="Arial" w:hAnsi="Arial" w:cs="Arial"/>
                <w:snapToGrid w:val="0"/>
                <w:sz w:val="18"/>
                <w:szCs w:val="18"/>
              </w:rPr>
              <w:br/>
              <w:t xml:space="preserve">z jednym cyklem zamrażania, </w:t>
            </w:r>
          </w:p>
          <w:p w14:paraId="335917EF"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badanie w 15</w:t>
            </w:r>
            <w:r>
              <w:rPr>
                <w:rFonts w:ascii="Arial" w:hAnsi="Arial" w:cs="Arial"/>
                <w:snapToGrid w:val="0"/>
                <w:sz w:val="18"/>
                <w:szCs w:val="18"/>
                <w:vertAlign w:val="superscript"/>
              </w:rPr>
              <w:t>0</w:t>
            </w:r>
            <w:r>
              <w:rPr>
                <w:rFonts w:ascii="Arial" w:hAnsi="Arial" w:cs="Arial"/>
                <w:snapToGrid w:val="0"/>
                <w:sz w:val="18"/>
                <w:szCs w:val="18"/>
              </w:rPr>
              <w:t>C</w:t>
            </w:r>
          </w:p>
        </w:tc>
      </w:tr>
    </w:tbl>
    <w:p w14:paraId="75995571" w14:textId="77777777" w:rsidR="001752FA" w:rsidRDefault="001752FA">
      <w:pPr>
        <w:tabs>
          <w:tab w:val="left" w:pos="0"/>
          <w:tab w:val="right" w:pos="8809"/>
        </w:tabs>
        <w:jc w:val="both"/>
        <w:rPr>
          <w:rFonts w:ascii="Arial" w:hAnsi="Arial" w:cs="Arial"/>
          <w:sz w:val="18"/>
          <w:szCs w:val="18"/>
        </w:rPr>
      </w:pPr>
    </w:p>
    <w:p w14:paraId="166FD773" w14:textId="77777777" w:rsidR="001752FA" w:rsidRDefault="001752FA">
      <w:pPr>
        <w:tabs>
          <w:tab w:val="left" w:pos="0"/>
          <w:tab w:val="right" w:pos="8809"/>
        </w:tabs>
        <w:jc w:val="both"/>
        <w:rPr>
          <w:rFonts w:ascii="Arial" w:hAnsi="Arial" w:cs="Arial"/>
          <w:sz w:val="18"/>
          <w:szCs w:val="18"/>
        </w:rPr>
      </w:pPr>
    </w:p>
    <w:p w14:paraId="5BA912F2" w14:textId="77777777" w:rsidR="001752FA" w:rsidRDefault="001752FA">
      <w:pPr>
        <w:tabs>
          <w:tab w:val="left" w:pos="0"/>
          <w:tab w:val="right" w:pos="8809"/>
        </w:tabs>
        <w:jc w:val="both"/>
        <w:rPr>
          <w:rFonts w:ascii="Arial" w:hAnsi="Arial" w:cs="Arial"/>
          <w:sz w:val="18"/>
          <w:szCs w:val="18"/>
        </w:rPr>
      </w:pPr>
    </w:p>
    <w:p w14:paraId="0048A24A"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5.3. Wytwarzanie mieszanki mineralno-asfaltowej</w:t>
      </w:r>
    </w:p>
    <w:p w14:paraId="7D869239"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 xml:space="preserve">Mieszankę mineralno-asfaltową należy wytwarzać na gorąco w otaczarce (zespole maszyn i urządzeń dozowania, podgrzewania i mieszania składników oraz przechowywania gotowej mieszanki). </w:t>
      </w:r>
    </w:p>
    <w:p w14:paraId="2EA48E65"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lastRenderedPageBreak/>
        <w:t>Dozowanie składników mieszanki w otaczarkach, w tym także wstępne, powinno być zautomatyzowane    i zgodne z receptą roboczą, a urządzenia do dozowania składników oraz pomiaru temperatury powinny być okresowo sprawdzane.</w:t>
      </w:r>
    </w:p>
    <w:p w14:paraId="79F779F3"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 xml:space="preserve">Lepiszcze asfaltowe należy przechowywać w zbiorniku z pośrednim systemem ogrzewania, z układem termostatowania zapewniającym utrzymanie żądanej temperatury z dokładnością do </w:t>
      </w:r>
      <w:r>
        <w:rPr>
          <w:rFonts w:ascii="Arial" w:hAnsi="Arial" w:cs="Arial"/>
          <w:sz w:val="18"/>
          <w:szCs w:val="18"/>
        </w:rPr>
        <w:sym w:font="Symbol" w:char="00B1"/>
      </w:r>
      <w:r>
        <w:rPr>
          <w:rFonts w:ascii="Arial" w:hAnsi="Arial" w:cs="Arial"/>
          <w:sz w:val="18"/>
          <w:szCs w:val="18"/>
        </w:rPr>
        <w:t>5</w:t>
      </w:r>
      <w:r>
        <w:rPr>
          <w:rFonts w:ascii="Arial" w:hAnsi="Arial" w:cs="Arial"/>
          <w:sz w:val="18"/>
          <w:szCs w:val="18"/>
          <w:vertAlign w:val="superscript"/>
        </w:rPr>
        <w:t>0</w:t>
      </w:r>
      <w:r>
        <w:rPr>
          <w:rFonts w:ascii="Arial" w:hAnsi="Arial" w:cs="Arial"/>
          <w:sz w:val="18"/>
          <w:szCs w:val="18"/>
        </w:rPr>
        <w:t xml:space="preserve">C.                  </w:t>
      </w:r>
    </w:p>
    <w:p w14:paraId="260E6780" w14:textId="77777777" w:rsidR="001752FA" w:rsidRDefault="005D3332">
      <w:pPr>
        <w:tabs>
          <w:tab w:val="left" w:pos="0"/>
          <w:tab w:val="right" w:pos="8809"/>
        </w:tabs>
        <w:ind w:firstLine="567"/>
        <w:jc w:val="both"/>
        <w:rPr>
          <w:rFonts w:ascii="Arial" w:hAnsi="Arial" w:cs="Arial"/>
          <w:snapToGrid w:val="0"/>
          <w:color w:val="000000"/>
          <w:sz w:val="18"/>
          <w:szCs w:val="18"/>
        </w:rPr>
      </w:pPr>
      <w:r>
        <w:rPr>
          <w:rFonts w:ascii="Arial" w:hAnsi="Arial" w:cs="Arial"/>
          <w:sz w:val="18"/>
          <w:szCs w:val="18"/>
        </w:rPr>
        <w:t>Temperatura lepiszcza w zbiorniku magazynowym (roboczym) nie może przekraczać 180° dla asfaltu drogowego 50/70.</w:t>
      </w:r>
    </w:p>
    <w:p w14:paraId="11A555AC"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 xml:space="preserve">Kruszywo powinno być wysuszone i podgrzane tak, aby mieszanka mineralna uzyskała temperaturę właściwą do otoczenia lepiszczem asfaltowym. </w:t>
      </w:r>
    </w:p>
    <w:p w14:paraId="0ED4557E"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Najniższa i najwyższa temperatura mieszanki AC 16 W:</w:t>
      </w:r>
    </w:p>
    <w:p w14:paraId="02E08A7C" w14:textId="77777777" w:rsidR="001752FA" w:rsidRDefault="005D3332">
      <w:pPr>
        <w:tabs>
          <w:tab w:val="left" w:pos="1008"/>
          <w:tab w:val="left" w:pos="7459"/>
        </w:tabs>
        <w:ind w:firstLine="567"/>
        <w:rPr>
          <w:rFonts w:ascii="Arial" w:hAnsi="Arial" w:cs="Arial"/>
          <w:snapToGrid w:val="0"/>
          <w:color w:val="000000"/>
          <w:sz w:val="18"/>
          <w:szCs w:val="18"/>
        </w:rPr>
      </w:pPr>
      <w:r>
        <w:rPr>
          <w:rFonts w:ascii="Arial" w:hAnsi="Arial" w:cs="Arial"/>
          <w:snapToGrid w:val="0"/>
          <w:color w:val="000000"/>
          <w:sz w:val="18"/>
          <w:szCs w:val="18"/>
        </w:rPr>
        <w:t xml:space="preserve">- asfalt 50/70 -  od 140° do 180°. </w:t>
      </w:r>
    </w:p>
    <w:p w14:paraId="7B2D6400"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Temperatura mieszanki mineralnej betonu asfaltowego AC 16 W nie powinna być wyższa o więcej niż       30</w:t>
      </w:r>
      <w:r>
        <w:rPr>
          <w:rFonts w:ascii="Arial" w:hAnsi="Arial" w:cs="Arial"/>
          <w:sz w:val="18"/>
          <w:szCs w:val="18"/>
          <w:vertAlign w:val="superscript"/>
        </w:rPr>
        <w:t>0</w:t>
      </w:r>
      <w:r>
        <w:rPr>
          <w:rFonts w:ascii="Arial" w:hAnsi="Arial" w:cs="Arial"/>
          <w:sz w:val="18"/>
          <w:szCs w:val="18"/>
        </w:rPr>
        <w:t>C od najwyższej temperatury mieszanki mineralno-asfaltowej.</w:t>
      </w:r>
    </w:p>
    <w:p w14:paraId="1762539C"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Najniższa temperatura dotyczy mieszanki mineralno-asfaltowej dostarczonej na miejsce wbudowania,               a najwyższa dotyczy mieszanki mineralno-asfaltowej bezpośrednio po wytworzeniu w wytwórni.</w:t>
      </w:r>
    </w:p>
    <w:p w14:paraId="322E389A"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Sposób i czas mieszania składników mieszanki mineralno-asfaltowej powinny zapewnić równomierne otoczenie kruszywa lepiszczem asfaltowym.</w:t>
      </w:r>
    </w:p>
    <w:p w14:paraId="323E36E0"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Należy prowadzić Zakładową Kontrolę Produkcji (ZKP), zgodnie z PN-EN 13108-21 i oceniać zgodność produkowanej mieszanki mineralno-asfaltową wg wymagań podanych w WT-2 Nawierzchnie asfaltowe 2014.</w:t>
      </w:r>
    </w:p>
    <w:p w14:paraId="17CBFB6E"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Mieszanka mineralno-asfaltowa przegrzana (z oznakami niebieskiego dymu w czasie wytwarzania) oraz o temperaturze niższej od wymaganej powinna być traktowana jako odpad produkcyjny.</w:t>
      </w:r>
    </w:p>
    <w:p w14:paraId="07796C74"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Dla wyprodukowanej mieszanki mineralno-asfaltowej producent powinien wystawić deklarację zgodności. Deklaracja powinna zawierać:</w:t>
      </w:r>
    </w:p>
    <w:p w14:paraId="5842482D" w14:textId="77777777" w:rsidR="001752FA" w:rsidRDefault="005D3332">
      <w:pPr>
        <w:numPr>
          <w:ilvl w:val="0"/>
          <w:numId w:val="24"/>
        </w:numPr>
        <w:tabs>
          <w:tab w:val="left" w:pos="0"/>
          <w:tab w:val="right" w:pos="8809"/>
        </w:tabs>
        <w:ind w:left="284" w:hanging="284"/>
        <w:jc w:val="both"/>
        <w:rPr>
          <w:rFonts w:ascii="Arial" w:hAnsi="Arial" w:cs="Arial"/>
          <w:sz w:val="18"/>
          <w:szCs w:val="18"/>
        </w:rPr>
      </w:pPr>
      <w:r>
        <w:rPr>
          <w:rFonts w:ascii="Arial" w:hAnsi="Arial" w:cs="Arial"/>
          <w:sz w:val="18"/>
          <w:szCs w:val="18"/>
        </w:rPr>
        <w:t>nazwę i adres producenta oraz miejsce produkcji,</w:t>
      </w:r>
    </w:p>
    <w:p w14:paraId="01D7BC5F" w14:textId="77777777" w:rsidR="001752FA" w:rsidRDefault="005D3332">
      <w:pPr>
        <w:numPr>
          <w:ilvl w:val="0"/>
          <w:numId w:val="24"/>
        </w:numPr>
        <w:tabs>
          <w:tab w:val="left" w:pos="0"/>
          <w:tab w:val="right" w:pos="8809"/>
        </w:tabs>
        <w:ind w:left="284" w:hanging="284"/>
        <w:jc w:val="both"/>
        <w:rPr>
          <w:rFonts w:ascii="Arial" w:hAnsi="Arial" w:cs="Arial"/>
          <w:sz w:val="18"/>
          <w:szCs w:val="18"/>
        </w:rPr>
      </w:pPr>
      <w:r>
        <w:rPr>
          <w:rFonts w:ascii="Arial" w:hAnsi="Arial" w:cs="Arial"/>
          <w:sz w:val="18"/>
          <w:szCs w:val="18"/>
        </w:rPr>
        <w:t>opis wyrobu (typ, oznaczenie, zastosowanie, itp.)</w:t>
      </w:r>
    </w:p>
    <w:p w14:paraId="4C6229B4" w14:textId="77777777" w:rsidR="001752FA" w:rsidRDefault="005D3332">
      <w:pPr>
        <w:numPr>
          <w:ilvl w:val="0"/>
          <w:numId w:val="24"/>
        </w:numPr>
        <w:tabs>
          <w:tab w:val="left" w:pos="0"/>
          <w:tab w:val="right" w:pos="8809"/>
        </w:tabs>
        <w:ind w:left="284" w:hanging="284"/>
        <w:jc w:val="both"/>
        <w:rPr>
          <w:rFonts w:ascii="Arial" w:hAnsi="Arial" w:cs="Arial"/>
          <w:sz w:val="18"/>
          <w:szCs w:val="18"/>
        </w:rPr>
      </w:pPr>
      <w:r>
        <w:rPr>
          <w:rFonts w:ascii="Arial" w:hAnsi="Arial" w:cs="Arial"/>
          <w:sz w:val="18"/>
          <w:szCs w:val="18"/>
        </w:rPr>
        <w:t>warunki, którym odpowiada wyrób tj. odniesienie do niniejszych wymagań oraz obowiązujących norm,</w:t>
      </w:r>
    </w:p>
    <w:p w14:paraId="6CE6CA23" w14:textId="77777777" w:rsidR="001752FA" w:rsidRDefault="005D3332">
      <w:pPr>
        <w:numPr>
          <w:ilvl w:val="0"/>
          <w:numId w:val="24"/>
        </w:numPr>
        <w:tabs>
          <w:tab w:val="left" w:pos="0"/>
          <w:tab w:val="right" w:pos="8809"/>
        </w:tabs>
        <w:ind w:left="284" w:hanging="284"/>
        <w:jc w:val="both"/>
        <w:rPr>
          <w:rFonts w:ascii="Arial" w:hAnsi="Arial" w:cs="Arial"/>
          <w:sz w:val="18"/>
          <w:szCs w:val="18"/>
        </w:rPr>
      </w:pPr>
      <w:r>
        <w:rPr>
          <w:rFonts w:ascii="Arial" w:hAnsi="Arial" w:cs="Arial"/>
          <w:sz w:val="18"/>
          <w:szCs w:val="18"/>
        </w:rPr>
        <w:t>szczególne warunki stosowania,</w:t>
      </w:r>
    </w:p>
    <w:p w14:paraId="6CE59932" w14:textId="77777777" w:rsidR="001752FA" w:rsidRDefault="005D3332">
      <w:pPr>
        <w:numPr>
          <w:ilvl w:val="0"/>
          <w:numId w:val="24"/>
        </w:numPr>
        <w:tabs>
          <w:tab w:val="left" w:pos="0"/>
          <w:tab w:val="right" w:pos="8809"/>
        </w:tabs>
        <w:ind w:left="284" w:hanging="284"/>
        <w:jc w:val="both"/>
        <w:rPr>
          <w:rFonts w:ascii="Arial" w:hAnsi="Arial" w:cs="Arial"/>
          <w:sz w:val="18"/>
          <w:szCs w:val="18"/>
        </w:rPr>
      </w:pPr>
      <w:r>
        <w:rPr>
          <w:rFonts w:ascii="Arial" w:hAnsi="Arial" w:cs="Arial"/>
          <w:sz w:val="18"/>
          <w:szCs w:val="18"/>
        </w:rPr>
        <w:t>numer dołączonego certyfikatu Zakładowej Kontroli Produkcji</w:t>
      </w:r>
    </w:p>
    <w:p w14:paraId="3F33165D" w14:textId="77777777" w:rsidR="001752FA" w:rsidRDefault="005D3332">
      <w:pPr>
        <w:numPr>
          <w:ilvl w:val="0"/>
          <w:numId w:val="24"/>
        </w:numPr>
        <w:tabs>
          <w:tab w:val="left" w:pos="0"/>
          <w:tab w:val="right" w:pos="8809"/>
        </w:tabs>
        <w:ind w:left="284" w:hanging="284"/>
        <w:jc w:val="both"/>
        <w:rPr>
          <w:rFonts w:ascii="Arial" w:hAnsi="Arial" w:cs="Arial"/>
          <w:sz w:val="18"/>
          <w:szCs w:val="18"/>
        </w:rPr>
      </w:pPr>
      <w:r>
        <w:rPr>
          <w:rFonts w:ascii="Arial" w:hAnsi="Arial" w:cs="Arial"/>
          <w:sz w:val="18"/>
          <w:szCs w:val="18"/>
        </w:rPr>
        <w:t>nazwisko, stanowisko osoby upoważnionej do podpisania deklaracji w imieniu producenta.</w:t>
      </w:r>
    </w:p>
    <w:p w14:paraId="25EDC9B9"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Wykonawca ma obowiązek informować Nadzór o aktualnym PPZ (Produkcyjny Poziom Zgodności) osiąganym przez WMB w danym tygodniu.</w:t>
      </w:r>
    </w:p>
    <w:p w14:paraId="2E60932D" w14:textId="77777777" w:rsidR="001752FA" w:rsidRDefault="001752FA">
      <w:pPr>
        <w:tabs>
          <w:tab w:val="left" w:pos="0"/>
          <w:tab w:val="right" w:pos="8809"/>
        </w:tabs>
        <w:ind w:firstLine="567"/>
        <w:jc w:val="both"/>
        <w:rPr>
          <w:rFonts w:ascii="Arial" w:hAnsi="Arial" w:cs="Arial"/>
          <w:sz w:val="18"/>
          <w:szCs w:val="18"/>
        </w:rPr>
      </w:pPr>
    </w:p>
    <w:p w14:paraId="49FAFE70"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5.4. Przygotowanie podłoża</w:t>
      </w:r>
    </w:p>
    <w:p w14:paraId="3CFFE767"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Podłożem dla warstwy wiążącej jest stara, częściowo sfrezowana istniejąca nawierzchnia oraz nowo wykonana warstwa podbudowy zasadniczej.</w:t>
      </w:r>
    </w:p>
    <w:p w14:paraId="405D36A8"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Podłoże powinno być na całej powierzchni:</w:t>
      </w:r>
    </w:p>
    <w:p w14:paraId="53069582" w14:textId="77777777" w:rsidR="001752FA" w:rsidRDefault="005D3332">
      <w:pPr>
        <w:numPr>
          <w:ilvl w:val="0"/>
          <w:numId w:val="25"/>
        </w:numPr>
        <w:tabs>
          <w:tab w:val="left" w:pos="0"/>
          <w:tab w:val="right" w:pos="8809"/>
        </w:tabs>
        <w:ind w:left="284" w:hanging="284"/>
        <w:jc w:val="both"/>
        <w:rPr>
          <w:rFonts w:ascii="Arial" w:hAnsi="Arial" w:cs="Arial"/>
          <w:sz w:val="18"/>
          <w:szCs w:val="18"/>
        </w:rPr>
      </w:pPr>
      <w:r>
        <w:rPr>
          <w:rFonts w:ascii="Arial" w:hAnsi="Arial" w:cs="Arial"/>
          <w:sz w:val="18"/>
          <w:szCs w:val="18"/>
        </w:rPr>
        <w:t>ustabilizowane i nośne,</w:t>
      </w:r>
    </w:p>
    <w:p w14:paraId="3EA28B32" w14:textId="77777777" w:rsidR="001752FA" w:rsidRDefault="005D3332">
      <w:pPr>
        <w:numPr>
          <w:ilvl w:val="0"/>
          <w:numId w:val="25"/>
        </w:numPr>
        <w:tabs>
          <w:tab w:val="left" w:pos="0"/>
          <w:tab w:val="right" w:pos="8809"/>
        </w:tabs>
        <w:ind w:left="284" w:hanging="284"/>
        <w:jc w:val="both"/>
        <w:rPr>
          <w:rFonts w:ascii="Arial" w:hAnsi="Arial" w:cs="Arial"/>
          <w:sz w:val="18"/>
          <w:szCs w:val="18"/>
        </w:rPr>
      </w:pPr>
      <w:r>
        <w:rPr>
          <w:rFonts w:ascii="Arial" w:hAnsi="Arial" w:cs="Arial"/>
          <w:sz w:val="18"/>
          <w:szCs w:val="18"/>
        </w:rPr>
        <w:t>czyste, bez zanieczyszczeń lub pozostałości luźnego kruszywa.</w:t>
      </w:r>
    </w:p>
    <w:p w14:paraId="7CC2D760" w14:textId="77777777" w:rsidR="001752FA" w:rsidRDefault="005D3332">
      <w:pPr>
        <w:numPr>
          <w:ilvl w:val="0"/>
          <w:numId w:val="25"/>
        </w:numPr>
        <w:tabs>
          <w:tab w:val="left" w:pos="0"/>
          <w:tab w:val="right" w:pos="8809"/>
        </w:tabs>
        <w:ind w:left="284" w:hanging="284"/>
        <w:jc w:val="both"/>
        <w:rPr>
          <w:rFonts w:ascii="Arial" w:hAnsi="Arial" w:cs="Arial"/>
          <w:sz w:val="18"/>
          <w:szCs w:val="18"/>
        </w:rPr>
      </w:pPr>
      <w:r>
        <w:rPr>
          <w:rFonts w:ascii="Arial" w:hAnsi="Arial" w:cs="Arial"/>
          <w:sz w:val="18"/>
          <w:szCs w:val="18"/>
        </w:rPr>
        <w:t>wyprofilowane, równe i bez kolein</w:t>
      </w:r>
    </w:p>
    <w:p w14:paraId="59CD7263" w14:textId="77777777" w:rsidR="001752FA" w:rsidRDefault="005D3332">
      <w:pPr>
        <w:numPr>
          <w:ilvl w:val="0"/>
          <w:numId w:val="25"/>
        </w:numPr>
        <w:tabs>
          <w:tab w:val="left" w:pos="0"/>
          <w:tab w:val="right" w:pos="8809"/>
        </w:tabs>
        <w:ind w:left="284" w:hanging="284"/>
        <w:jc w:val="both"/>
        <w:rPr>
          <w:rFonts w:ascii="Arial" w:hAnsi="Arial" w:cs="Arial"/>
          <w:sz w:val="18"/>
          <w:szCs w:val="18"/>
        </w:rPr>
      </w:pPr>
      <w:r>
        <w:rPr>
          <w:rFonts w:ascii="Arial" w:hAnsi="Arial" w:cs="Arial"/>
          <w:sz w:val="18"/>
          <w:szCs w:val="18"/>
        </w:rPr>
        <w:t xml:space="preserve">suche. </w:t>
      </w:r>
    </w:p>
    <w:p w14:paraId="39AA2B30"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Przed ułożeniem warstw z AC 16 W, podłoże należy skropić zgodnie z STWiORB D-04.03.01.00. „Oczyszczenie i skropienie warstw konstrukcyjnych”. Powierzchnie czołowe włazów, wpustów itp. urządzeń powinny być pokryte materiałem uszczelniającym zaakceptowanym przez Inspektora Nadzoru.</w:t>
      </w:r>
    </w:p>
    <w:p w14:paraId="5047A781" w14:textId="77777777" w:rsidR="001752FA" w:rsidRDefault="001752FA">
      <w:pPr>
        <w:tabs>
          <w:tab w:val="left" w:pos="0"/>
          <w:tab w:val="right" w:pos="8809"/>
        </w:tabs>
        <w:jc w:val="both"/>
        <w:rPr>
          <w:rFonts w:ascii="Arial" w:hAnsi="Arial" w:cs="Arial"/>
          <w:sz w:val="18"/>
          <w:szCs w:val="18"/>
        </w:rPr>
      </w:pPr>
    </w:p>
    <w:p w14:paraId="67F1DC3F"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5.5. Połączenia międzywarstwowe</w:t>
      </w:r>
    </w:p>
    <w:p w14:paraId="449B5BAA"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 xml:space="preserve">Połączenia międzywarstwowe powinny być wykonane zgodnie z STWiORB D-04.03.01.00.  </w:t>
      </w:r>
    </w:p>
    <w:p w14:paraId="17186F7D"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 xml:space="preserve">W celu uzyskania połączenia między warstwami nawierzchni zaleca się podłoże pod wykonywaną warstwę skropić emulsją asfaltową zgodną z STWiORB D-04.03.01.00. </w:t>
      </w:r>
    </w:p>
    <w:p w14:paraId="1F79C303"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 xml:space="preserve">               </w:t>
      </w:r>
    </w:p>
    <w:p w14:paraId="1D3B1133"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 xml:space="preserve">5.6. Warunki przystąpienia do robót </w:t>
      </w:r>
    </w:p>
    <w:p w14:paraId="7E0F9376"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Nie wolno wbudowywać mieszanki AC 16 W gdy na podłożu tworzy się zamknięty film wodny.</w:t>
      </w:r>
    </w:p>
    <w:p w14:paraId="36991013"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Temperatura otoczenia w ciągu doby nie powinna być niższa niż podana w Tablicy 5:</w:t>
      </w:r>
    </w:p>
    <w:p w14:paraId="290A8CA2" w14:textId="77777777" w:rsidR="001752FA" w:rsidRDefault="001752FA">
      <w:pPr>
        <w:tabs>
          <w:tab w:val="left" w:pos="0"/>
          <w:tab w:val="right" w:pos="8809"/>
        </w:tabs>
        <w:jc w:val="both"/>
        <w:rPr>
          <w:rFonts w:ascii="Arial" w:hAnsi="Arial" w:cs="Arial"/>
          <w:sz w:val="18"/>
          <w:szCs w:val="18"/>
        </w:rPr>
      </w:pPr>
    </w:p>
    <w:p w14:paraId="14C1F3A1"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Tablica 5.</w:t>
      </w:r>
    </w:p>
    <w:p w14:paraId="6FAC139E" w14:textId="77777777" w:rsidR="001752FA" w:rsidRDefault="001752FA">
      <w:pPr>
        <w:tabs>
          <w:tab w:val="left" w:pos="0"/>
          <w:tab w:val="right" w:pos="8809"/>
        </w:tabs>
        <w:jc w:val="both"/>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96"/>
        <w:gridCol w:w="2655"/>
        <w:gridCol w:w="2310"/>
      </w:tblGrid>
      <w:tr w:rsidR="001752FA" w14:paraId="03F9068F" w14:textId="77777777">
        <w:tc>
          <w:tcPr>
            <w:tcW w:w="4097" w:type="dxa"/>
            <w:vMerge w:val="restart"/>
          </w:tcPr>
          <w:p w14:paraId="37799414"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Rodzaj robót</w:t>
            </w:r>
          </w:p>
        </w:tc>
        <w:tc>
          <w:tcPr>
            <w:tcW w:w="4966" w:type="dxa"/>
            <w:gridSpan w:val="2"/>
          </w:tcPr>
          <w:p w14:paraId="4E328A86"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Minimalna temperatura otoczenia [</w:t>
            </w:r>
            <w:r>
              <w:rPr>
                <w:rFonts w:ascii="Arial" w:hAnsi="Arial" w:cs="Arial"/>
                <w:sz w:val="18"/>
                <w:szCs w:val="18"/>
                <w:vertAlign w:val="superscript"/>
              </w:rPr>
              <w:t>0</w:t>
            </w:r>
            <w:r>
              <w:rPr>
                <w:rFonts w:ascii="Arial" w:hAnsi="Arial" w:cs="Arial"/>
                <w:sz w:val="18"/>
                <w:szCs w:val="18"/>
              </w:rPr>
              <w:t>C]</w:t>
            </w:r>
          </w:p>
        </w:tc>
      </w:tr>
      <w:tr w:rsidR="001752FA" w14:paraId="6DE06A47" w14:textId="77777777">
        <w:tc>
          <w:tcPr>
            <w:tcW w:w="4097" w:type="dxa"/>
            <w:vMerge/>
          </w:tcPr>
          <w:p w14:paraId="037D4131" w14:textId="77777777" w:rsidR="001752FA" w:rsidRDefault="001752FA">
            <w:pPr>
              <w:tabs>
                <w:tab w:val="left" w:pos="0"/>
                <w:tab w:val="right" w:pos="8809"/>
              </w:tabs>
              <w:jc w:val="both"/>
              <w:rPr>
                <w:rFonts w:ascii="Arial" w:hAnsi="Arial" w:cs="Arial"/>
                <w:sz w:val="18"/>
                <w:szCs w:val="18"/>
              </w:rPr>
            </w:pPr>
          </w:p>
        </w:tc>
        <w:tc>
          <w:tcPr>
            <w:tcW w:w="2655" w:type="dxa"/>
          </w:tcPr>
          <w:p w14:paraId="773AB2D7"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przed przystąpieniem do robót</w:t>
            </w:r>
          </w:p>
        </w:tc>
        <w:tc>
          <w:tcPr>
            <w:tcW w:w="2311" w:type="dxa"/>
          </w:tcPr>
          <w:p w14:paraId="21EBCB3B"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w czasie robót</w:t>
            </w:r>
          </w:p>
        </w:tc>
      </w:tr>
      <w:tr w:rsidR="001752FA" w14:paraId="27C5A842" w14:textId="77777777">
        <w:tc>
          <w:tcPr>
            <w:tcW w:w="4097" w:type="dxa"/>
          </w:tcPr>
          <w:p w14:paraId="555A0972"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 xml:space="preserve">warstwa wiążąca </w:t>
            </w:r>
          </w:p>
        </w:tc>
        <w:tc>
          <w:tcPr>
            <w:tcW w:w="2655" w:type="dxa"/>
          </w:tcPr>
          <w:p w14:paraId="7A294ABA" w14:textId="77777777" w:rsidR="001752FA" w:rsidRDefault="005D3332">
            <w:pPr>
              <w:jc w:val="center"/>
              <w:rPr>
                <w:rFonts w:ascii="Arial" w:hAnsi="Arial" w:cs="Arial"/>
                <w:sz w:val="18"/>
                <w:szCs w:val="18"/>
              </w:rPr>
            </w:pPr>
            <w:r>
              <w:rPr>
                <w:rFonts w:ascii="Arial" w:hAnsi="Arial" w:cs="Arial"/>
                <w:sz w:val="18"/>
                <w:szCs w:val="18"/>
              </w:rPr>
              <w:t>± 10</w:t>
            </w:r>
          </w:p>
        </w:tc>
        <w:tc>
          <w:tcPr>
            <w:tcW w:w="2311" w:type="dxa"/>
          </w:tcPr>
          <w:p w14:paraId="1D24CC7D" w14:textId="77777777" w:rsidR="001752FA" w:rsidRDefault="005D3332">
            <w:pPr>
              <w:jc w:val="center"/>
              <w:rPr>
                <w:rFonts w:ascii="Arial" w:hAnsi="Arial" w:cs="Arial"/>
                <w:sz w:val="18"/>
                <w:szCs w:val="18"/>
              </w:rPr>
            </w:pPr>
            <w:r>
              <w:rPr>
                <w:rFonts w:ascii="Arial" w:hAnsi="Arial" w:cs="Arial"/>
                <w:sz w:val="18"/>
                <w:szCs w:val="18"/>
              </w:rPr>
              <w:t>± 10</w:t>
            </w:r>
          </w:p>
        </w:tc>
      </w:tr>
    </w:tbl>
    <w:p w14:paraId="64D4C570" w14:textId="77777777" w:rsidR="001752FA" w:rsidRDefault="001752FA">
      <w:pPr>
        <w:tabs>
          <w:tab w:val="left" w:pos="0"/>
          <w:tab w:val="right" w:pos="8809"/>
        </w:tabs>
        <w:jc w:val="both"/>
        <w:rPr>
          <w:rFonts w:ascii="Arial" w:hAnsi="Arial" w:cs="Arial"/>
          <w:sz w:val="18"/>
          <w:szCs w:val="18"/>
        </w:rPr>
      </w:pPr>
    </w:p>
    <w:p w14:paraId="51A7553E"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Temperatura powietrza powinna być mierzona co najmniej 3 razy dziennie: przed przystąpieniem do robót oraz podczas ich wykonywania w okresach równomiernie rozłożonych w planowanym czasie realizacji dziennej działki roboczej.</w:t>
      </w:r>
    </w:p>
    <w:p w14:paraId="1B7E1985"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5.7. Próba technologiczna i odcinek próbny</w:t>
      </w:r>
    </w:p>
    <w:p w14:paraId="4FA5CFAB"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 xml:space="preserve">Ustalony skład wejściowy mieszanki mineralno-asfaltowej powinien być sprawdzony przed ostatecznym zastosowaniem w warunkach budowy, poprzez wykonanie próby technologicznej i odcinka próbnego. </w:t>
      </w:r>
    </w:p>
    <w:p w14:paraId="271CB07C"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lastRenderedPageBreak/>
        <w:t>Próba technologiczna ma na celu sprawdzenie zgodności właściwości wyprodukowanej mieszanki mineralno-asfaltowej z receptą.</w:t>
      </w:r>
    </w:p>
    <w:p w14:paraId="12AB44F7"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Odcinek próbny o długości co najmniej 50 mb powinien być wykonany przez Wykonawcę w warunkach zbliżonych do warunków budowy w celu sprawdzenia sprzętu i uzyskanych parametrów technicznych robót określonych w dokumentacji projektowej.</w:t>
      </w:r>
    </w:p>
    <w:p w14:paraId="4F8168E2"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Co najmniej na 3 dni przed rozpoczęciem robót Wykonawca powinien wykonać odcinek próbny w celu:</w:t>
      </w:r>
    </w:p>
    <w:p w14:paraId="32A185F0" w14:textId="77777777" w:rsidR="001752FA" w:rsidRDefault="005D3332">
      <w:pPr>
        <w:numPr>
          <w:ilvl w:val="0"/>
          <w:numId w:val="26"/>
        </w:numPr>
        <w:tabs>
          <w:tab w:val="clear" w:pos="720"/>
          <w:tab w:val="left" w:pos="0"/>
          <w:tab w:val="num" w:pos="284"/>
          <w:tab w:val="right" w:pos="8809"/>
        </w:tabs>
        <w:ind w:left="284" w:hanging="284"/>
        <w:jc w:val="both"/>
        <w:rPr>
          <w:rFonts w:ascii="Arial" w:hAnsi="Arial" w:cs="Arial"/>
          <w:sz w:val="18"/>
          <w:szCs w:val="18"/>
        </w:rPr>
      </w:pPr>
      <w:r>
        <w:rPr>
          <w:rFonts w:ascii="Arial" w:hAnsi="Arial" w:cs="Arial"/>
          <w:sz w:val="18"/>
          <w:szCs w:val="18"/>
        </w:rPr>
        <w:t>stwierdzenia czy użyty sprzęt jest właściwy,</w:t>
      </w:r>
    </w:p>
    <w:p w14:paraId="799C07E0" w14:textId="77777777" w:rsidR="001752FA" w:rsidRDefault="005D3332">
      <w:pPr>
        <w:numPr>
          <w:ilvl w:val="0"/>
          <w:numId w:val="26"/>
        </w:numPr>
        <w:tabs>
          <w:tab w:val="clear" w:pos="720"/>
          <w:tab w:val="left" w:pos="0"/>
          <w:tab w:val="num" w:pos="284"/>
          <w:tab w:val="right" w:pos="8809"/>
        </w:tabs>
        <w:ind w:left="284" w:hanging="284"/>
        <w:jc w:val="both"/>
        <w:rPr>
          <w:rFonts w:ascii="Arial" w:hAnsi="Arial" w:cs="Arial"/>
          <w:sz w:val="18"/>
          <w:szCs w:val="18"/>
        </w:rPr>
      </w:pPr>
      <w:r>
        <w:rPr>
          <w:rFonts w:ascii="Arial" w:hAnsi="Arial" w:cs="Arial"/>
          <w:sz w:val="18"/>
          <w:szCs w:val="18"/>
        </w:rPr>
        <w:t>określenia grubości warstwy mineralno-asfaltowej przed zagęszczeniem, koniecznej do uzyskania wymaganej w dokumentacji projektowej grubości warstwy,</w:t>
      </w:r>
    </w:p>
    <w:p w14:paraId="71E70559" w14:textId="77777777" w:rsidR="001752FA" w:rsidRDefault="005D3332">
      <w:pPr>
        <w:numPr>
          <w:ilvl w:val="0"/>
          <w:numId w:val="26"/>
        </w:numPr>
        <w:tabs>
          <w:tab w:val="clear" w:pos="720"/>
          <w:tab w:val="left" w:pos="0"/>
          <w:tab w:val="num" w:pos="284"/>
          <w:tab w:val="right" w:pos="8809"/>
        </w:tabs>
        <w:ind w:left="284" w:hanging="284"/>
        <w:jc w:val="both"/>
        <w:rPr>
          <w:rFonts w:ascii="Arial" w:hAnsi="Arial" w:cs="Arial"/>
          <w:sz w:val="18"/>
          <w:szCs w:val="18"/>
        </w:rPr>
      </w:pPr>
      <w:r>
        <w:rPr>
          <w:rFonts w:ascii="Arial" w:hAnsi="Arial" w:cs="Arial"/>
          <w:sz w:val="18"/>
          <w:szCs w:val="18"/>
        </w:rPr>
        <w:t>określenia potrzebnej ilości przejść walców dla uzyskania prawidłowego zagęszczenia warstwy.</w:t>
      </w:r>
    </w:p>
    <w:p w14:paraId="46C5139A"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Do takiej próby Wykonawca użyje takich materiałów oraz sprzętu, jakie będą stosowane do wykonania warstwy wiążącej.</w:t>
      </w:r>
    </w:p>
    <w:p w14:paraId="118DE6EC"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Odcinek próbny powinien być zlokalizowany w miejscu wskazanym przez Inspektora Nadzoru.</w:t>
      </w:r>
    </w:p>
    <w:p w14:paraId="0BE09566"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Wykonawca może przystąpić do wykonania warstwy nawierzchni po zaakceptowaniu odcinka próbnego przez Inspektora Nadzoru.</w:t>
      </w:r>
    </w:p>
    <w:p w14:paraId="41D01D3B" w14:textId="77777777" w:rsidR="001752FA" w:rsidRDefault="001752FA">
      <w:pPr>
        <w:tabs>
          <w:tab w:val="left" w:pos="0"/>
          <w:tab w:val="right" w:pos="8809"/>
        </w:tabs>
        <w:ind w:firstLine="567"/>
        <w:jc w:val="both"/>
        <w:rPr>
          <w:rFonts w:ascii="Arial" w:hAnsi="Arial" w:cs="Arial"/>
          <w:sz w:val="18"/>
          <w:szCs w:val="18"/>
        </w:rPr>
      </w:pPr>
    </w:p>
    <w:p w14:paraId="67FE3C98"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5.8. Wbudowanie i zagęszczanie warstwy z AC 16 W</w:t>
      </w:r>
    </w:p>
    <w:p w14:paraId="1F677D18"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 xml:space="preserve">Układanie mieszanki może odbywać przy użyciu mechanicznej rozkładarki wyposażonej w układ automatycznego sterowania grubości warstwy i utrzymywania niwelety zgodnie z dokumentacją projektową. W miejscach niedostępnych dla rozkładarki dopuszcza się ręczne ułożenie mieszanki przy ścisłym zachowaniu reżimów technologicznych. </w:t>
      </w:r>
    </w:p>
    <w:p w14:paraId="6036CE72"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Temperatura mieszanki nie powinna być niższa od minimalnej temperatury podanej w pkt 5.3.</w:t>
      </w:r>
    </w:p>
    <w:p w14:paraId="319AC541"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Właściwości wykonanej warstwy powinny spełniać warunki podane w tablicy 6.</w:t>
      </w:r>
    </w:p>
    <w:p w14:paraId="198E204A" w14:textId="77777777" w:rsidR="001752FA" w:rsidRDefault="001752FA">
      <w:pPr>
        <w:tabs>
          <w:tab w:val="left" w:pos="0"/>
          <w:tab w:val="right" w:pos="8809"/>
        </w:tabs>
        <w:jc w:val="both"/>
        <w:rPr>
          <w:rFonts w:ascii="Arial" w:hAnsi="Arial" w:cs="Arial"/>
          <w:sz w:val="18"/>
          <w:szCs w:val="18"/>
        </w:rPr>
      </w:pPr>
    </w:p>
    <w:p w14:paraId="7C7969E8"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Tablica 6. Właściwości warstwy.</w:t>
      </w:r>
    </w:p>
    <w:p w14:paraId="58E0DDDE" w14:textId="77777777" w:rsidR="001752FA" w:rsidRDefault="001752FA">
      <w:pPr>
        <w:tabs>
          <w:tab w:val="left" w:pos="0"/>
          <w:tab w:val="right" w:pos="8809"/>
        </w:tabs>
        <w:jc w:val="both"/>
        <w:rPr>
          <w:rFonts w:ascii="Arial" w:hAnsi="Arial" w:cs="Arial"/>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297"/>
        <w:gridCol w:w="2693"/>
      </w:tblGrid>
      <w:tr w:rsidR="001752FA" w14:paraId="38016ABD" w14:textId="77777777">
        <w:tc>
          <w:tcPr>
            <w:tcW w:w="2835" w:type="dxa"/>
            <w:vAlign w:val="center"/>
          </w:tcPr>
          <w:p w14:paraId="45AC7FC4"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Typ i wymiar mieszanki</w:t>
            </w:r>
          </w:p>
        </w:tc>
        <w:tc>
          <w:tcPr>
            <w:tcW w:w="2297" w:type="dxa"/>
            <w:vAlign w:val="center"/>
          </w:tcPr>
          <w:p w14:paraId="05AE4E2F"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Wskaźnik zagęszczenia [%]</w:t>
            </w:r>
          </w:p>
        </w:tc>
        <w:tc>
          <w:tcPr>
            <w:tcW w:w="2693" w:type="dxa"/>
            <w:vAlign w:val="center"/>
          </w:tcPr>
          <w:p w14:paraId="0AFA1B99"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Zawartość wolnych przestrzeni w warstwie [%(v/v)]</w:t>
            </w:r>
          </w:p>
        </w:tc>
      </w:tr>
      <w:tr w:rsidR="001752FA" w14:paraId="085B18C0" w14:textId="77777777">
        <w:trPr>
          <w:trHeight w:val="350"/>
        </w:trPr>
        <w:tc>
          <w:tcPr>
            <w:tcW w:w="2835" w:type="dxa"/>
            <w:vAlign w:val="center"/>
          </w:tcPr>
          <w:p w14:paraId="2968AA4E"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AC16W, KR 2</w:t>
            </w:r>
          </w:p>
        </w:tc>
        <w:tc>
          <w:tcPr>
            <w:tcW w:w="2297" w:type="dxa"/>
            <w:vAlign w:val="center"/>
          </w:tcPr>
          <w:p w14:paraId="2F5A3D6A"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≥98</w:t>
            </w:r>
          </w:p>
        </w:tc>
        <w:tc>
          <w:tcPr>
            <w:tcW w:w="2693" w:type="dxa"/>
            <w:vAlign w:val="center"/>
          </w:tcPr>
          <w:p w14:paraId="33F2E57F"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2,0-7,0</w:t>
            </w:r>
          </w:p>
        </w:tc>
      </w:tr>
    </w:tbl>
    <w:p w14:paraId="29D12889" w14:textId="77777777" w:rsidR="001752FA" w:rsidRDefault="001752FA">
      <w:pPr>
        <w:tabs>
          <w:tab w:val="left" w:pos="0"/>
          <w:tab w:val="right" w:pos="8809"/>
        </w:tabs>
        <w:jc w:val="both"/>
        <w:rPr>
          <w:rFonts w:ascii="Arial" w:hAnsi="Arial" w:cs="Arial"/>
          <w:sz w:val="18"/>
          <w:szCs w:val="18"/>
        </w:rPr>
      </w:pPr>
    </w:p>
    <w:p w14:paraId="580CDEBE"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Warstwa powinna być równomiernie zagęszczona ciężkimi walcami drogowymi. Do zagęszczania należy stosować walce stalowe gładkie z możliwością wibracji, oscylacji i/lub walce ogumione, a w miejscach niedostępnych dla walców ręczne zagęszczarki.</w:t>
      </w:r>
    </w:p>
    <w:p w14:paraId="00CA0A1A"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Zagęszczanie mieszanki powinno się odbywać wg zasad ustalonych podjętymi podczas wykonywania odcinka próbnego.</w:t>
      </w:r>
    </w:p>
    <w:p w14:paraId="61F22A36"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 xml:space="preserve">Zagęszczanie mieszanki należy rozpocząć od krawędzi nawierzchni ku środkowi. </w:t>
      </w:r>
    </w:p>
    <w:p w14:paraId="224A3E40"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Spadki poprzeczne na odcinkach prostych i na łukach powinny być zgodne z dokumentacją projektową.</w:t>
      </w:r>
    </w:p>
    <w:p w14:paraId="1542DA05"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Złącza w nawierzchni powinny być wykonane w linii prostej, równolegle lub prostopadle do osi. Złącza w konstrukcji wielowarstwowej powinny być przesunięte względem siebie o co najmniej 15 cm. Złącza powinny być całkowicie związane, a przylegające warstwy powinny być w jednym poziomie.</w:t>
      </w:r>
    </w:p>
    <w:p w14:paraId="40B2B135"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W przypadku rozkładania mieszanki całą szerokością warstwy, złącza poprzeczne, wynikające z dziennej działki roboczej, powinny być równo obcięte, posmarowane lepiszczem i zabezpieczone listwą przed uszkodzeniem.</w:t>
      </w:r>
    </w:p>
    <w:p w14:paraId="22450B5B"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W przypadku rozkładania mieszanki połową szerokości warstwy, występujące dodatkowo złącze podłużne należy zabezpieczyć w sposób podany dla złącza poprzecznego.</w:t>
      </w:r>
    </w:p>
    <w:p w14:paraId="4DD17860" w14:textId="77777777" w:rsidR="001752FA" w:rsidRDefault="001752FA">
      <w:pPr>
        <w:tabs>
          <w:tab w:val="left" w:pos="0"/>
          <w:tab w:val="right" w:pos="8809"/>
        </w:tabs>
        <w:ind w:firstLine="567"/>
        <w:jc w:val="both"/>
        <w:rPr>
          <w:rFonts w:ascii="Arial" w:hAnsi="Arial" w:cs="Arial"/>
          <w:sz w:val="18"/>
          <w:szCs w:val="18"/>
        </w:rPr>
      </w:pPr>
    </w:p>
    <w:p w14:paraId="7803DE4D" w14:textId="77777777" w:rsidR="001752FA" w:rsidRDefault="005D3332">
      <w:pPr>
        <w:tabs>
          <w:tab w:val="left" w:pos="1008"/>
          <w:tab w:val="left" w:pos="7459"/>
        </w:tabs>
        <w:spacing w:after="60"/>
        <w:rPr>
          <w:rFonts w:ascii="Arial" w:hAnsi="Arial" w:cs="Arial"/>
          <w:b/>
          <w:snapToGrid w:val="0"/>
          <w:color w:val="000000"/>
          <w:sz w:val="18"/>
          <w:szCs w:val="18"/>
        </w:rPr>
      </w:pPr>
      <w:r>
        <w:rPr>
          <w:rFonts w:ascii="Arial" w:hAnsi="Arial" w:cs="Arial"/>
          <w:b/>
          <w:snapToGrid w:val="0"/>
          <w:color w:val="000000"/>
          <w:sz w:val="18"/>
          <w:szCs w:val="18"/>
        </w:rPr>
        <w:t>5.9. Wykonanie bocznych krawędzi asfaltowych warstw konstrukcji nawierzchni</w:t>
      </w:r>
    </w:p>
    <w:p w14:paraId="47743199"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Krawędzie warstw asfaltowych, nieograniczonych krawężnikiem, ściekiem, itp., należy wykonać w formie skarp o nachyleniu nie większym niż 2:1. Należy zastosować odpowiednie urządzenia techniczne, takie jak np. formująca prowadnica skośnych krawędzi układarki oraz krawędziowe wałki dociskowe zamontowane na walcu dopasowanych do grubości wbudowywanej warstwy.</w:t>
      </w:r>
    </w:p>
    <w:p w14:paraId="4F9F9DB6"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Powierzchnie  boczne warstw asfaltowych należy uszczelnić gorącym asfaltem w ilości ok. 4kg/m</w:t>
      </w:r>
      <w:r>
        <w:rPr>
          <w:rFonts w:ascii="Arial" w:hAnsi="Arial" w:cs="Arial"/>
          <w:snapToGrid w:val="0"/>
          <w:color w:val="000000"/>
          <w:sz w:val="18"/>
          <w:szCs w:val="18"/>
          <w:vertAlign w:val="superscript"/>
        </w:rPr>
        <w:t>2</w:t>
      </w:r>
      <w:r>
        <w:rPr>
          <w:rFonts w:ascii="Arial" w:hAnsi="Arial" w:cs="Arial"/>
          <w:snapToGrid w:val="0"/>
          <w:color w:val="000000"/>
          <w:sz w:val="18"/>
          <w:szCs w:val="18"/>
        </w:rPr>
        <w:t>. Nanoszenie lepiszcza musi być dokonane odpowiednio wcześnie, gdy krawędzie nie są zabrudzone. Jeżeli wbudowanie warstwy leżącej powyżej nie jest prowadzone bezpośrednio po wykonaniu warstwy wcześniejszej, to należy również uwzględnić uszczelnienie powierzchni styku, przylegającej do krawędzi na szerokości co najmniej 10cm dla każdej warstwy poprzez posmarowanie gorącym asfaltem w ilości ok. 1,5kg/m</w:t>
      </w:r>
      <w:r>
        <w:rPr>
          <w:rFonts w:ascii="Arial" w:hAnsi="Arial" w:cs="Arial"/>
          <w:snapToGrid w:val="0"/>
          <w:color w:val="000000"/>
          <w:sz w:val="18"/>
          <w:szCs w:val="18"/>
          <w:vertAlign w:val="superscript"/>
        </w:rPr>
        <w:t>2</w:t>
      </w:r>
      <w:r>
        <w:rPr>
          <w:rFonts w:ascii="Arial" w:hAnsi="Arial" w:cs="Arial"/>
          <w:snapToGrid w:val="0"/>
          <w:color w:val="000000"/>
          <w:sz w:val="18"/>
          <w:szCs w:val="18"/>
        </w:rPr>
        <w:t>.</w:t>
      </w:r>
    </w:p>
    <w:p w14:paraId="397234DF" w14:textId="77777777" w:rsidR="001752FA" w:rsidRDefault="001752FA">
      <w:pPr>
        <w:tabs>
          <w:tab w:val="left" w:pos="1008"/>
          <w:tab w:val="left" w:pos="7459"/>
        </w:tabs>
        <w:rPr>
          <w:rFonts w:ascii="Arial" w:hAnsi="Arial" w:cs="Arial"/>
          <w:b/>
          <w:snapToGrid w:val="0"/>
          <w:color w:val="000000"/>
          <w:sz w:val="18"/>
          <w:szCs w:val="18"/>
        </w:rPr>
      </w:pPr>
    </w:p>
    <w:p w14:paraId="6D631C1C" w14:textId="77777777" w:rsidR="001752FA" w:rsidRDefault="001752FA">
      <w:pPr>
        <w:tabs>
          <w:tab w:val="left" w:pos="1008"/>
          <w:tab w:val="left" w:pos="7459"/>
        </w:tabs>
        <w:rPr>
          <w:rFonts w:ascii="Arial" w:hAnsi="Arial" w:cs="Arial"/>
          <w:b/>
          <w:snapToGrid w:val="0"/>
          <w:color w:val="000000"/>
          <w:sz w:val="18"/>
          <w:szCs w:val="18"/>
        </w:rPr>
      </w:pPr>
    </w:p>
    <w:p w14:paraId="0E3A5ADB" w14:textId="77777777" w:rsidR="001752FA" w:rsidRDefault="005D3332">
      <w:pPr>
        <w:tabs>
          <w:tab w:val="left" w:pos="142"/>
          <w:tab w:val="right" w:pos="8809"/>
        </w:tabs>
        <w:spacing w:after="120"/>
        <w:jc w:val="center"/>
        <w:rPr>
          <w:rFonts w:ascii="Arial" w:hAnsi="Arial" w:cs="Arial"/>
          <w:b/>
        </w:rPr>
      </w:pPr>
      <w:r>
        <w:rPr>
          <w:rFonts w:ascii="Arial" w:hAnsi="Arial" w:cs="Arial"/>
          <w:b/>
        </w:rPr>
        <w:t>6. KONTROLA JAKOŚCI ROBÓT</w:t>
      </w:r>
    </w:p>
    <w:p w14:paraId="6FBC409F" w14:textId="77777777" w:rsidR="001752FA" w:rsidRDefault="005D3332">
      <w:pPr>
        <w:tabs>
          <w:tab w:val="left" w:pos="1008"/>
          <w:tab w:val="left" w:pos="7459"/>
        </w:tabs>
        <w:ind w:firstLine="567"/>
        <w:rPr>
          <w:rFonts w:ascii="Arial" w:hAnsi="Arial" w:cs="Arial"/>
          <w:snapToGrid w:val="0"/>
          <w:color w:val="000000"/>
          <w:sz w:val="18"/>
          <w:szCs w:val="18"/>
        </w:rPr>
      </w:pPr>
      <w:r>
        <w:rPr>
          <w:rFonts w:ascii="Arial" w:hAnsi="Arial" w:cs="Arial"/>
          <w:snapToGrid w:val="0"/>
          <w:color w:val="000000"/>
          <w:sz w:val="18"/>
          <w:szCs w:val="18"/>
        </w:rPr>
        <w:t>Ogólne zasady kontroli jakości robót podano w STWiORB D-M.00.00.00 „Wymagania ogólne” punkt 6.</w:t>
      </w:r>
    </w:p>
    <w:p w14:paraId="24081564" w14:textId="77777777" w:rsidR="001752FA" w:rsidRDefault="001752FA">
      <w:pPr>
        <w:tabs>
          <w:tab w:val="left" w:pos="1008"/>
          <w:tab w:val="left" w:pos="7459"/>
        </w:tabs>
        <w:rPr>
          <w:rFonts w:ascii="Arial" w:hAnsi="Arial" w:cs="Arial"/>
          <w:b/>
          <w:snapToGrid w:val="0"/>
          <w:color w:val="000000"/>
          <w:sz w:val="18"/>
          <w:szCs w:val="18"/>
        </w:rPr>
      </w:pPr>
    </w:p>
    <w:p w14:paraId="65295A18" w14:textId="77777777" w:rsidR="001752FA" w:rsidRDefault="005D3332">
      <w:p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6.1. Badania przed przystąpieniem do robót</w:t>
      </w:r>
    </w:p>
    <w:p w14:paraId="7E723078" w14:textId="77777777" w:rsidR="001752FA" w:rsidRDefault="005D3332">
      <w:pPr>
        <w:numPr>
          <w:ilvl w:val="12"/>
          <w:numId w:val="0"/>
        </w:numPr>
        <w:ind w:firstLine="567"/>
        <w:rPr>
          <w:rFonts w:ascii="Arial" w:hAnsi="Arial" w:cs="Arial"/>
          <w:sz w:val="18"/>
          <w:szCs w:val="18"/>
        </w:rPr>
      </w:pPr>
      <w:r>
        <w:rPr>
          <w:rFonts w:ascii="Arial" w:hAnsi="Arial" w:cs="Arial"/>
          <w:sz w:val="18"/>
          <w:szCs w:val="18"/>
        </w:rPr>
        <w:t>Przed przystąpieniem do robót Wykonawca powinien:</w:t>
      </w:r>
    </w:p>
    <w:p w14:paraId="7DBA5F0E" w14:textId="77777777" w:rsidR="001752FA" w:rsidRDefault="005D3332">
      <w:pPr>
        <w:numPr>
          <w:ilvl w:val="0"/>
          <w:numId w:val="27"/>
        </w:numPr>
        <w:overflowPunct w:val="0"/>
        <w:autoSpaceDE w:val="0"/>
        <w:autoSpaceDN w:val="0"/>
        <w:adjustRightInd w:val="0"/>
        <w:ind w:left="284" w:hanging="284"/>
        <w:jc w:val="both"/>
        <w:textAlignment w:val="baseline"/>
        <w:rPr>
          <w:rFonts w:ascii="Arial" w:hAnsi="Arial" w:cs="Arial"/>
          <w:sz w:val="18"/>
          <w:szCs w:val="18"/>
        </w:rPr>
      </w:pPr>
      <w:r>
        <w:rPr>
          <w:rFonts w:ascii="Arial" w:hAnsi="Arial" w:cs="Arial"/>
          <w:sz w:val="18"/>
          <w:szCs w:val="18"/>
        </w:rPr>
        <w:lastRenderedPageBreak/>
        <w:t>uzyskać wymagane dokumenty, dopuszczające wyroby budowlane do obrotu i powszechnego stosowania (np. stwierdzenie o oznakowaniu materiału znakiem CE lub znakiem budowlanym B, certyfikat zgodności, deklarację zgodności, deklaracjami właściwości użytkowych, ew. badania materiałów wykonane przez dostawców itp.),</w:t>
      </w:r>
    </w:p>
    <w:p w14:paraId="71DD98D7" w14:textId="77777777" w:rsidR="001752FA" w:rsidRDefault="005D3332">
      <w:pPr>
        <w:numPr>
          <w:ilvl w:val="0"/>
          <w:numId w:val="27"/>
        </w:numPr>
        <w:overflowPunct w:val="0"/>
        <w:autoSpaceDE w:val="0"/>
        <w:autoSpaceDN w:val="0"/>
        <w:adjustRightInd w:val="0"/>
        <w:ind w:left="284" w:hanging="284"/>
        <w:jc w:val="both"/>
        <w:textAlignment w:val="baseline"/>
        <w:rPr>
          <w:rFonts w:ascii="Arial" w:hAnsi="Arial" w:cs="Arial"/>
          <w:sz w:val="18"/>
          <w:szCs w:val="18"/>
        </w:rPr>
      </w:pPr>
      <w:r>
        <w:rPr>
          <w:rFonts w:ascii="Arial" w:hAnsi="Arial" w:cs="Arial"/>
          <w:sz w:val="18"/>
          <w:szCs w:val="18"/>
        </w:rPr>
        <w:t>wykonać własne badania właściwości materiałów przeznaczonych do wykonania robót, określone przez Inspektora Nadzoru,</w:t>
      </w:r>
    </w:p>
    <w:p w14:paraId="5D3D5A94" w14:textId="77777777" w:rsidR="001752FA" w:rsidRDefault="005D3332">
      <w:pPr>
        <w:numPr>
          <w:ilvl w:val="0"/>
          <w:numId w:val="27"/>
        </w:numPr>
        <w:overflowPunct w:val="0"/>
        <w:autoSpaceDE w:val="0"/>
        <w:autoSpaceDN w:val="0"/>
        <w:adjustRightInd w:val="0"/>
        <w:ind w:left="284" w:hanging="284"/>
        <w:jc w:val="both"/>
        <w:textAlignment w:val="baseline"/>
        <w:rPr>
          <w:rFonts w:ascii="Arial" w:hAnsi="Arial" w:cs="Arial"/>
          <w:sz w:val="18"/>
          <w:szCs w:val="18"/>
        </w:rPr>
      </w:pPr>
      <w:r>
        <w:rPr>
          <w:rFonts w:ascii="Arial" w:hAnsi="Arial" w:cs="Arial"/>
          <w:sz w:val="18"/>
          <w:szCs w:val="18"/>
        </w:rPr>
        <w:t>sprawdzić cechy zewnętrzne gotowych materiałów z tworzyw.</w:t>
      </w:r>
    </w:p>
    <w:p w14:paraId="15C8BDF4" w14:textId="77777777" w:rsidR="001752FA" w:rsidRDefault="001752FA">
      <w:pPr>
        <w:tabs>
          <w:tab w:val="left" w:pos="1008"/>
          <w:tab w:val="left" w:pos="7459"/>
        </w:tabs>
        <w:jc w:val="both"/>
        <w:rPr>
          <w:rFonts w:ascii="Arial" w:hAnsi="Arial" w:cs="Arial"/>
          <w:snapToGrid w:val="0"/>
          <w:color w:val="000000"/>
          <w:sz w:val="18"/>
          <w:szCs w:val="18"/>
        </w:rPr>
      </w:pPr>
    </w:p>
    <w:p w14:paraId="512BF97B"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W celu wykazania, że mieszanka mineralno-asfaltowa o danym składzie spełnia wszystkie wymagania  WT-2 Nawierzchnie Asfaltowe 2014, należy przeprowadzić badanie typu każdego składnika mieszanki. </w:t>
      </w:r>
    </w:p>
    <w:p w14:paraId="1F0EB43C"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Jeżeli użyto materiały składowe, których właściwości były już określane przez dostawcę materiału na podstawie zgodności z innymi dokumentami technicznymi, to właściwości te nie muszą być ponownie sprawdzane od warunkiem, że przydatność tych materiałów pozostała bez zmian i nie istnieją inne przeciwwskazania.    </w:t>
      </w:r>
    </w:p>
    <w:p w14:paraId="12251F64" w14:textId="77777777" w:rsidR="001752FA" w:rsidRDefault="005D3332">
      <w:pPr>
        <w:tabs>
          <w:tab w:val="left" w:pos="1008"/>
          <w:tab w:val="left" w:pos="7459"/>
        </w:tabs>
        <w:ind w:firstLine="567"/>
        <w:jc w:val="both"/>
        <w:rPr>
          <w:rFonts w:ascii="Arial" w:hAnsi="Arial" w:cs="Arial"/>
          <w:snapToGrid w:val="0"/>
          <w:color w:val="000000"/>
          <w:sz w:val="18"/>
          <w:szCs w:val="18"/>
          <w:u w:val="single"/>
        </w:rPr>
      </w:pPr>
      <w:r>
        <w:rPr>
          <w:rFonts w:ascii="Arial" w:hAnsi="Arial" w:cs="Arial"/>
          <w:snapToGrid w:val="0"/>
          <w:color w:val="000000"/>
          <w:sz w:val="18"/>
          <w:szCs w:val="18"/>
        </w:rPr>
        <w:t xml:space="preserve">W wypadku wyrobów oznakowanych znakiem CE zgodnie z odpowiednimi zharmonizowanymi specyfikacjami europejskimi można założyć, że mają one właściwości określone w oznakowaniu CE , jednak </w:t>
      </w:r>
      <w:r>
        <w:rPr>
          <w:rFonts w:ascii="Arial" w:hAnsi="Arial" w:cs="Arial"/>
          <w:snapToGrid w:val="0"/>
          <w:color w:val="000000"/>
          <w:sz w:val="18"/>
          <w:szCs w:val="18"/>
          <w:u w:val="single"/>
        </w:rPr>
        <w:t>nie zwalnia to wykonawcy z odpowiedzialności za zapewnienie, że mieszanka mineralno-asfaltowa jako całość spełnia odpowiednie wartości deklarowane.</w:t>
      </w:r>
    </w:p>
    <w:p w14:paraId="3531FEA5" w14:textId="77777777" w:rsidR="001752FA" w:rsidRDefault="005D3332">
      <w:pPr>
        <w:tabs>
          <w:tab w:val="left" w:pos="1008"/>
          <w:tab w:val="left" w:pos="7459"/>
        </w:tabs>
        <w:ind w:firstLine="567"/>
        <w:rPr>
          <w:rFonts w:ascii="Arial" w:hAnsi="Arial" w:cs="Arial"/>
          <w:snapToGrid w:val="0"/>
          <w:color w:val="000000"/>
          <w:sz w:val="18"/>
          <w:szCs w:val="18"/>
        </w:rPr>
      </w:pPr>
      <w:r>
        <w:rPr>
          <w:rFonts w:ascii="Arial" w:hAnsi="Arial" w:cs="Arial"/>
          <w:snapToGrid w:val="0"/>
          <w:color w:val="000000"/>
          <w:sz w:val="18"/>
          <w:szCs w:val="18"/>
        </w:rPr>
        <w:t xml:space="preserve">Wszystkie dokumenty oraz wyniki badań Wykonawca przedstawia </w:t>
      </w:r>
      <w:r>
        <w:rPr>
          <w:rFonts w:ascii="Arial" w:hAnsi="Arial" w:cs="Arial"/>
          <w:sz w:val="18"/>
          <w:szCs w:val="18"/>
        </w:rPr>
        <w:t>Inspektorowi Nadzoru</w:t>
      </w:r>
      <w:r>
        <w:rPr>
          <w:rFonts w:ascii="Arial" w:hAnsi="Arial" w:cs="Arial"/>
          <w:snapToGrid w:val="0"/>
          <w:color w:val="000000"/>
          <w:sz w:val="18"/>
          <w:szCs w:val="18"/>
        </w:rPr>
        <w:t xml:space="preserve"> do akceptacji.</w:t>
      </w:r>
    </w:p>
    <w:p w14:paraId="5A02C613" w14:textId="77777777" w:rsidR="001752FA" w:rsidRDefault="001752FA">
      <w:pPr>
        <w:tabs>
          <w:tab w:val="left" w:pos="1008"/>
          <w:tab w:val="left" w:pos="7459"/>
        </w:tabs>
        <w:rPr>
          <w:rFonts w:ascii="Arial" w:hAnsi="Arial" w:cs="Arial"/>
          <w:b/>
          <w:snapToGrid w:val="0"/>
          <w:color w:val="000000"/>
          <w:sz w:val="18"/>
          <w:szCs w:val="18"/>
        </w:rPr>
      </w:pPr>
    </w:p>
    <w:p w14:paraId="3775A157" w14:textId="77777777" w:rsidR="001752FA" w:rsidRDefault="005D3332">
      <w:p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6.2. Badania w czasie robót</w:t>
      </w:r>
    </w:p>
    <w:p w14:paraId="36BB69A9"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Badania dzielą się na:</w:t>
      </w:r>
    </w:p>
    <w:p w14:paraId="4ED1572E" w14:textId="77777777" w:rsidR="001752FA" w:rsidRDefault="005D3332">
      <w:pPr>
        <w:numPr>
          <w:ilvl w:val="0"/>
          <w:numId w:val="29"/>
        </w:numPr>
        <w:tabs>
          <w:tab w:val="clear" w:pos="720"/>
          <w:tab w:val="num" w:pos="284"/>
        </w:tabs>
        <w:ind w:left="284" w:hanging="284"/>
        <w:rPr>
          <w:rFonts w:ascii="Arial" w:hAnsi="Arial" w:cs="Arial"/>
          <w:sz w:val="18"/>
          <w:szCs w:val="18"/>
        </w:rPr>
      </w:pPr>
      <w:r>
        <w:rPr>
          <w:rFonts w:ascii="Arial" w:hAnsi="Arial" w:cs="Arial"/>
          <w:sz w:val="18"/>
          <w:szCs w:val="18"/>
        </w:rPr>
        <w:t>badania Wykonawcy (w ramach własnego nadzoru)</w:t>
      </w:r>
    </w:p>
    <w:p w14:paraId="500A50EF" w14:textId="77777777" w:rsidR="001752FA" w:rsidRDefault="005D3332">
      <w:pPr>
        <w:numPr>
          <w:ilvl w:val="0"/>
          <w:numId w:val="29"/>
        </w:numPr>
        <w:tabs>
          <w:tab w:val="clear" w:pos="720"/>
          <w:tab w:val="num" w:pos="284"/>
        </w:tabs>
        <w:ind w:left="284" w:hanging="284"/>
        <w:rPr>
          <w:rFonts w:ascii="Arial" w:hAnsi="Arial" w:cs="Arial"/>
          <w:sz w:val="18"/>
          <w:szCs w:val="18"/>
        </w:rPr>
      </w:pPr>
      <w:r>
        <w:rPr>
          <w:rFonts w:ascii="Arial" w:hAnsi="Arial" w:cs="Arial"/>
          <w:sz w:val="18"/>
          <w:szCs w:val="18"/>
        </w:rPr>
        <w:t>badania kontrolne (w ramach nadzoru zleceniodawcy)</w:t>
      </w:r>
    </w:p>
    <w:p w14:paraId="36CFB6C5" w14:textId="77777777" w:rsidR="001752FA" w:rsidRDefault="005D3332">
      <w:pPr>
        <w:numPr>
          <w:ilvl w:val="0"/>
          <w:numId w:val="29"/>
        </w:numPr>
        <w:tabs>
          <w:tab w:val="clear" w:pos="720"/>
          <w:tab w:val="num" w:pos="284"/>
        </w:tabs>
        <w:ind w:left="284" w:hanging="284"/>
        <w:rPr>
          <w:rFonts w:ascii="Arial" w:hAnsi="Arial" w:cs="Arial"/>
          <w:sz w:val="18"/>
          <w:szCs w:val="18"/>
        </w:rPr>
      </w:pPr>
      <w:r>
        <w:rPr>
          <w:rFonts w:ascii="Arial" w:hAnsi="Arial" w:cs="Arial"/>
          <w:sz w:val="18"/>
          <w:szCs w:val="18"/>
        </w:rPr>
        <w:t>badania kontrolne dodatkowe</w:t>
      </w:r>
    </w:p>
    <w:p w14:paraId="59A36427" w14:textId="77777777" w:rsidR="001752FA" w:rsidRDefault="005D3332">
      <w:pPr>
        <w:numPr>
          <w:ilvl w:val="0"/>
          <w:numId w:val="29"/>
        </w:numPr>
        <w:tabs>
          <w:tab w:val="clear" w:pos="720"/>
          <w:tab w:val="num" w:pos="284"/>
        </w:tabs>
        <w:ind w:left="284" w:hanging="284"/>
        <w:rPr>
          <w:rFonts w:ascii="Arial" w:hAnsi="Arial" w:cs="Arial"/>
          <w:sz w:val="18"/>
          <w:szCs w:val="18"/>
        </w:rPr>
      </w:pPr>
      <w:r>
        <w:rPr>
          <w:rFonts w:ascii="Arial" w:hAnsi="Arial" w:cs="Arial"/>
          <w:sz w:val="18"/>
          <w:szCs w:val="18"/>
        </w:rPr>
        <w:t>badania arbitrażowe</w:t>
      </w:r>
    </w:p>
    <w:p w14:paraId="6C461C09" w14:textId="77777777" w:rsidR="001752FA" w:rsidRDefault="001752FA">
      <w:pPr>
        <w:tabs>
          <w:tab w:val="left" w:pos="1008"/>
          <w:tab w:val="left" w:pos="7459"/>
        </w:tabs>
        <w:rPr>
          <w:rFonts w:ascii="Arial" w:hAnsi="Arial" w:cs="Arial"/>
          <w:snapToGrid w:val="0"/>
          <w:color w:val="000000"/>
          <w:sz w:val="18"/>
          <w:szCs w:val="18"/>
        </w:rPr>
      </w:pPr>
    </w:p>
    <w:p w14:paraId="58AE6660" w14:textId="77777777" w:rsidR="001752FA" w:rsidRDefault="005D3332">
      <w:pPr>
        <w:tabs>
          <w:tab w:val="left" w:pos="1008"/>
          <w:tab w:val="left" w:pos="7459"/>
        </w:tabs>
        <w:spacing w:after="60"/>
        <w:rPr>
          <w:rFonts w:ascii="Arial" w:hAnsi="Arial" w:cs="Arial"/>
          <w:b/>
          <w:snapToGrid w:val="0"/>
          <w:color w:val="000000"/>
          <w:sz w:val="18"/>
          <w:szCs w:val="18"/>
        </w:rPr>
      </w:pPr>
      <w:r>
        <w:rPr>
          <w:rFonts w:ascii="Arial" w:hAnsi="Arial" w:cs="Arial"/>
          <w:b/>
          <w:snapToGrid w:val="0"/>
          <w:color w:val="000000"/>
          <w:sz w:val="18"/>
          <w:szCs w:val="18"/>
        </w:rPr>
        <w:t xml:space="preserve">6.2.1. Badania Wykonawcy </w:t>
      </w:r>
    </w:p>
    <w:p w14:paraId="359A5A4D" w14:textId="77777777" w:rsidR="001752FA" w:rsidRDefault="005D3332">
      <w:pPr>
        <w:ind w:firstLine="567"/>
        <w:jc w:val="both"/>
        <w:rPr>
          <w:rFonts w:ascii="Arial" w:hAnsi="Arial" w:cs="Arial"/>
          <w:sz w:val="18"/>
          <w:szCs w:val="18"/>
        </w:rPr>
      </w:pPr>
      <w:r>
        <w:rPr>
          <w:rFonts w:ascii="Arial" w:hAnsi="Arial" w:cs="Arial"/>
          <w:sz w:val="18"/>
          <w:szCs w:val="18"/>
        </w:rPr>
        <w:t>Wykonawca Robót ma prowadzić Zakładową Kontrolę Produkcji (ZKP) zgodnie z PN-EN 13108-21.</w:t>
      </w:r>
    </w:p>
    <w:p w14:paraId="7D870540"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Badania Wykonawcy są wykonywane przez Wykonawcę lub jego Zleceniobiorców celem sprawdzenia, czy jakość materiałów budowlanych (mieszanek mineralno-asfaltowych i ich składników, lepiszczy i materiałów do uszczelnień itp.) oraz gotowej usługi (wbudowane warstwy asfaltowe, połączenia itp.) spełniają określone wymagania.</w:t>
      </w:r>
    </w:p>
    <w:p w14:paraId="3FE15AD1"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Wykonawca musi wykonywać te badania podczas realizacji kontraktu, z niezbędną starannością                          i w wymaganym zakresie. </w:t>
      </w:r>
    </w:p>
    <w:p w14:paraId="4365D36D"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Wyniki należy zapisywać w protokołach. W razie stwierdzenie uchybień w stosunku do wymagań z kontraktu, ich przyczyny należy niezwłocznie usunąć.</w:t>
      </w:r>
    </w:p>
    <w:p w14:paraId="346CCBB9"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Wyniki badań Wykonawcy należy przekazywać zleceniodawcy na jego żądanie.</w:t>
      </w:r>
    </w:p>
    <w:p w14:paraId="4CD04ADA" w14:textId="77777777" w:rsidR="001752FA" w:rsidRDefault="001752FA">
      <w:pPr>
        <w:tabs>
          <w:tab w:val="left" w:pos="1008"/>
          <w:tab w:val="left" w:pos="7459"/>
        </w:tabs>
        <w:ind w:firstLine="567"/>
        <w:jc w:val="both"/>
        <w:rPr>
          <w:rFonts w:ascii="Arial" w:hAnsi="Arial" w:cs="Arial"/>
          <w:snapToGrid w:val="0"/>
          <w:color w:val="000000"/>
          <w:sz w:val="18"/>
          <w:szCs w:val="18"/>
        </w:rPr>
      </w:pPr>
    </w:p>
    <w:p w14:paraId="6DD47472" w14:textId="77777777" w:rsidR="001752FA" w:rsidRDefault="005D3332">
      <w:pPr>
        <w:tabs>
          <w:tab w:val="left" w:pos="1008"/>
          <w:tab w:val="left" w:pos="7459"/>
        </w:tabs>
        <w:spacing w:after="60"/>
        <w:rPr>
          <w:rFonts w:ascii="Arial" w:hAnsi="Arial" w:cs="Arial"/>
          <w:b/>
          <w:snapToGrid w:val="0"/>
          <w:color w:val="000000"/>
          <w:sz w:val="18"/>
          <w:szCs w:val="18"/>
        </w:rPr>
      </w:pPr>
      <w:r>
        <w:rPr>
          <w:rFonts w:ascii="Arial" w:hAnsi="Arial" w:cs="Arial"/>
          <w:b/>
          <w:snapToGrid w:val="0"/>
          <w:color w:val="000000"/>
          <w:sz w:val="18"/>
          <w:szCs w:val="18"/>
        </w:rPr>
        <w:t>6.2.1.1. Badania Wykonawcy dotyczące wykonywania nawierzchni:</w:t>
      </w:r>
    </w:p>
    <w:p w14:paraId="0A841ECC" w14:textId="77777777" w:rsidR="001752FA" w:rsidRDefault="005D3332">
      <w:pPr>
        <w:numPr>
          <w:ilvl w:val="0"/>
          <w:numId w:val="30"/>
        </w:numPr>
        <w:rPr>
          <w:rFonts w:ascii="Arial" w:hAnsi="Arial" w:cs="Arial"/>
          <w:sz w:val="18"/>
          <w:szCs w:val="18"/>
        </w:rPr>
      </w:pPr>
      <w:r>
        <w:rPr>
          <w:rFonts w:ascii="Arial" w:hAnsi="Arial" w:cs="Arial"/>
          <w:sz w:val="18"/>
          <w:szCs w:val="18"/>
        </w:rPr>
        <w:t>temperatura powietrza,</w:t>
      </w:r>
    </w:p>
    <w:p w14:paraId="099E2273" w14:textId="77777777" w:rsidR="001752FA" w:rsidRDefault="005D3332">
      <w:pPr>
        <w:numPr>
          <w:ilvl w:val="0"/>
          <w:numId w:val="30"/>
        </w:numPr>
        <w:rPr>
          <w:rFonts w:ascii="Arial" w:hAnsi="Arial" w:cs="Arial"/>
          <w:sz w:val="18"/>
          <w:szCs w:val="18"/>
        </w:rPr>
      </w:pPr>
      <w:r>
        <w:rPr>
          <w:rFonts w:ascii="Arial" w:hAnsi="Arial" w:cs="Arial"/>
          <w:sz w:val="18"/>
          <w:szCs w:val="18"/>
        </w:rPr>
        <w:t>temperatura mieszanki mineralno-asfaltowej podczas wykonywania nawierzchni,</w:t>
      </w:r>
    </w:p>
    <w:p w14:paraId="129C3AF2" w14:textId="77777777" w:rsidR="001752FA" w:rsidRDefault="005D3332">
      <w:pPr>
        <w:numPr>
          <w:ilvl w:val="0"/>
          <w:numId w:val="30"/>
        </w:numPr>
        <w:rPr>
          <w:rFonts w:ascii="Arial" w:hAnsi="Arial" w:cs="Arial"/>
          <w:sz w:val="18"/>
          <w:szCs w:val="18"/>
        </w:rPr>
      </w:pPr>
      <w:r>
        <w:rPr>
          <w:rFonts w:ascii="Arial" w:hAnsi="Arial" w:cs="Arial"/>
          <w:sz w:val="18"/>
          <w:szCs w:val="18"/>
        </w:rPr>
        <w:t>wygląd mieszanki mineralno-asfaltowej,</w:t>
      </w:r>
    </w:p>
    <w:p w14:paraId="0E8E0CFD" w14:textId="77777777" w:rsidR="001752FA" w:rsidRDefault="005D3332">
      <w:pPr>
        <w:numPr>
          <w:ilvl w:val="0"/>
          <w:numId w:val="30"/>
        </w:numPr>
        <w:rPr>
          <w:rFonts w:ascii="Arial" w:hAnsi="Arial" w:cs="Arial"/>
          <w:sz w:val="18"/>
          <w:szCs w:val="18"/>
        </w:rPr>
      </w:pPr>
      <w:r>
        <w:rPr>
          <w:rFonts w:ascii="Arial" w:hAnsi="Arial" w:cs="Arial"/>
          <w:sz w:val="18"/>
          <w:szCs w:val="18"/>
        </w:rPr>
        <w:t>grubość wykonanych warstw,</w:t>
      </w:r>
    </w:p>
    <w:p w14:paraId="7A950CCA" w14:textId="77777777" w:rsidR="001752FA" w:rsidRDefault="005D3332">
      <w:pPr>
        <w:numPr>
          <w:ilvl w:val="0"/>
          <w:numId w:val="30"/>
        </w:numPr>
        <w:rPr>
          <w:rFonts w:ascii="Arial" w:hAnsi="Arial" w:cs="Arial"/>
          <w:sz w:val="18"/>
          <w:szCs w:val="18"/>
        </w:rPr>
      </w:pPr>
      <w:r>
        <w:rPr>
          <w:rFonts w:ascii="Arial" w:hAnsi="Arial" w:cs="Arial"/>
          <w:sz w:val="18"/>
          <w:szCs w:val="18"/>
        </w:rPr>
        <w:t>połączenia międzywarstwowe,</w:t>
      </w:r>
    </w:p>
    <w:p w14:paraId="43189B24" w14:textId="77777777" w:rsidR="001752FA" w:rsidRDefault="005D3332">
      <w:pPr>
        <w:numPr>
          <w:ilvl w:val="0"/>
          <w:numId w:val="30"/>
        </w:numPr>
        <w:rPr>
          <w:rFonts w:ascii="Arial" w:hAnsi="Arial" w:cs="Arial"/>
          <w:sz w:val="18"/>
          <w:szCs w:val="18"/>
        </w:rPr>
      </w:pPr>
      <w:r>
        <w:rPr>
          <w:rFonts w:ascii="Arial" w:hAnsi="Arial" w:cs="Arial"/>
          <w:sz w:val="18"/>
          <w:szCs w:val="18"/>
        </w:rPr>
        <w:t>spadki poprzeczne poszczególnych warstw asfaltowych,</w:t>
      </w:r>
    </w:p>
    <w:p w14:paraId="2204945D" w14:textId="77777777" w:rsidR="001752FA" w:rsidRDefault="005D3332">
      <w:pPr>
        <w:numPr>
          <w:ilvl w:val="0"/>
          <w:numId w:val="30"/>
        </w:numPr>
        <w:rPr>
          <w:rFonts w:ascii="Arial" w:hAnsi="Arial" w:cs="Arial"/>
          <w:sz w:val="18"/>
          <w:szCs w:val="18"/>
        </w:rPr>
      </w:pPr>
      <w:r>
        <w:rPr>
          <w:rFonts w:ascii="Arial" w:hAnsi="Arial" w:cs="Arial"/>
          <w:sz w:val="18"/>
          <w:szCs w:val="18"/>
        </w:rPr>
        <w:t>równość poszczególnych warstw asfaltowych,</w:t>
      </w:r>
    </w:p>
    <w:p w14:paraId="24BC76EC" w14:textId="77777777" w:rsidR="001752FA" w:rsidRDefault="005D3332">
      <w:pPr>
        <w:numPr>
          <w:ilvl w:val="0"/>
          <w:numId w:val="30"/>
        </w:numPr>
        <w:rPr>
          <w:rFonts w:ascii="Arial" w:hAnsi="Arial" w:cs="Arial"/>
          <w:sz w:val="18"/>
          <w:szCs w:val="18"/>
        </w:rPr>
      </w:pPr>
      <w:r>
        <w:rPr>
          <w:rFonts w:ascii="Arial" w:hAnsi="Arial" w:cs="Arial"/>
          <w:sz w:val="18"/>
          <w:szCs w:val="18"/>
        </w:rPr>
        <w:t>geometria poboczy,</w:t>
      </w:r>
    </w:p>
    <w:p w14:paraId="6D2B0BFB" w14:textId="77777777" w:rsidR="001752FA" w:rsidRDefault="005D3332">
      <w:pPr>
        <w:numPr>
          <w:ilvl w:val="0"/>
          <w:numId w:val="30"/>
        </w:numPr>
        <w:rPr>
          <w:rFonts w:ascii="Arial" w:hAnsi="Arial" w:cs="Arial"/>
          <w:sz w:val="18"/>
          <w:szCs w:val="18"/>
        </w:rPr>
      </w:pPr>
      <w:r>
        <w:rPr>
          <w:rFonts w:ascii="Arial" w:hAnsi="Arial" w:cs="Arial"/>
          <w:sz w:val="18"/>
          <w:szCs w:val="18"/>
        </w:rPr>
        <w:t>ocena wizualna jednorodności powierzchni warstwy,</w:t>
      </w:r>
    </w:p>
    <w:p w14:paraId="27778AA1" w14:textId="77777777" w:rsidR="001752FA" w:rsidRDefault="005D3332">
      <w:pPr>
        <w:numPr>
          <w:ilvl w:val="0"/>
          <w:numId w:val="30"/>
        </w:numPr>
        <w:rPr>
          <w:rFonts w:ascii="Arial" w:hAnsi="Arial" w:cs="Arial"/>
          <w:sz w:val="18"/>
          <w:szCs w:val="18"/>
        </w:rPr>
      </w:pPr>
      <w:r>
        <w:rPr>
          <w:rFonts w:ascii="Arial" w:hAnsi="Arial" w:cs="Arial"/>
          <w:sz w:val="18"/>
          <w:szCs w:val="18"/>
        </w:rPr>
        <w:t>ocena wizualna jakości wykonania połączeń technologicznych.</w:t>
      </w:r>
    </w:p>
    <w:p w14:paraId="300E1270" w14:textId="77777777" w:rsidR="001752FA" w:rsidRDefault="001752FA">
      <w:pPr>
        <w:ind w:left="720"/>
        <w:rPr>
          <w:rFonts w:ascii="Arial" w:hAnsi="Arial" w:cs="Arial"/>
          <w:sz w:val="18"/>
          <w:szCs w:val="18"/>
        </w:rPr>
      </w:pPr>
    </w:p>
    <w:p w14:paraId="26E62543" w14:textId="77777777" w:rsidR="001752FA" w:rsidRDefault="005D3332">
      <w:pPr>
        <w:tabs>
          <w:tab w:val="left" w:pos="1008"/>
          <w:tab w:val="left" w:pos="7459"/>
        </w:tabs>
        <w:spacing w:after="60"/>
        <w:rPr>
          <w:rFonts w:ascii="Arial" w:hAnsi="Arial" w:cs="Arial"/>
          <w:b/>
          <w:snapToGrid w:val="0"/>
          <w:color w:val="000000"/>
          <w:sz w:val="18"/>
          <w:szCs w:val="18"/>
        </w:rPr>
      </w:pPr>
      <w:r>
        <w:rPr>
          <w:rFonts w:ascii="Arial" w:hAnsi="Arial" w:cs="Arial"/>
          <w:b/>
          <w:snapToGrid w:val="0"/>
          <w:color w:val="000000"/>
          <w:sz w:val="18"/>
          <w:szCs w:val="18"/>
        </w:rPr>
        <w:t>6.2.1.2.Częstotliwość oraz zakres badań i pomiarów</w:t>
      </w:r>
    </w:p>
    <w:p w14:paraId="66303542"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Zakres badań kontrolnych podano w Tablicy 7, ich częstotliwość wynika z Zakładowej Kontroli   </w:t>
      </w:r>
    </w:p>
    <w:p w14:paraId="62780E79" w14:textId="77777777" w:rsidR="001752FA" w:rsidRDefault="005D3332">
      <w:pPr>
        <w:tabs>
          <w:tab w:val="left" w:pos="1008"/>
          <w:tab w:val="left" w:pos="7459"/>
        </w:tabs>
        <w:ind w:firstLine="567"/>
        <w:rPr>
          <w:rFonts w:ascii="Arial" w:hAnsi="Arial" w:cs="Arial"/>
          <w:snapToGrid w:val="0"/>
          <w:color w:val="000000"/>
          <w:sz w:val="18"/>
          <w:szCs w:val="18"/>
        </w:rPr>
      </w:pPr>
      <w:r>
        <w:rPr>
          <w:rFonts w:ascii="Arial" w:hAnsi="Arial" w:cs="Arial"/>
          <w:snapToGrid w:val="0"/>
          <w:color w:val="000000"/>
          <w:sz w:val="18"/>
          <w:szCs w:val="18"/>
        </w:rPr>
        <w:t>Produkcji, ale nie może być mniejsza niż podano w Tablicy 7.</w:t>
      </w:r>
    </w:p>
    <w:p w14:paraId="32D02E92" w14:textId="77777777" w:rsidR="001752FA" w:rsidRDefault="001752FA">
      <w:pPr>
        <w:tabs>
          <w:tab w:val="left" w:pos="1008"/>
          <w:tab w:val="left" w:pos="7459"/>
        </w:tabs>
        <w:rPr>
          <w:rFonts w:ascii="Arial" w:hAnsi="Arial" w:cs="Arial"/>
          <w:snapToGrid w:val="0"/>
          <w:color w:val="000000"/>
          <w:sz w:val="18"/>
          <w:szCs w:val="18"/>
        </w:rPr>
      </w:pPr>
    </w:p>
    <w:p w14:paraId="77975F1E"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Tablica 7 . Rodzaj badań kontrolnych oraz częstotliwość.</w:t>
      </w:r>
    </w:p>
    <w:p w14:paraId="0528F810"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905"/>
        <w:gridCol w:w="4204"/>
      </w:tblGrid>
      <w:tr w:rsidR="001752FA" w14:paraId="220310AF" w14:textId="77777777">
        <w:trPr>
          <w:jc w:val="center"/>
        </w:trPr>
        <w:tc>
          <w:tcPr>
            <w:tcW w:w="533" w:type="dxa"/>
          </w:tcPr>
          <w:p w14:paraId="0FC14286"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Lp.</w:t>
            </w:r>
          </w:p>
        </w:tc>
        <w:tc>
          <w:tcPr>
            <w:tcW w:w="3905" w:type="dxa"/>
          </w:tcPr>
          <w:p w14:paraId="0421D7D0"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Rodzaj badań</w:t>
            </w:r>
          </w:p>
        </w:tc>
        <w:tc>
          <w:tcPr>
            <w:tcW w:w="4204" w:type="dxa"/>
          </w:tcPr>
          <w:p w14:paraId="216104D5"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Częstość badań </w:t>
            </w:r>
          </w:p>
        </w:tc>
      </w:tr>
      <w:tr w:rsidR="001752FA" w14:paraId="29950AFF" w14:textId="77777777">
        <w:trPr>
          <w:jc w:val="center"/>
        </w:trPr>
        <w:tc>
          <w:tcPr>
            <w:tcW w:w="8642" w:type="dxa"/>
            <w:gridSpan w:val="3"/>
          </w:tcPr>
          <w:p w14:paraId="6AA3D0FB" w14:textId="77777777" w:rsidR="001752FA" w:rsidRDefault="005D3332">
            <w:pPr>
              <w:tabs>
                <w:tab w:val="left" w:pos="1008"/>
                <w:tab w:val="left" w:pos="7459"/>
              </w:tabs>
              <w:jc w:val="center"/>
              <w:rPr>
                <w:rFonts w:ascii="Arial" w:hAnsi="Arial" w:cs="Arial"/>
                <w:snapToGrid w:val="0"/>
                <w:color w:val="000000"/>
                <w:sz w:val="18"/>
                <w:szCs w:val="18"/>
              </w:rPr>
            </w:pPr>
            <w:r>
              <w:rPr>
                <w:rFonts w:ascii="Arial" w:hAnsi="Arial" w:cs="Arial"/>
                <w:snapToGrid w:val="0"/>
                <w:color w:val="000000"/>
                <w:sz w:val="18"/>
                <w:szCs w:val="18"/>
              </w:rPr>
              <w:t>BADANIA MIESZANKI MINERALNO-ASFALTOWEJ</w:t>
            </w:r>
          </w:p>
        </w:tc>
      </w:tr>
      <w:tr w:rsidR="001752FA" w14:paraId="5BDF0B27" w14:textId="77777777">
        <w:trPr>
          <w:jc w:val="center"/>
        </w:trPr>
        <w:tc>
          <w:tcPr>
            <w:tcW w:w="533" w:type="dxa"/>
          </w:tcPr>
          <w:p w14:paraId="55D39BFF"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1.</w:t>
            </w:r>
          </w:p>
        </w:tc>
        <w:tc>
          <w:tcPr>
            <w:tcW w:w="3905" w:type="dxa"/>
          </w:tcPr>
          <w:p w14:paraId="32146ACB"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Temperatura składników</w:t>
            </w:r>
          </w:p>
        </w:tc>
        <w:tc>
          <w:tcPr>
            <w:tcW w:w="4204" w:type="dxa"/>
          </w:tcPr>
          <w:p w14:paraId="5451A977"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Dozór ciągły</w:t>
            </w:r>
          </w:p>
        </w:tc>
      </w:tr>
      <w:tr w:rsidR="001752FA" w14:paraId="0902D27C" w14:textId="77777777">
        <w:trPr>
          <w:jc w:val="center"/>
        </w:trPr>
        <w:tc>
          <w:tcPr>
            <w:tcW w:w="533" w:type="dxa"/>
          </w:tcPr>
          <w:p w14:paraId="16BBB79B"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2.</w:t>
            </w:r>
          </w:p>
        </w:tc>
        <w:tc>
          <w:tcPr>
            <w:tcW w:w="3905" w:type="dxa"/>
          </w:tcPr>
          <w:p w14:paraId="3A7F6005"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Temperatura mieszanki </w:t>
            </w:r>
          </w:p>
        </w:tc>
        <w:tc>
          <w:tcPr>
            <w:tcW w:w="4204" w:type="dxa"/>
          </w:tcPr>
          <w:p w14:paraId="439367D3"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Każdy samochód przy załadunku i w czasie wbudowania</w:t>
            </w:r>
          </w:p>
        </w:tc>
      </w:tr>
      <w:tr w:rsidR="001752FA" w14:paraId="4358C1E1" w14:textId="77777777">
        <w:trPr>
          <w:jc w:val="center"/>
        </w:trPr>
        <w:tc>
          <w:tcPr>
            <w:tcW w:w="533" w:type="dxa"/>
          </w:tcPr>
          <w:p w14:paraId="4C51A7CD"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3.</w:t>
            </w:r>
          </w:p>
        </w:tc>
        <w:tc>
          <w:tcPr>
            <w:tcW w:w="3905" w:type="dxa"/>
          </w:tcPr>
          <w:p w14:paraId="739F4B9F"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Zawartość asfaltu i uziarnienie mieszanki mineralnej</w:t>
            </w:r>
          </w:p>
        </w:tc>
        <w:tc>
          <w:tcPr>
            <w:tcW w:w="4204" w:type="dxa"/>
          </w:tcPr>
          <w:p w14:paraId="4124FF09"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Nie rzadziej niż 1 raz dziennie</w:t>
            </w:r>
          </w:p>
        </w:tc>
      </w:tr>
      <w:tr w:rsidR="001752FA" w14:paraId="4DDD39EE" w14:textId="77777777">
        <w:trPr>
          <w:jc w:val="center"/>
        </w:trPr>
        <w:tc>
          <w:tcPr>
            <w:tcW w:w="533" w:type="dxa"/>
          </w:tcPr>
          <w:p w14:paraId="3F12A4C3"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4.</w:t>
            </w:r>
          </w:p>
        </w:tc>
        <w:tc>
          <w:tcPr>
            <w:tcW w:w="3905" w:type="dxa"/>
          </w:tcPr>
          <w:p w14:paraId="4947A661"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Wolna przestrzeń w próbkach Marshalla</w:t>
            </w:r>
          </w:p>
        </w:tc>
        <w:tc>
          <w:tcPr>
            <w:tcW w:w="4204" w:type="dxa"/>
          </w:tcPr>
          <w:p w14:paraId="5CC6B366"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Nie rzadziej niż 1 raz dziennie </w:t>
            </w:r>
          </w:p>
        </w:tc>
      </w:tr>
      <w:tr w:rsidR="001752FA" w14:paraId="2A200747" w14:textId="77777777">
        <w:trPr>
          <w:jc w:val="center"/>
        </w:trPr>
        <w:tc>
          <w:tcPr>
            <w:tcW w:w="8642" w:type="dxa"/>
            <w:gridSpan w:val="3"/>
          </w:tcPr>
          <w:p w14:paraId="3B042C30" w14:textId="77777777" w:rsidR="001752FA" w:rsidRDefault="005D3332">
            <w:pPr>
              <w:tabs>
                <w:tab w:val="left" w:pos="1008"/>
                <w:tab w:val="left" w:pos="7459"/>
              </w:tabs>
              <w:jc w:val="center"/>
              <w:rPr>
                <w:rFonts w:ascii="Arial" w:hAnsi="Arial" w:cs="Arial"/>
                <w:snapToGrid w:val="0"/>
                <w:color w:val="000000"/>
                <w:sz w:val="18"/>
                <w:szCs w:val="18"/>
              </w:rPr>
            </w:pPr>
            <w:r>
              <w:rPr>
                <w:rFonts w:ascii="Arial" w:hAnsi="Arial" w:cs="Arial"/>
                <w:snapToGrid w:val="0"/>
                <w:color w:val="000000"/>
                <w:sz w:val="18"/>
                <w:szCs w:val="18"/>
              </w:rPr>
              <w:t>BADANIA PO ZAGĘSZCZENIU WARSTWY</w:t>
            </w:r>
          </w:p>
        </w:tc>
      </w:tr>
      <w:tr w:rsidR="001752FA" w14:paraId="1BC7D0AA" w14:textId="77777777">
        <w:trPr>
          <w:jc w:val="center"/>
        </w:trPr>
        <w:tc>
          <w:tcPr>
            <w:tcW w:w="533" w:type="dxa"/>
          </w:tcPr>
          <w:p w14:paraId="29C40077"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5.</w:t>
            </w:r>
          </w:p>
        </w:tc>
        <w:tc>
          <w:tcPr>
            <w:tcW w:w="3905" w:type="dxa"/>
          </w:tcPr>
          <w:p w14:paraId="5F52AE9E"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Grubość warstwy</w:t>
            </w:r>
          </w:p>
        </w:tc>
        <w:tc>
          <w:tcPr>
            <w:tcW w:w="4204" w:type="dxa"/>
          </w:tcPr>
          <w:p w14:paraId="0201D7FE"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co najmniej 1 próbka z działki roboczej</w:t>
            </w:r>
          </w:p>
        </w:tc>
      </w:tr>
      <w:tr w:rsidR="001752FA" w14:paraId="51733C82" w14:textId="77777777">
        <w:trPr>
          <w:jc w:val="center"/>
        </w:trPr>
        <w:tc>
          <w:tcPr>
            <w:tcW w:w="533" w:type="dxa"/>
          </w:tcPr>
          <w:p w14:paraId="5B9CD5BC"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6.</w:t>
            </w:r>
          </w:p>
        </w:tc>
        <w:tc>
          <w:tcPr>
            <w:tcW w:w="3905" w:type="dxa"/>
          </w:tcPr>
          <w:p w14:paraId="2AC0852F"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Wskaźnik zagęszczenia warstwy</w:t>
            </w:r>
          </w:p>
        </w:tc>
        <w:tc>
          <w:tcPr>
            <w:tcW w:w="4204" w:type="dxa"/>
          </w:tcPr>
          <w:p w14:paraId="36C22787" w14:textId="77777777" w:rsidR="001752FA" w:rsidRDefault="005D3332">
            <w:pPr>
              <w:rPr>
                <w:rFonts w:ascii="Arial" w:hAnsi="Arial" w:cs="Arial"/>
                <w:sz w:val="18"/>
                <w:szCs w:val="18"/>
              </w:rPr>
            </w:pPr>
            <w:r>
              <w:rPr>
                <w:rFonts w:ascii="Arial" w:hAnsi="Arial" w:cs="Arial"/>
                <w:sz w:val="18"/>
                <w:szCs w:val="18"/>
              </w:rPr>
              <w:t>co najmniej 1 próbka z działki roboczej</w:t>
            </w:r>
          </w:p>
        </w:tc>
      </w:tr>
      <w:tr w:rsidR="001752FA" w14:paraId="71198899" w14:textId="77777777">
        <w:trPr>
          <w:jc w:val="center"/>
        </w:trPr>
        <w:tc>
          <w:tcPr>
            <w:tcW w:w="533" w:type="dxa"/>
          </w:tcPr>
          <w:p w14:paraId="4CE53898"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lastRenderedPageBreak/>
              <w:t>7.</w:t>
            </w:r>
          </w:p>
        </w:tc>
        <w:tc>
          <w:tcPr>
            <w:tcW w:w="3905" w:type="dxa"/>
          </w:tcPr>
          <w:p w14:paraId="10B8F23E"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Wolna przestrzeń w zagęszczonej warstwie</w:t>
            </w:r>
          </w:p>
        </w:tc>
        <w:tc>
          <w:tcPr>
            <w:tcW w:w="4204" w:type="dxa"/>
          </w:tcPr>
          <w:p w14:paraId="2231F1E4" w14:textId="77777777" w:rsidR="001752FA" w:rsidRDefault="005D3332">
            <w:pPr>
              <w:rPr>
                <w:rFonts w:ascii="Arial" w:hAnsi="Arial" w:cs="Arial"/>
                <w:sz w:val="18"/>
                <w:szCs w:val="18"/>
              </w:rPr>
            </w:pPr>
            <w:r>
              <w:rPr>
                <w:rFonts w:ascii="Arial" w:hAnsi="Arial" w:cs="Arial"/>
                <w:sz w:val="18"/>
                <w:szCs w:val="18"/>
              </w:rPr>
              <w:t>co najmniej 1 próbka z działki roboczej</w:t>
            </w:r>
          </w:p>
        </w:tc>
      </w:tr>
    </w:tbl>
    <w:p w14:paraId="7B9A4E70" w14:textId="77777777" w:rsidR="001752FA" w:rsidRDefault="001752FA">
      <w:pPr>
        <w:ind w:firstLine="567"/>
        <w:jc w:val="both"/>
        <w:rPr>
          <w:rFonts w:ascii="Arial" w:hAnsi="Arial" w:cs="Arial"/>
          <w:sz w:val="18"/>
          <w:szCs w:val="18"/>
        </w:rPr>
      </w:pPr>
    </w:p>
    <w:p w14:paraId="69C01E70" w14:textId="77777777" w:rsidR="001752FA" w:rsidRDefault="005D3332">
      <w:pPr>
        <w:ind w:firstLine="567"/>
        <w:jc w:val="both"/>
        <w:rPr>
          <w:rFonts w:ascii="Arial" w:hAnsi="Arial" w:cs="Arial"/>
          <w:sz w:val="18"/>
          <w:szCs w:val="18"/>
        </w:rPr>
      </w:pPr>
      <w:r>
        <w:rPr>
          <w:rFonts w:ascii="Arial" w:hAnsi="Arial" w:cs="Arial"/>
          <w:sz w:val="18"/>
          <w:szCs w:val="18"/>
        </w:rPr>
        <w:t>Właściwości mieszanki AC 16 W należy oceniać na podstawie badań pobranych próbek mieszanki mineralno-asfaltowej przed wbudowaniem (wbudowanie oznacza wykonanie warstwy asfaltowej). Wyjątkowo dopuszcza się badania próbek pobranych z wykonanej warstwy asfaltowej.</w:t>
      </w:r>
    </w:p>
    <w:p w14:paraId="0A5CA35B" w14:textId="77777777" w:rsidR="001752FA" w:rsidRDefault="001752FA">
      <w:pPr>
        <w:jc w:val="both"/>
        <w:rPr>
          <w:rFonts w:ascii="Arial" w:hAnsi="Arial" w:cs="Arial"/>
          <w:sz w:val="18"/>
          <w:szCs w:val="18"/>
        </w:rPr>
      </w:pPr>
    </w:p>
    <w:p w14:paraId="1EF3866B" w14:textId="77777777" w:rsidR="001752FA" w:rsidRDefault="005D3332">
      <w:p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6.2.1.2.1. Pomiar temperatury składników mieszanki</w:t>
      </w:r>
    </w:p>
    <w:p w14:paraId="7F787EB9"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W czasie produkcji mieszanki mineralno-asfaltowej należy w sposób ciągły kontrolować temperaturę składników mieszanki. </w:t>
      </w:r>
    </w:p>
    <w:p w14:paraId="4CA286D4"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Pomiar polega na odczytaniu wskazań odpowiednich termometrów zamontowanych na otaczarce. Wyniki powinny być zgodne z wymaganiami podanymi w punkcie 5.3.</w:t>
      </w:r>
    </w:p>
    <w:p w14:paraId="121B442B" w14:textId="77777777" w:rsidR="001752FA" w:rsidRDefault="001752FA">
      <w:pPr>
        <w:tabs>
          <w:tab w:val="left" w:pos="1008"/>
          <w:tab w:val="left" w:pos="7459"/>
        </w:tabs>
        <w:rPr>
          <w:rFonts w:ascii="Arial" w:hAnsi="Arial" w:cs="Arial"/>
          <w:snapToGrid w:val="0"/>
          <w:color w:val="000000"/>
          <w:sz w:val="18"/>
          <w:szCs w:val="18"/>
        </w:rPr>
      </w:pPr>
    </w:p>
    <w:p w14:paraId="3B12CE3C" w14:textId="77777777" w:rsidR="001752FA" w:rsidRDefault="005D3332">
      <w:p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6.2.1.2.2. Pomiar temperatury mieszanki</w:t>
      </w:r>
    </w:p>
    <w:p w14:paraId="5B7E9881"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Temperaturę mieszanki mineralno-asfaltowej należy mierzyć i rejestrować przy załadunku i w czasie wbudowania w nawierzchnię. Wyniki powinny być zgodne z wymaganiami podanymi w punkcie 5.3.</w:t>
      </w:r>
    </w:p>
    <w:p w14:paraId="22AD7C5C" w14:textId="77777777" w:rsidR="001752FA" w:rsidRDefault="001752FA">
      <w:pPr>
        <w:tabs>
          <w:tab w:val="left" w:pos="1008"/>
          <w:tab w:val="left" w:pos="7459"/>
        </w:tabs>
        <w:rPr>
          <w:rFonts w:ascii="Arial" w:hAnsi="Arial" w:cs="Arial"/>
          <w:snapToGrid w:val="0"/>
          <w:color w:val="000000"/>
          <w:sz w:val="18"/>
          <w:szCs w:val="18"/>
        </w:rPr>
      </w:pPr>
    </w:p>
    <w:p w14:paraId="748893AF" w14:textId="77777777" w:rsidR="001752FA" w:rsidRDefault="005D3332">
      <w:pPr>
        <w:pStyle w:val="Nagwek2"/>
        <w:keepNext w:val="0"/>
        <w:spacing w:before="0" w:after="60"/>
        <w:jc w:val="left"/>
        <w:rPr>
          <w:rFonts w:ascii="Arial" w:hAnsi="Arial" w:cs="Arial"/>
          <w:snapToGrid w:val="0"/>
          <w:color w:val="000000"/>
          <w:sz w:val="18"/>
          <w:szCs w:val="18"/>
        </w:rPr>
      </w:pPr>
      <w:r>
        <w:rPr>
          <w:rFonts w:ascii="Arial" w:hAnsi="Arial" w:cs="Arial"/>
          <w:snapToGrid w:val="0"/>
          <w:color w:val="000000"/>
          <w:sz w:val="18"/>
          <w:szCs w:val="18"/>
        </w:rPr>
        <w:t>6.2.1.2.3. Zawartość asfaltu</w:t>
      </w:r>
    </w:p>
    <w:p w14:paraId="36969E9B" w14:textId="77777777" w:rsidR="001752FA" w:rsidRDefault="005D3332">
      <w:pPr>
        <w:ind w:right="7" w:firstLine="567"/>
        <w:jc w:val="both"/>
        <w:rPr>
          <w:rFonts w:ascii="Arial" w:hAnsi="Arial" w:cs="Arial"/>
          <w:snapToGrid w:val="0"/>
          <w:color w:val="000000"/>
          <w:sz w:val="18"/>
          <w:szCs w:val="18"/>
        </w:rPr>
      </w:pPr>
      <w:r>
        <w:rPr>
          <w:rFonts w:ascii="Arial" w:hAnsi="Arial" w:cs="Arial"/>
          <w:snapToGrid w:val="0"/>
          <w:color w:val="000000"/>
          <w:sz w:val="18"/>
          <w:szCs w:val="18"/>
        </w:rPr>
        <w:t>Badanie polega na wykonaniu ekstrakcji asfaltu zgodnie PN-EN 12697-1 z każdej pobranej próbki mieszanki AC.</w:t>
      </w:r>
    </w:p>
    <w:p w14:paraId="4B4F67DD" w14:textId="77777777" w:rsidR="001752FA" w:rsidRDefault="005D3332">
      <w:pPr>
        <w:ind w:right="21" w:firstLine="567"/>
        <w:jc w:val="both"/>
        <w:rPr>
          <w:rFonts w:ascii="Arial" w:hAnsi="Arial" w:cs="Arial"/>
          <w:snapToGrid w:val="0"/>
          <w:color w:val="000000"/>
          <w:sz w:val="18"/>
          <w:szCs w:val="18"/>
        </w:rPr>
      </w:pPr>
      <w:r>
        <w:rPr>
          <w:rFonts w:ascii="Arial" w:hAnsi="Arial" w:cs="Arial"/>
          <w:snapToGrid w:val="0"/>
          <w:color w:val="000000"/>
          <w:sz w:val="18"/>
          <w:szCs w:val="18"/>
        </w:rPr>
        <w:t>Odchyłka w zakresie zawartości lepiszcza jest to wartość bezwzględna różnicy pomiędzy procentową zawartością lepiszcza rozpuszczalnego uzyskaną z badań laboratoryjnych a procentową zawartością lepiszcza rozpuszczalnego podaną w badaniu typu.</w:t>
      </w:r>
    </w:p>
    <w:p w14:paraId="40507508" w14:textId="77777777" w:rsidR="001752FA" w:rsidRDefault="005D3332">
      <w:pPr>
        <w:ind w:right="7" w:firstLine="567"/>
        <w:jc w:val="both"/>
        <w:rPr>
          <w:rFonts w:ascii="Arial" w:hAnsi="Arial" w:cs="Arial"/>
          <w:snapToGrid w:val="0"/>
          <w:color w:val="000000"/>
          <w:sz w:val="18"/>
          <w:szCs w:val="18"/>
        </w:rPr>
      </w:pPr>
      <w:r>
        <w:rPr>
          <w:rFonts w:ascii="Arial" w:hAnsi="Arial" w:cs="Arial"/>
          <w:snapToGrid w:val="0"/>
          <w:color w:val="000000"/>
          <w:sz w:val="18"/>
          <w:szCs w:val="18"/>
        </w:rPr>
        <w:t>Jakość wbudowanej mieszanki mineralno-asfaltowej należy ocenić na podstawie:</w:t>
      </w:r>
    </w:p>
    <w:p w14:paraId="69A69563" w14:textId="77777777" w:rsidR="001752FA" w:rsidRDefault="005D3332">
      <w:pPr>
        <w:pStyle w:val="Akapitzlist"/>
        <w:numPr>
          <w:ilvl w:val="0"/>
          <w:numId w:val="31"/>
        </w:numPr>
        <w:ind w:left="284" w:right="7" w:hanging="284"/>
        <w:jc w:val="both"/>
        <w:rPr>
          <w:rFonts w:ascii="Arial" w:hAnsi="Arial" w:cs="Arial"/>
          <w:snapToGrid w:val="0"/>
          <w:color w:val="000000"/>
          <w:sz w:val="18"/>
          <w:szCs w:val="18"/>
        </w:rPr>
      </w:pPr>
      <w:r>
        <w:rPr>
          <w:rFonts w:ascii="Arial" w:hAnsi="Arial" w:cs="Arial"/>
          <w:snapToGrid w:val="0"/>
          <w:color w:val="000000"/>
          <w:sz w:val="18"/>
          <w:szCs w:val="18"/>
        </w:rPr>
        <w:t>wielkości odchyłki obliczonej dla wartości średniej (średnia arytmetyczna wszystkich wyników z całej drogi dla danego badania typu i danej warstwy asfaltowej) z dokładnością do 0,01 %,</w:t>
      </w:r>
    </w:p>
    <w:p w14:paraId="36BDDCDE" w14:textId="77777777" w:rsidR="001752FA" w:rsidRDefault="005D3332">
      <w:pPr>
        <w:pStyle w:val="Akapitzlist"/>
        <w:numPr>
          <w:ilvl w:val="0"/>
          <w:numId w:val="31"/>
        </w:numPr>
        <w:ind w:left="284" w:right="7" w:hanging="284"/>
        <w:jc w:val="both"/>
        <w:rPr>
          <w:rFonts w:ascii="Arial" w:hAnsi="Arial" w:cs="Arial"/>
          <w:snapToGrid w:val="0"/>
          <w:color w:val="000000"/>
          <w:sz w:val="18"/>
          <w:szCs w:val="18"/>
        </w:rPr>
      </w:pPr>
      <w:r>
        <w:rPr>
          <w:rFonts w:ascii="Arial" w:hAnsi="Arial" w:cs="Arial"/>
          <w:snapToGrid w:val="0"/>
          <w:color w:val="000000"/>
          <w:sz w:val="18"/>
          <w:szCs w:val="18"/>
        </w:rPr>
        <w:t>wielkości odchyłki obliczonej dla pojedynczego wyniku (próbki) z dokładnością do 0,1 %.</w:t>
      </w:r>
    </w:p>
    <w:p w14:paraId="2CCF0BB0" w14:textId="77777777" w:rsidR="001752FA" w:rsidRDefault="005D3332">
      <w:pPr>
        <w:ind w:right="21" w:firstLine="567"/>
        <w:jc w:val="both"/>
        <w:rPr>
          <w:rFonts w:ascii="Arial" w:hAnsi="Arial" w:cs="Arial"/>
          <w:snapToGrid w:val="0"/>
          <w:color w:val="000000"/>
          <w:sz w:val="18"/>
          <w:szCs w:val="18"/>
        </w:rPr>
      </w:pPr>
      <w:r>
        <w:rPr>
          <w:rFonts w:ascii="Arial" w:hAnsi="Arial" w:cs="Arial"/>
          <w:snapToGrid w:val="0"/>
          <w:color w:val="000000"/>
          <w:sz w:val="18"/>
          <w:szCs w:val="18"/>
        </w:rPr>
        <w:t>Dopuszczalne odchyłki w zakresie zawartości lepiszcza w mieszance mineralno-asfaltowej dla pojedynczego wyniku oraz dla wartości średniej podano w Tablicy nr 8.</w:t>
      </w:r>
    </w:p>
    <w:p w14:paraId="1E002D04" w14:textId="77777777" w:rsidR="001752FA" w:rsidRDefault="001752FA">
      <w:pPr>
        <w:ind w:right="21"/>
        <w:jc w:val="both"/>
        <w:rPr>
          <w:rFonts w:ascii="Arial" w:hAnsi="Arial" w:cs="Arial"/>
          <w:snapToGrid w:val="0"/>
          <w:color w:val="000000"/>
          <w:sz w:val="18"/>
          <w:szCs w:val="18"/>
        </w:rPr>
      </w:pPr>
    </w:p>
    <w:p w14:paraId="07CBB046" w14:textId="77777777" w:rsidR="001752FA" w:rsidRDefault="005D3332">
      <w:pPr>
        <w:ind w:left="142" w:right="21" w:hanging="142"/>
        <w:jc w:val="both"/>
        <w:rPr>
          <w:rFonts w:ascii="Arial" w:hAnsi="Arial" w:cs="Arial"/>
          <w:snapToGrid w:val="0"/>
          <w:color w:val="000000"/>
          <w:sz w:val="18"/>
          <w:szCs w:val="18"/>
        </w:rPr>
      </w:pPr>
      <w:r>
        <w:rPr>
          <w:rFonts w:ascii="Arial" w:hAnsi="Arial" w:cs="Arial"/>
          <w:snapToGrid w:val="0"/>
          <w:color w:val="000000"/>
          <w:sz w:val="18"/>
          <w:szCs w:val="18"/>
        </w:rPr>
        <w:t>Tablica nr 8. Dopuszczalne odchyłki w zakresie zawartości lepiszcza w mieszance mineralno-asfaltowe AC 16 W.</w:t>
      </w:r>
    </w:p>
    <w:p w14:paraId="2C361B4A" w14:textId="77777777" w:rsidR="001752FA" w:rsidRDefault="001752FA">
      <w:pPr>
        <w:ind w:left="142" w:right="21" w:hanging="142"/>
        <w:jc w:val="both"/>
        <w:rPr>
          <w:rFonts w:ascii="Arial" w:hAnsi="Arial" w:cs="Arial"/>
          <w:snapToGrid w:val="0"/>
          <w:color w:val="000000"/>
          <w:sz w:val="18"/>
          <w:szCs w:val="18"/>
        </w:rPr>
      </w:pPr>
    </w:p>
    <w:tbl>
      <w:tblPr>
        <w:tblStyle w:val="Tabela-Siatka"/>
        <w:tblW w:w="0" w:type="auto"/>
        <w:tblLook w:val="04A0" w:firstRow="1" w:lastRow="0" w:firstColumn="1" w:lastColumn="0" w:noHBand="0" w:noVBand="1"/>
      </w:tblPr>
      <w:tblGrid>
        <w:gridCol w:w="4531"/>
        <w:gridCol w:w="1556"/>
        <w:gridCol w:w="2130"/>
      </w:tblGrid>
      <w:tr w:rsidR="001752FA" w14:paraId="5FA36B6E" w14:textId="77777777">
        <w:tc>
          <w:tcPr>
            <w:tcW w:w="4531" w:type="dxa"/>
            <w:vMerge w:val="restart"/>
          </w:tcPr>
          <w:p w14:paraId="32C19FA7" w14:textId="77777777" w:rsidR="001752FA" w:rsidRDefault="001752FA">
            <w:pPr>
              <w:ind w:right="21"/>
              <w:jc w:val="center"/>
              <w:rPr>
                <w:rFonts w:ascii="Arial" w:hAnsi="Arial" w:cs="Arial"/>
                <w:snapToGrid w:val="0"/>
                <w:color w:val="000000"/>
                <w:sz w:val="18"/>
                <w:szCs w:val="18"/>
              </w:rPr>
            </w:pPr>
          </w:p>
          <w:p w14:paraId="4916A53B" w14:textId="77777777" w:rsidR="001752FA" w:rsidRDefault="005D3332">
            <w:pPr>
              <w:ind w:right="21"/>
              <w:jc w:val="center"/>
              <w:rPr>
                <w:rFonts w:ascii="Arial" w:hAnsi="Arial" w:cs="Arial"/>
                <w:snapToGrid w:val="0"/>
                <w:color w:val="000000"/>
                <w:sz w:val="18"/>
                <w:szCs w:val="18"/>
              </w:rPr>
            </w:pPr>
            <w:r>
              <w:rPr>
                <w:rFonts w:ascii="Arial" w:hAnsi="Arial" w:cs="Arial"/>
                <w:snapToGrid w:val="0"/>
                <w:color w:val="000000"/>
                <w:sz w:val="18"/>
                <w:szCs w:val="18"/>
              </w:rPr>
              <w:t>Oceniany parametr</w:t>
            </w:r>
          </w:p>
        </w:tc>
        <w:tc>
          <w:tcPr>
            <w:tcW w:w="3686" w:type="dxa"/>
            <w:gridSpan w:val="2"/>
          </w:tcPr>
          <w:p w14:paraId="04CDA0EE" w14:textId="77777777" w:rsidR="001752FA" w:rsidRDefault="005D3332">
            <w:pPr>
              <w:ind w:right="21"/>
              <w:jc w:val="center"/>
              <w:rPr>
                <w:rFonts w:ascii="Arial" w:hAnsi="Arial" w:cs="Arial"/>
                <w:snapToGrid w:val="0"/>
                <w:color w:val="000000"/>
                <w:sz w:val="18"/>
                <w:szCs w:val="18"/>
              </w:rPr>
            </w:pPr>
            <w:r>
              <w:rPr>
                <w:rFonts w:ascii="Arial" w:hAnsi="Arial" w:cs="Arial"/>
                <w:snapToGrid w:val="0"/>
                <w:color w:val="000000"/>
                <w:sz w:val="18"/>
                <w:szCs w:val="18"/>
              </w:rPr>
              <w:t>Dopuszczalna odchyłka [%]</w:t>
            </w:r>
          </w:p>
        </w:tc>
      </w:tr>
      <w:tr w:rsidR="001752FA" w14:paraId="4D49E37E" w14:textId="77777777">
        <w:tc>
          <w:tcPr>
            <w:tcW w:w="4531" w:type="dxa"/>
            <w:vMerge/>
          </w:tcPr>
          <w:p w14:paraId="1B5D31CE" w14:textId="77777777" w:rsidR="001752FA" w:rsidRDefault="001752FA">
            <w:pPr>
              <w:ind w:right="21"/>
              <w:jc w:val="center"/>
              <w:rPr>
                <w:rFonts w:ascii="Arial" w:hAnsi="Arial" w:cs="Arial"/>
                <w:snapToGrid w:val="0"/>
                <w:color w:val="000000"/>
                <w:sz w:val="18"/>
                <w:szCs w:val="18"/>
              </w:rPr>
            </w:pPr>
          </w:p>
        </w:tc>
        <w:tc>
          <w:tcPr>
            <w:tcW w:w="1556" w:type="dxa"/>
          </w:tcPr>
          <w:p w14:paraId="614C7351" w14:textId="77777777" w:rsidR="001752FA" w:rsidRDefault="005D3332">
            <w:pPr>
              <w:ind w:right="21"/>
              <w:jc w:val="center"/>
              <w:rPr>
                <w:rFonts w:ascii="Arial" w:hAnsi="Arial" w:cs="Arial"/>
                <w:snapToGrid w:val="0"/>
                <w:color w:val="000000"/>
                <w:sz w:val="18"/>
                <w:szCs w:val="18"/>
              </w:rPr>
            </w:pPr>
            <w:r>
              <w:rPr>
                <w:rFonts w:ascii="Arial" w:hAnsi="Arial" w:cs="Arial"/>
                <w:snapToGrid w:val="0"/>
                <w:color w:val="000000"/>
                <w:sz w:val="18"/>
                <w:szCs w:val="18"/>
              </w:rPr>
              <w:t>Dla pojedynczego wyniku</w:t>
            </w:r>
          </w:p>
        </w:tc>
        <w:tc>
          <w:tcPr>
            <w:tcW w:w="2130" w:type="dxa"/>
          </w:tcPr>
          <w:p w14:paraId="4CF0CF34" w14:textId="77777777" w:rsidR="001752FA" w:rsidRDefault="005D3332">
            <w:pPr>
              <w:ind w:right="21"/>
              <w:jc w:val="center"/>
              <w:rPr>
                <w:rFonts w:ascii="Arial" w:hAnsi="Arial" w:cs="Arial"/>
                <w:snapToGrid w:val="0"/>
                <w:color w:val="000000"/>
                <w:sz w:val="18"/>
                <w:szCs w:val="18"/>
              </w:rPr>
            </w:pPr>
            <w:r>
              <w:rPr>
                <w:rFonts w:ascii="Arial" w:hAnsi="Arial" w:cs="Arial"/>
                <w:snapToGrid w:val="0"/>
                <w:color w:val="000000"/>
                <w:sz w:val="18"/>
                <w:szCs w:val="18"/>
              </w:rPr>
              <w:t>Dla wartości średniej</w:t>
            </w:r>
          </w:p>
        </w:tc>
      </w:tr>
      <w:tr w:rsidR="001752FA" w14:paraId="5CEDC04C" w14:textId="77777777">
        <w:trPr>
          <w:trHeight w:val="248"/>
        </w:trPr>
        <w:tc>
          <w:tcPr>
            <w:tcW w:w="4531" w:type="dxa"/>
            <w:vAlign w:val="center"/>
          </w:tcPr>
          <w:p w14:paraId="26A93E4E" w14:textId="77777777" w:rsidR="001752FA" w:rsidRDefault="005D3332">
            <w:pPr>
              <w:ind w:left="142" w:right="69" w:hanging="142"/>
              <w:jc w:val="both"/>
              <w:rPr>
                <w:rFonts w:ascii="Arial" w:hAnsi="Arial" w:cs="Arial"/>
                <w:snapToGrid w:val="0"/>
                <w:color w:val="000000"/>
                <w:sz w:val="18"/>
                <w:szCs w:val="18"/>
              </w:rPr>
            </w:pPr>
            <w:r>
              <w:rPr>
                <w:rFonts w:ascii="Arial" w:hAnsi="Arial" w:cs="Arial"/>
                <w:snapToGrid w:val="0"/>
                <w:color w:val="000000"/>
                <w:sz w:val="18"/>
                <w:szCs w:val="18"/>
              </w:rPr>
              <w:t>Zawartość lepiszcza rozpuszczalnego S - niedomiar</w:t>
            </w:r>
          </w:p>
        </w:tc>
        <w:tc>
          <w:tcPr>
            <w:tcW w:w="1556" w:type="dxa"/>
            <w:vAlign w:val="center"/>
          </w:tcPr>
          <w:p w14:paraId="45C7EE88" w14:textId="77777777" w:rsidR="001752FA" w:rsidRDefault="005D3332">
            <w:pPr>
              <w:ind w:right="21"/>
              <w:jc w:val="center"/>
              <w:rPr>
                <w:rFonts w:ascii="Arial" w:hAnsi="Arial" w:cs="Arial"/>
                <w:snapToGrid w:val="0"/>
                <w:color w:val="000000"/>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0,3</w:t>
            </w:r>
          </w:p>
        </w:tc>
        <w:tc>
          <w:tcPr>
            <w:tcW w:w="2130" w:type="dxa"/>
            <w:vAlign w:val="center"/>
          </w:tcPr>
          <w:p w14:paraId="2216BA17" w14:textId="77777777" w:rsidR="001752FA" w:rsidRDefault="005D3332">
            <w:pPr>
              <w:ind w:right="21"/>
              <w:jc w:val="center"/>
              <w:rPr>
                <w:rFonts w:ascii="Arial" w:hAnsi="Arial" w:cs="Arial"/>
                <w:snapToGrid w:val="0"/>
                <w:color w:val="000000"/>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0,20</w:t>
            </w:r>
          </w:p>
        </w:tc>
      </w:tr>
      <w:tr w:rsidR="001752FA" w14:paraId="6D7D2749" w14:textId="77777777">
        <w:trPr>
          <w:trHeight w:val="280"/>
        </w:trPr>
        <w:tc>
          <w:tcPr>
            <w:tcW w:w="4531" w:type="dxa"/>
            <w:vAlign w:val="center"/>
          </w:tcPr>
          <w:p w14:paraId="27F70970" w14:textId="77777777" w:rsidR="001752FA" w:rsidRDefault="005D3332">
            <w:pPr>
              <w:ind w:left="142" w:right="69" w:hanging="142"/>
              <w:jc w:val="both"/>
              <w:rPr>
                <w:rFonts w:ascii="Arial" w:hAnsi="Arial" w:cs="Arial"/>
                <w:snapToGrid w:val="0"/>
                <w:color w:val="000000"/>
                <w:sz w:val="18"/>
                <w:szCs w:val="18"/>
              </w:rPr>
            </w:pPr>
            <w:r>
              <w:rPr>
                <w:rFonts w:ascii="Arial" w:hAnsi="Arial" w:cs="Arial"/>
                <w:snapToGrid w:val="0"/>
                <w:color w:val="000000"/>
                <w:sz w:val="18"/>
                <w:szCs w:val="18"/>
              </w:rPr>
              <w:t>Zawartość lepiszcza rozpuszczalnego S - nadmiar</w:t>
            </w:r>
          </w:p>
        </w:tc>
        <w:tc>
          <w:tcPr>
            <w:tcW w:w="1556" w:type="dxa"/>
            <w:vAlign w:val="center"/>
          </w:tcPr>
          <w:p w14:paraId="4B31E1C2" w14:textId="77777777" w:rsidR="001752FA" w:rsidRDefault="005D3332">
            <w:pPr>
              <w:ind w:right="21"/>
              <w:jc w:val="center"/>
              <w:rPr>
                <w:rFonts w:ascii="Arial" w:hAnsi="Arial" w:cs="Arial"/>
                <w:snapToGrid w:val="0"/>
                <w:color w:val="000000"/>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0,3</w:t>
            </w:r>
          </w:p>
        </w:tc>
        <w:tc>
          <w:tcPr>
            <w:tcW w:w="2130" w:type="dxa"/>
            <w:vAlign w:val="center"/>
          </w:tcPr>
          <w:p w14:paraId="53AEA1AC" w14:textId="77777777" w:rsidR="001752FA" w:rsidRDefault="005D3332">
            <w:pPr>
              <w:ind w:right="21"/>
              <w:jc w:val="center"/>
              <w:rPr>
                <w:rFonts w:ascii="Arial" w:hAnsi="Arial" w:cs="Arial"/>
                <w:snapToGrid w:val="0"/>
                <w:color w:val="000000"/>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0,20</w:t>
            </w:r>
          </w:p>
        </w:tc>
      </w:tr>
    </w:tbl>
    <w:p w14:paraId="7559199F" w14:textId="77777777" w:rsidR="001752FA" w:rsidRDefault="001752FA">
      <w:pPr>
        <w:ind w:right="21"/>
        <w:jc w:val="both"/>
        <w:rPr>
          <w:rFonts w:ascii="Arial" w:hAnsi="Arial" w:cs="Arial"/>
          <w:snapToGrid w:val="0"/>
          <w:color w:val="000000"/>
          <w:sz w:val="18"/>
          <w:szCs w:val="18"/>
        </w:rPr>
      </w:pPr>
    </w:p>
    <w:p w14:paraId="7638DD92" w14:textId="77777777" w:rsidR="001752FA" w:rsidRDefault="005D3332">
      <w:pPr>
        <w:ind w:right="21"/>
        <w:jc w:val="both"/>
        <w:rPr>
          <w:rFonts w:ascii="Arial" w:hAnsi="Arial" w:cs="Arial"/>
          <w:snapToGrid w:val="0"/>
          <w:color w:val="000000"/>
          <w:sz w:val="18"/>
          <w:szCs w:val="18"/>
        </w:rPr>
      </w:pPr>
      <w:r>
        <w:rPr>
          <w:rFonts w:ascii="Arial" w:hAnsi="Arial" w:cs="Arial"/>
          <w:snapToGrid w:val="0"/>
          <w:color w:val="000000"/>
          <w:sz w:val="18"/>
          <w:szCs w:val="18"/>
        </w:rPr>
        <w:t>Wyżej wymienione kryteria należy stosować jednocześnie.</w:t>
      </w:r>
    </w:p>
    <w:p w14:paraId="7E993122" w14:textId="77777777" w:rsidR="001752FA" w:rsidRDefault="001752FA">
      <w:pPr>
        <w:ind w:right="21"/>
        <w:jc w:val="both"/>
        <w:rPr>
          <w:rFonts w:ascii="Arial" w:hAnsi="Arial" w:cs="Arial"/>
          <w:snapToGrid w:val="0"/>
          <w:color w:val="000000"/>
          <w:sz w:val="18"/>
          <w:szCs w:val="18"/>
        </w:rPr>
      </w:pPr>
    </w:p>
    <w:p w14:paraId="55FED25F" w14:textId="77777777" w:rsidR="001752FA" w:rsidRDefault="005D3332">
      <w:pPr>
        <w:pStyle w:val="Nagwek2"/>
        <w:spacing w:before="0" w:after="60"/>
        <w:rPr>
          <w:rFonts w:ascii="Arial" w:hAnsi="Arial" w:cs="Arial"/>
          <w:snapToGrid w:val="0"/>
          <w:color w:val="000000"/>
          <w:sz w:val="18"/>
          <w:szCs w:val="18"/>
        </w:rPr>
      </w:pPr>
      <w:r>
        <w:rPr>
          <w:rFonts w:ascii="Arial" w:hAnsi="Arial" w:cs="Arial"/>
          <w:snapToGrid w:val="0"/>
          <w:color w:val="000000"/>
          <w:sz w:val="18"/>
          <w:szCs w:val="18"/>
        </w:rPr>
        <w:t>6.2.1.2.4. Uziarnienie mieszanki mineralnej</w:t>
      </w:r>
    </w:p>
    <w:p w14:paraId="2BD96B71" w14:textId="77777777" w:rsidR="001752FA" w:rsidRDefault="005D3332">
      <w:pPr>
        <w:ind w:right="7" w:firstLine="567"/>
        <w:jc w:val="both"/>
        <w:rPr>
          <w:rFonts w:ascii="Arial" w:hAnsi="Arial" w:cs="Arial"/>
          <w:snapToGrid w:val="0"/>
          <w:color w:val="000000"/>
          <w:sz w:val="18"/>
          <w:szCs w:val="18"/>
        </w:rPr>
      </w:pPr>
      <w:r>
        <w:rPr>
          <w:rFonts w:ascii="Arial" w:hAnsi="Arial" w:cs="Arial"/>
          <w:snapToGrid w:val="0"/>
          <w:color w:val="000000"/>
          <w:sz w:val="18"/>
          <w:szCs w:val="18"/>
        </w:rPr>
        <w:t>Po wykonaniu ekstrakcji lepiszcza należy przeprowadzić kontrolę uziarnienia wyekstrahowanej mieszanki mineralnej zgodnie z PN-EN 12697-2.</w:t>
      </w:r>
    </w:p>
    <w:p w14:paraId="4EFB9B3A" w14:textId="77777777" w:rsidR="001752FA" w:rsidRDefault="005D3332">
      <w:pPr>
        <w:ind w:right="21" w:firstLine="567"/>
        <w:jc w:val="both"/>
        <w:rPr>
          <w:rFonts w:ascii="Arial" w:hAnsi="Arial" w:cs="Arial"/>
          <w:snapToGrid w:val="0"/>
          <w:color w:val="000000"/>
          <w:sz w:val="18"/>
          <w:szCs w:val="18"/>
        </w:rPr>
      </w:pPr>
      <w:r>
        <w:rPr>
          <w:rFonts w:ascii="Arial" w:hAnsi="Arial" w:cs="Arial"/>
          <w:snapToGrid w:val="0"/>
          <w:color w:val="000000"/>
          <w:sz w:val="18"/>
          <w:szCs w:val="18"/>
        </w:rPr>
        <w:t>Odchyłka w zakresie uziarnienia jest to wartość bezwzględna różnicy pomiędzy procentową zawartością ziaren w wyekstrahowanej mieszance mineralnej uzyskaną z badań laboratoryjnych, a procentową zawartością ziaren w mieszance mineralnej podaną w badaniu typu.</w:t>
      </w:r>
    </w:p>
    <w:p w14:paraId="257EDD5C" w14:textId="77777777" w:rsidR="001752FA" w:rsidRDefault="005D3332">
      <w:pPr>
        <w:ind w:firstLine="567"/>
        <w:rPr>
          <w:rFonts w:ascii="Arial" w:hAnsi="Arial" w:cs="Arial"/>
          <w:snapToGrid w:val="0"/>
          <w:color w:val="000000"/>
          <w:sz w:val="18"/>
          <w:szCs w:val="18"/>
        </w:rPr>
      </w:pPr>
      <w:r>
        <w:rPr>
          <w:rFonts w:ascii="Arial" w:hAnsi="Arial" w:cs="Arial"/>
          <w:snapToGrid w:val="0"/>
          <w:color w:val="000000"/>
          <w:sz w:val="18"/>
          <w:szCs w:val="18"/>
        </w:rPr>
        <w:t>Jakość mieszanki mineralnej należy ocenić na podstawie:</w:t>
      </w:r>
    </w:p>
    <w:p w14:paraId="0EFECB5F" w14:textId="77777777" w:rsidR="001752FA" w:rsidRDefault="005D3332">
      <w:pPr>
        <w:pStyle w:val="Akapitzlist"/>
        <w:numPr>
          <w:ilvl w:val="0"/>
          <w:numId w:val="32"/>
        </w:numPr>
        <w:ind w:left="284" w:right="7" w:hanging="284"/>
        <w:jc w:val="both"/>
        <w:rPr>
          <w:rFonts w:ascii="Arial" w:hAnsi="Arial" w:cs="Arial"/>
          <w:snapToGrid w:val="0"/>
          <w:color w:val="000000"/>
          <w:sz w:val="18"/>
          <w:szCs w:val="18"/>
        </w:rPr>
      </w:pPr>
      <w:r>
        <w:rPr>
          <w:rFonts w:ascii="Arial" w:hAnsi="Arial" w:cs="Arial"/>
          <w:snapToGrid w:val="0"/>
          <w:color w:val="000000"/>
          <w:sz w:val="18"/>
          <w:szCs w:val="18"/>
        </w:rPr>
        <w:t>wielkości odchyłki obliczonej dla wartości średniej (średnia arytmetyczna wszystkich wyników z całej drogi dla danego typu MMA i danej warstwy asfaltowej) z dokładnością do 0,1%</w:t>
      </w:r>
    </w:p>
    <w:p w14:paraId="5FCCB0C9" w14:textId="77777777" w:rsidR="001752FA" w:rsidRDefault="005D3332">
      <w:pPr>
        <w:pStyle w:val="Akapitzlist"/>
        <w:numPr>
          <w:ilvl w:val="0"/>
          <w:numId w:val="32"/>
        </w:numPr>
        <w:ind w:left="284" w:right="7" w:hanging="284"/>
        <w:jc w:val="both"/>
        <w:rPr>
          <w:rFonts w:ascii="Arial" w:hAnsi="Arial" w:cs="Arial"/>
          <w:snapToGrid w:val="0"/>
          <w:color w:val="000000"/>
          <w:sz w:val="18"/>
          <w:szCs w:val="18"/>
        </w:rPr>
      </w:pPr>
      <w:r>
        <w:rPr>
          <w:rFonts w:ascii="Arial" w:hAnsi="Arial" w:cs="Arial"/>
          <w:snapToGrid w:val="0"/>
          <w:color w:val="000000"/>
          <w:sz w:val="18"/>
          <w:szCs w:val="18"/>
        </w:rPr>
        <w:t>wielkości odchyłki obliczonej dla pojedynczego wyniku (próbki) z dokładnością do 0,1 % dla sita #0,063mm i z dokładnością do 1 % dla pozostałych sit.</w:t>
      </w:r>
    </w:p>
    <w:p w14:paraId="4AA6EE7A" w14:textId="77777777" w:rsidR="001752FA" w:rsidRDefault="005D3332">
      <w:pPr>
        <w:ind w:right="21" w:firstLine="567"/>
        <w:jc w:val="both"/>
        <w:rPr>
          <w:rFonts w:ascii="Arial" w:hAnsi="Arial" w:cs="Arial"/>
          <w:snapToGrid w:val="0"/>
          <w:color w:val="000000"/>
          <w:sz w:val="18"/>
          <w:szCs w:val="18"/>
        </w:rPr>
      </w:pPr>
      <w:r>
        <w:rPr>
          <w:rFonts w:ascii="Arial" w:hAnsi="Arial" w:cs="Arial"/>
          <w:snapToGrid w:val="0"/>
          <w:color w:val="000000"/>
          <w:sz w:val="18"/>
          <w:szCs w:val="18"/>
        </w:rPr>
        <w:t>Wyżej wymienione kryteria należy stosować jednocześnie.</w:t>
      </w:r>
    </w:p>
    <w:p w14:paraId="0117A7E6" w14:textId="77777777" w:rsidR="001752FA" w:rsidRDefault="005D3332">
      <w:pPr>
        <w:ind w:right="21" w:firstLine="567"/>
        <w:jc w:val="both"/>
        <w:rPr>
          <w:rFonts w:ascii="Arial" w:hAnsi="Arial" w:cs="Arial"/>
          <w:snapToGrid w:val="0"/>
          <w:color w:val="000000"/>
          <w:sz w:val="18"/>
          <w:szCs w:val="18"/>
        </w:rPr>
      </w:pPr>
      <w:r>
        <w:rPr>
          <w:rFonts w:ascii="Arial" w:hAnsi="Arial" w:cs="Arial"/>
          <w:snapToGrid w:val="0"/>
          <w:color w:val="000000"/>
          <w:sz w:val="18"/>
          <w:szCs w:val="18"/>
        </w:rPr>
        <w:t>Dopuszczalne wartości odchyłek w zakresie składu mieszanki mineralnej dla pojedynczego wyniku oraz dla wartości średniej podano w Tablicy nr 9.</w:t>
      </w:r>
    </w:p>
    <w:p w14:paraId="0390D369" w14:textId="77777777" w:rsidR="001752FA" w:rsidRDefault="001752FA">
      <w:pPr>
        <w:ind w:right="21" w:firstLine="567"/>
        <w:jc w:val="both"/>
        <w:rPr>
          <w:rFonts w:ascii="Arial" w:hAnsi="Arial" w:cs="Arial"/>
          <w:snapToGrid w:val="0"/>
          <w:color w:val="000000"/>
          <w:sz w:val="18"/>
          <w:szCs w:val="18"/>
        </w:rPr>
      </w:pPr>
    </w:p>
    <w:p w14:paraId="660B271B" w14:textId="77777777" w:rsidR="001752FA" w:rsidRDefault="005D3332">
      <w:pPr>
        <w:ind w:right="21"/>
        <w:jc w:val="both"/>
        <w:rPr>
          <w:rFonts w:ascii="Arial" w:hAnsi="Arial" w:cs="Arial"/>
          <w:snapToGrid w:val="0"/>
          <w:color w:val="000000"/>
          <w:sz w:val="18"/>
          <w:szCs w:val="18"/>
        </w:rPr>
      </w:pPr>
      <w:r>
        <w:rPr>
          <w:rFonts w:ascii="Arial" w:hAnsi="Arial" w:cs="Arial"/>
          <w:snapToGrid w:val="0"/>
          <w:color w:val="000000"/>
          <w:sz w:val="18"/>
          <w:szCs w:val="18"/>
        </w:rPr>
        <w:br w:type="page"/>
      </w:r>
    </w:p>
    <w:p w14:paraId="54E8127A" w14:textId="77777777" w:rsidR="001752FA" w:rsidRDefault="005D3332">
      <w:pPr>
        <w:ind w:left="993" w:right="21" w:hanging="993"/>
        <w:jc w:val="both"/>
        <w:rPr>
          <w:rFonts w:ascii="Arial" w:hAnsi="Arial" w:cs="Arial"/>
          <w:snapToGrid w:val="0"/>
          <w:color w:val="000000"/>
          <w:sz w:val="18"/>
          <w:szCs w:val="18"/>
        </w:rPr>
      </w:pPr>
      <w:r>
        <w:rPr>
          <w:rFonts w:ascii="Arial" w:hAnsi="Arial" w:cs="Arial"/>
          <w:snapToGrid w:val="0"/>
          <w:color w:val="000000"/>
          <w:sz w:val="18"/>
          <w:szCs w:val="18"/>
        </w:rPr>
        <w:lastRenderedPageBreak/>
        <w:t>Tablica nr 9. Dopuszczalne wartości odchyłek w zakresie zawartości ziaren w mieszance mineralno-asfaltowej AC 16 W.</w:t>
      </w:r>
    </w:p>
    <w:p w14:paraId="6619C0D6" w14:textId="77777777" w:rsidR="001752FA" w:rsidRDefault="001752FA">
      <w:pPr>
        <w:ind w:right="21"/>
        <w:jc w:val="both"/>
        <w:rPr>
          <w:rFonts w:ascii="Arial" w:hAnsi="Arial" w:cs="Arial"/>
          <w:snapToGrid w:val="0"/>
          <w:color w:val="000000"/>
          <w:sz w:val="18"/>
          <w:szCs w:val="18"/>
        </w:rPr>
      </w:pPr>
    </w:p>
    <w:tbl>
      <w:tblPr>
        <w:tblW w:w="7592" w:type="dxa"/>
        <w:tblInd w:w="645" w:type="dxa"/>
        <w:tblLayout w:type="fixed"/>
        <w:tblCellMar>
          <w:top w:w="24" w:type="dxa"/>
          <w:left w:w="787" w:type="dxa"/>
          <w:right w:w="216" w:type="dxa"/>
        </w:tblCellMar>
        <w:tblLook w:val="04A0" w:firstRow="1" w:lastRow="0" w:firstColumn="1" w:lastColumn="0" w:noHBand="0" w:noVBand="1"/>
      </w:tblPr>
      <w:tblGrid>
        <w:gridCol w:w="3119"/>
        <w:gridCol w:w="2268"/>
        <w:gridCol w:w="2205"/>
      </w:tblGrid>
      <w:tr w:rsidR="001752FA" w14:paraId="66968D03" w14:textId="77777777">
        <w:trPr>
          <w:trHeight w:val="242"/>
        </w:trPr>
        <w:tc>
          <w:tcPr>
            <w:tcW w:w="3119"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14:paraId="0507CEE0" w14:textId="77777777" w:rsidR="001752FA" w:rsidRDefault="005D3332">
            <w:pPr>
              <w:ind w:left="-361" w:right="21" w:hanging="361"/>
              <w:jc w:val="center"/>
              <w:rPr>
                <w:rFonts w:ascii="Arial" w:hAnsi="Arial" w:cs="Arial"/>
                <w:snapToGrid w:val="0"/>
                <w:color w:val="000000"/>
                <w:sz w:val="18"/>
                <w:szCs w:val="18"/>
              </w:rPr>
            </w:pPr>
            <w:r>
              <w:rPr>
                <w:rFonts w:ascii="Arial" w:hAnsi="Arial" w:cs="Arial"/>
                <w:snapToGrid w:val="0"/>
                <w:color w:val="000000"/>
                <w:sz w:val="18"/>
                <w:szCs w:val="18"/>
              </w:rPr>
              <w:t>Oceniany parametr</w:t>
            </w:r>
          </w:p>
          <w:p w14:paraId="179827E4" w14:textId="77777777" w:rsidR="001752FA" w:rsidRDefault="005D3332">
            <w:pPr>
              <w:ind w:left="-361" w:right="21" w:hanging="361"/>
              <w:jc w:val="center"/>
              <w:rPr>
                <w:rFonts w:ascii="Arial" w:hAnsi="Arial" w:cs="Arial"/>
                <w:snapToGrid w:val="0"/>
                <w:color w:val="000000"/>
                <w:sz w:val="18"/>
                <w:szCs w:val="18"/>
              </w:rPr>
            </w:pPr>
            <w:r>
              <w:rPr>
                <w:rFonts w:ascii="Arial" w:hAnsi="Arial" w:cs="Arial"/>
                <w:snapToGrid w:val="0"/>
                <w:color w:val="000000"/>
                <w:sz w:val="18"/>
                <w:szCs w:val="18"/>
              </w:rPr>
              <w:t>— przechodzi przez sito #/mm</w:t>
            </w:r>
          </w:p>
        </w:tc>
        <w:tc>
          <w:tcPr>
            <w:tcW w:w="4473" w:type="dxa"/>
            <w:gridSpan w:val="2"/>
            <w:tcBorders>
              <w:top w:val="single" w:sz="2" w:space="0" w:color="000000"/>
              <w:left w:val="single" w:sz="2" w:space="0" w:color="000000"/>
              <w:bottom w:val="single" w:sz="2" w:space="0" w:color="000000"/>
              <w:right w:val="single" w:sz="2" w:space="0" w:color="000000"/>
            </w:tcBorders>
            <w:shd w:val="clear" w:color="auto" w:fill="auto"/>
          </w:tcPr>
          <w:p w14:paraId="433F185D" w14:textId="77777777" w:rsidR="001752FA" w:rsidRDefault="005D3332">
            <w:pPr>
              <w:ind w:left="919" w:right="21"/>
              <w:rPr>
                <w:rFonts w:ascii="Arial" w:hAnsi="Arial" w:cs="Arial"/>
                <w:snapToGrid w:val="0"/>
                <w:color w:val="000000"/>
                <w:sz w:val="18"/>
                <w:szCs w:val="18"/>
              </w:rPr>
            </w:pPr>
            <w:r>
              <w:rPr>
                <w:rFonts w:ascii="Arial" w:hAnsi="Arial" w:cs="Arial"/>
                <w:snapToGrid w:val="0"/>
                <w:color w:val="000000"/>
                <w:sz w:val="18"/>
                <w:szCs w:val="18"/>
              </w:rPr>
              <w:t>Dopuszczalna odchyłka [%]</w:t>
            </w:r>
          </w:p>
        </w:tc>
      </w:tr>
      <w:tr w:rsidR="001752FA" w14:paraId="155B2FE9" w14:textId="77777777">
        <w:trPr>
          <w:trHeight w:val="655"/>
        </w:trPr>
        <w:tc>
          <w:tcPr>
            <w:tcW w:w="3119" w:type="dxa"/>
            <w:vMerge/>
            <w:tcBorders>
              <w:top w:val="nil"/>
              <w:left w:val="single" w:sz="2" w:space="0" w:color="000000"/>
              <w:bottom w:val="single" w:sz="2" w:space="0" w:color="000000"/>
              <w:right w:val="single" w:sz="2" w:space="0" w:color="000000"/>
            </w:tcBorders>
            <w:shd w:val="clear" w:color="auto" w:fill="auto"/>
          </w:tcPr>
          <w:p w14:paraId="38AC9524" w14:textId="77777777" w:rsidR="001752FA" w:rsidRDefault="001752FA">
            <w:pPr>
              <w:ind w:right="21"/>
              <w:jc w:val="both"/>
              <w:rPr>
                <w:rFonts w:ascii="Arial" w:hAnsi="Arial" w:cs="Arial"/>
                <w:snapToGrid w:val="0"/>
                <w:color w:val="000000"/>
                <w:sz w:val="18"/>
                <w:szCs w:val="18"/>
              </w:rPr>
            </w:pPr>
          </w:p>
        </w:tc>
        <w:tc>
          <w:tcPr>
            <w:tcW w:w="2268" w:type="dxa"/>
            <w:tcBorders>
              <w:top w:val="single" w:sz="2" w:space="0" w:color="000000"/>
              <w:left w:val="single" w:sz="2" w:space="0" w:color="000000"/>
              <w:bottom w:val="single" w:sz="2" w:space="0" w:color="000000"/>
              <w:right w:val="single" w:sz="2" w:space="0" w:color="000000"/>
            </w:tcBorders>
            <w:shd w:val="clear" w:color="auto" w:fill="auto"/>
          </w:tcPr>
          <w:p w14:paraId="4FE252E1" w14:textId="77777777" w:rsidR="001752FA" w:rsidRDefault="005D3332">
            <w:pPr>
              <w:ind w:left="-503" w:right="21" w:hanging="169"/>
              <w:jc w:val="center"/>
              <w:rPr>
                <w:rFonts w:ascii="Arial" w:hAnsi="Arial" w:cs="Arial"/>
                <w:snapToGrid w:val="0"/>
                <w:color w:val="000000"/>
                <w:sz w:val="18"/>
                <w:szCs w:val="18"/>
              </w:rPr>
            </w:pPr>
            <w:r>
              <w:rPr>
                <w:rFonts w:ascii="Arial" w:hAnsi="Arial" w:cs="Arial"/>
                <w:snapToGrid w:val="0"/>
                <w:color w:val="000000"/>
                <w:sz w:val="18"/>
                <w:szCs w:val="18"/>
              </w:rPr>
              <w:t>Dla pojedynczego</w:t>
            </w:r>
          </w:p>
          <w:p w14:paraId="3892628C" w14:textId="77777777" w:rsidR="001752FA" w:rsidRDefault="005D3332">
            <w:pPr>
              <w:ind w:left="-503" w:right="21" w:hanging="169"/>
              <w:jc w:val="center"/>
              <w:rPr>
                <w:rFonts w:ascii="Arial" w:hAnsi="Arial" w:cs="Arial"/>
                <w:snapToGrid w:val="0"/>
                <w:color w:val="000000"/>
                <w:sz w:val="18"/>
                <w:szCs w:val="18"/>
              </w:rPr>
            </w:pPr>
            <w:r>
              <w:rPr>
                <w:rFonts w:ascii="Arial" w:hAnsi="Arial" w:cs="Arial"/>
                <w:snapToGrid w:val="0"/>
                <w:color w:val="000000"/>
                <w:sz w:val="18"/>
                <w:szCs w:val="18"/>
              </w:rPr>
              <w:t>wyniku</w:t>
            </w:r>
          </w:p>
        </w:tc>
        <w:tc>
          <w:tcPr>
            <w:tcW w:w="2205" w:type="dxa"/>
            <w:tcBorders>
              <w:top w:val="single" w:sz="2" w:space="0" w:color="000000"/>
              <w:left w:val="single" w:sz="2" w:space="0" w:color="000000"/>
              <w:bottom w:val="single" w:sz="2" w:space="0" w:color="000000"/>
              <w:right w:val="single" w:sz="2" w:space="0" w:color="000000"/>
            </w:tcBorders>
            <w:shd w:val="clear" w:color="auto" w:fill="auto"/>
          </w:tcPr>
          <w:p w14:paraId="62DB6269" w14:textId="77777777" w:rsidR="001752FA" w:rsidRDefault="005D3332">
            <w:pPr>
              <w:tabs>
                <w:tab w:val="left" w:pos="914"/>
              </w:tabs>
              <w:ind w:left="-362" w:right="21" w:hanging="141"/>
              <w:jc w:val="center"/>
              <w:rPr>
                <w:rFonts w:ascii="Arial" w:hAnsi="Arial" w:cs="Arial"/>
                <w:snapToGrid w:val="0"/>
                <w:color w:val="000000"/>
                <w:sz w:val="18"/>
                <w:szCs w:val="18"/>
              </w:rPr>
            </w:pPr>
            <w:r>
              <w:rPr>
                <w:rFonts w:ascii="Arial" w:hAnsi="Arial" w:cs="Arial"/>
                <w:snapToGrid w:val="0"/>
                <w:color w:val="000000"/>
                <w:sz w:val="18"/>
                <w:szCs w:val="18"/>
              </w:rPr>
              <w:t>Dla wartości średniej</w:t>
            </w:r>
          </w:p>
        </w:tc>
      </w:tr>
      <w:tr w:rsidR="001752FA" w14:paraId="56F40810" w14:textId="77777777">
        <w:trPr>
          <w:trHeight w:val="230"/>
        </w:trPr>
        <w:tc>
          <w:tcPr>
            <w:tcW w:w="3119" w:type="dxa"/>
            <w:tcBorders>
              <w:top w:val="single" w:sz="2" w:space="0" w:color="000000"/>
              <w:left w:val="single" w:sz="2" w:space="0" w:color="000000"/>
              <w:bottom w:val="single" w:sz="2" w:space="0" w:color="000000"/>
              <w:right w:val="single" w:sz="2" w:space="0" w:color="000000"/>
            </w:tcBorders>
            <w:shd w:val="clear" w:color="auto" w:fill="auto"/>
          </w:tcPr>
          <w:p w14:paraId="6649C859" w14:textId="77777777" w:rsidR="001752FA" w:rsidRDefault="005D3332">
            <w:pPr>
              <w:ind w:left="-503" w:right="21" w:hanging="645"/>
              <w:jc w:val="center"/>
              <w:rPr>
                <w:rFonts w:ascii="Arial" w:hAnsi="Arial" w:cs="Arial"/>
                <w:snapToGrid w:val="0"/>
                <w:color w:val="000000"/>
                <w:sz w:val="18"/>
                <w:szCs w:val="18"/>
              </w:rPr>
            </w:pPr>
            <w:r>
              <w:rPr>
                <w:rFonts w:ascii="Arial" w:hAnsi="Arial" w:cs="Arial"/>
                <w:snapToGrid w:val="0"/>
                <w:color w:val="000000"/>
                <w:sz w:val="18"/>
                <w:szCs w:val="18"/>
              </w:rPr>
              <w:t>0,063</w:t>
            </w:r>
          </w:p>
        </w:tc>
        <w:tc>
          <w:tcPr>
            <w:tcW w:w="2268" w:type="dxa"/>
            <w:tcBorders>
              <w:top w:val="single" w:sz="2" w:space="0" w:color="000000"/>
              <w:left w:val="single" w:sz="2" w:space="0" w:color="000000"/>
              <w:bottom w:val="single" w:sz="2" w:space="0" w:color="000000"/>
              <w:right w:val="single" w:sz="2" w:space="0" w:color="000000"/>
            </w:tcBorders>
            <w:shd w:val="clear" w:color="auto" w:fill="auto"/>
          </w:tcPr>
          <w:p w14:paraId="3797DBD8" w14:textId="77777777" w:rsidR="001752FA" w:rsidRDefault="005D3332">
            <w:pPr>
              <w:ind w:right="21"/>
              <w:jc w:val="both"/>
              <w:rPr>
                <w:rFonts w:ascii="Arial" w:hAnsi="Arial" w:cs="Arial"/>
                <w:snapToGrid w:val="0"/>
                <w:color w:val="000000"/>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3,0</w:t>
            </w:r>
          </w:p>
        </w:tc>
        <w:tc>
          <w:tcPr>
            <w:tcW w:w="2205" w:type="dxa"/>
            <w:tcBorders>
              <w:top w:val="single" w:sz="2" w:space="0" w:color="000000"/>
              <w:left w:val="single" w:sz="2" w:space="0" w:color="000000"/>
              <w:bottom w:val="single" w:sz="2" w:space="0" w:color="000000"/>
              <w:right w:val="single" w:sz="2" w:space="0" w:color="000000"/>
            </w:tcBorders>
            <w:shd w:val="clear" w:color="auto" w:fill="auto"/>
          </w:tcPr>
          <w:p w14:paraId="57D9BB51" w14:textId="77777777" w:rsidR="001752FA" w:rsidRDefault="005D3332">
            <w:pPr>
              <w:ind w:right="21"/>
              <w:jc w:val="both"/>
              <w:rPr>
                <w:rFonts w:ascii="Arial" w:hAnsi="Arial" w:cs="Arial"/>
                <w:snapToGrid w:val="0"/>
                <w:color w:val="000000"/>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1,5</w:t>
            </w:r>
          </w:p>
        </w:tc>
      </w:tr>
      <w:tr w:rsidR="001752FA" w14:paraId="671FAC1C" w14:textId="77777777">
        <w:trPr>
          <w:trHeight w:val="230"/>
        </w:trPr>
        <w:tc>
          <w:tcPr>
            <w:tcW w:w="3119" w:type="dxa"/>
            <w:tcBorders>
              <w:top w:val="single" w:sz="2" w:space="0" w:color="000000"/>
              <w:left w:val="single" w:sz="2" w:space="0" w:color="000000"/>
              <w:bottom w:val="single" w:sz="2" w:space="0" w:color="000000"/>
              <w:right w:val="single" w:sz="2" w:space="0" w:color="000000"/>
            </w:tcBorders>
            <w:shd w:val="clear" w:color="auto" w:fill="auto"/>
          </w:tcPr>
          <w:p w14:paraId="6AE62E65" w14:textId="77777777" w:rsidR="001752FA" w:rsidRDefault="005D3332">
            <w:pPr>
              <w:ind w:left="-503" w:right="21" w:hanging="645"/>
              <w:jc w:val="center"/>
              <w:rPr>
                <w:rFonts w:ascii="Arial" w:hAnsi="Arial" w:cs="Arial"/>
                <w:snapToGrid w:val="0"/>
                <w:color w:val="000000"/>
                <w:sz w:val="18"/>
                <w:szCs w:val="18"/>
              </w:rPr>
            </w:pPr>
            <w:r>
              <w:rPr>
                <w:rFonts w:ascii="Arial" w:hAnsi="Arial" w:cs="Arial"/>
                <w:snapToGrid w:val="0"/>
                <w:color w:val="000000"/>
                <w:sz w:val="18"/>
                <w:szCs w:val="18"/>
              </w:rPr>
              <w:t>0,125</w:t>
            </w:r>
          </w:p>
        </w:tc>
        <w:tc>
          <w:tcPr>
            <w:tcW w:w="2268" w:type="dxa"/>
            <w:tcBorders>
              <w:top w:val="single" w:sz="2" w:space="0" w:color="000000"/>
              <w:left w:val="single" w:sz="2" w:space="0" w:color="000000"/>
              <w:bottom w:val="single" w:sz="2" w:space="0" w:color="000000"/>
              <w:right w:val="single" w:sz="2" w:space="0" w:color="000000"/>
            </w:tcBorders>
            <w:shd w:val="clear" w:color="auto" w:fill="auto"/>
          </w:tcPr>
          <w:p w14:paraId="1B8EB7B4" w14:textId="77777777" w:rsidR="001752FA" w:rsidRDefault="005D3332">
            <w:pPr>
              <w:ind w:right="21"/>
              <w:jc w:val="both"/>
              <w:rPr>
                <w:rFonts w:ascii="Arial" w:hAnsi="Arial" w:cs="Arial"/>
                <w:snapToGrid w:val="0"/>
                <w:color w:val="000000"/>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5</w:t>
            </w:r>
          </w:p>
        </w:tc>
        <w:tc>
          <w:tcPr>
            <w:tcW w:w="2205" w:type="dxa"/>
            <w:tcBorders>
              <w:top w:val="single" w:sz="2" w:space="0" w:color="000000"/>
              <w:left w:val="single" w:sz="2" w:space="0" w:color="000000"/>
              <w:bottom w:val="single" w:sz="2" w:space="0" w:color="000000"/>
              <w:right w:val="single" w:sz="2" w:space="0" w:color="000000"/>
            </w:tcBorders>
            <w:shd w:val="clear" w:color="auto" w:fill="auto"/>
          </w:tcPr>
          <w:p w14:paraId="4D2A3427" w14:textId="77777777" w:rsidR="001752FA" w:rsidRDefault="005D3332">
            <w:pPr>
              <w:rPr>
                <w:rFonts w:ascii="Arial" w:hAnsi="Arial" w:cs="Arial"/>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2</w:t>
            </w:r>
          </w:p>
        </w:tc>
      </w:tr>
      <w:tr w:rsidR="001752FA" w14:paraId="1B10C230" w14:textId="77777777">
        <w:trPr>
          <w:trHeight w:val="230"/>
        </w:trPr>
        <w:tc>
          <w:tcPr>
            <w:tcW w:w="3119" w:type="dxa"/>
            <w:tcBorders>
              <w:top w:val="single" w:sz="2" w:space="0" w:color="000000"/>
              <w:left w:val="single" w:sz="2" w:space="0" w:color="000000"/>
              <w:bottom w:val="single" w:sz="2" w:space="0" w:color="000000"/>
              <w:right w:val="single" w:sz="2" w:space="0" w:color="000000"/>
            </w:tcBorders>
            <w:shd w:val="clear" w:color="auto" w:fill="auto"/>
          </w:tcPr>
          <w:p w14:paraId="451A963F" w14:textId="77777777" w:rsidR="001752FA" w:rsidRDefault="005D3332">
            <w:pPr>
              <w:ind w:left="-503" w:right="21" w:hanging="645"/>
              <w:jc w:val="center"/>
              <w:rPr>
                <w:rFonts w:ascii="Arial" w:hAnsi="Arial" w:cs="Arial"/>
                <w:snapToGrid w:val="0"/>
                <w:color w:val="000000"/>
                <w:sz w:val="18"/>
                <w:szCs w:val="18"/>
              </w:rPr>
            </w:pPr>
            <w:r>
              <w:rPr>
                <w:rFonts w:ascii="Arial" w:hAnsi="Arial" w:cs="Arial"/>
                <w:snapToGrid w:val="0"/>
                <w:color w:val="000000"/>
                <w:sz w:val="18"/>
                <w:szCs w:val="18"/>
              </w:rPr>
              <w:t>2</w:t>
            </w:r>
          </w:p>
        </w:tc>
        <w:tc>
          <w:tcPr>
            <w:tcW w:w="2268" w:type="dxa"/>
            <w:tcBorders>
              <w:top w:val="single" w:sz="2" w:space="0" w:color="000000"/>
              <w:left w:val="single" w:sz="2" w:space="0" w:color="000000"/>
              <w:bottom w:val="single" w:sz="2" w:space="0" w:color="000000"/>
              <w:right w:val="single" w:sz="2" w:space="0" w:color="000000"/>
            </w:tcBorders>
            <w:shd w:val="clear" w:color="auto" w:fill="auto"/>
          </w:tcPr>
          <w:p w14:paraId="2802D431" w14:textId="77777777" w:rsidR="001752FA" w:rsidRDefault="005D3332">
            <w:pPr>
              <w:ind w:right="21"/>
              <w:jc w:val="both"/>
              <w:rPr>
                <w:rFonts w:ascii="Arial" w:hAnsi="Arial" w:cs="Arial"/>
                <w:snapToGrid w:val="0"/>
                <w:color w:val="000000"/>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6</w:t>
            </w:r>
          </w:p>
        </w:tc>
        <w:tc>
          <w:tcPr>
            <w:tcW w:w="2205" w:type="dxa"/>
            <w:tcBorders>
              <w:top w:val="single" w:sz="2" w:space="0" w:color="000000"/>
              <w:left w:val="single" w:sz="2" w:space="0" w:color="000000"/>
              <w:bottom w:val="single" w:sz="2" w:space="0" w:color="000000"/>
              <w:right w:val="single" w:sz="2" w:space="0" w:color="000000"/>
            </w:tcBorders>
            <w:shd w:val="clear" w:color="auto" w:fill="auto"/>
          </w:tcPr>
          <w:p w14:paraId="0F932575" w14:textId="77777777" w:rsidR="001752FA" w:rsidRDefault="005D3332">
            <w:pPr>
              <w:rPr>
                <w:rFonts w:ascii="Arial" w:hAnsi="Arial" w:cs="Arial"/>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3</w:t>
            </w:r>
          </w:p>
        </w:tc>
      </w:tr>
      <w:tr w:rsidR="001752FA" w14:paraId="017A63E7" w14:textId="77777777">
        <w:trPr>
          <w:trHeight w:val="449"/>
        </w:trPr>
        <w:tc>
          <w:tcPr>
            <w:tcW w:w="3119" w:type="dxa"/>
            <w:tcBorders>
              <w:top w:val="single" w:sz="2" w:space="0" w:color="000000"/>
              <w:left w:val="single" w:sz="2" w:space="0" w:color="000000"/>
              <w:bottom w:val="single" w:sz="2" w:space="0" w:color="000000"/>
              <w:right w:val="single" w:sz="2" w:space="0" w:color="000000"/>
            </w:tcBorders>
            <w:shd w:val="clear" w:color="auto" w:fill="auto"/>
          </w:tcPr>
          <w:p w14:paraId="6CF66641" w14:textId="77777777" w:rsidR="001752FA" w:rsidRDefault="005D3332">
            <w:pPr>
              <w:ind w:left="-503" w:right="21" w:hanging="645"/>
              <w:jc w:val="center"/>
              <w:rPr>
                <w:rFonts w:ascii="Arial" w:hAnsi="Arial" w:cs="Arial"/>
                <w:snapToGrid w:val="0"/>
                <w:color w:val="000000"/>
                <w:sz w:val="18"/>
                <w:szCs w:val="18"/>
              </w:rPr>
            </w:pPr>
            <w:r>
              <w:rPr>
                <w:rFonts w:ascii="Arial" w:hAnsi="Arial" w:cs="Arial"/>
                <w:snapToGrid w:val="0"/>
                <w:color w:val="000000"/>
                <w:sz w:val="18"/>
                <w:szCs w:val="18"/>
              </w:rPr>
              <w:t>D/2 lub sito</w:t>
            </w:r>
          </w:p>
          <w:p w14:paraId="43BDBC01" w14:textId="77777777" w:rsidR="001752FA" w:rsidRDefault="005D3332">
            <w:pPr>
              <w:ind w:left="-503" w:right="21" w:hanging="645"/>
              <w:jc w:val="center"/>
              <w:rPr>
                <w:rFonts w:ascii="Arial" w:hAnsi="Arial" w:cs="Arial"/>
                <w:snapToGrid w:val="0"/>
                <w:color w:val="000000"/>
                <w:sz w:val="18"/>
                <w:szCs w:val="18"/>
              </w:rPr>
            </w:pPr>
            <w:r>
              <w:rPr>
                <w:rFonts w:ascii="Arial" w:hAnsi="Arial" w:cs="Arial"/>
                <w:snapToGrid w:val="0"/>
                <w:color w:val="000000"/>
                <w:sz w:val="18"/>
                <w:szCs w:val="18"/>
              </w:rPr>
              <w:t>charakterystyczne</w:t>
            </w:r>
          </w:p>
        </w:tc>
        <w:tc>
          <w:tcPr>
            <w:tcW w:w="2268" w:type="dxa"/>
            <w:tcBorders>
              <w:top w:val="single" w:sz="2" w:space="0" w:color="000000"/>
              <w:left w:val="single" w:sz="2" w:space="0" w:color="000000"/>
              <w:bottom w:val="single" w:sz="2" w:space="0" w:color="000000"/>
              <w:right w:val="single" w:sz="2" w:space="0" w:color="000000"/>
            </w:tcBorders>
            <w:shd w:val="clear" w:color="auto" w:fill="auto"/>
          </w:tcPr>
          <w:p w14:paraId="60E25DE2" w14:textId="77777777" w:rsidR="001752FA" w:rsidRDefault="005D3332">
            <w:pPr>
              <w:ind w:right="21"/>
              <w:rPr>
                <w:rFonts w:ascii="Arial" w:hAnsi="Arial" w:cs="Arial"/>
                <w:snapToGrid w:val="0"/>
                <w:color w:val="000000"/>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7</w:t>
            </w:r>
          </w:p>
        </w:tc>
        <w:tc>
          <w:tcPr>
            <w:tcW w:w="2205" w:type="dxa"/>
            <w:tcBorders>
              <w:top w:val="single" w:sz="2" w:space="0" w:color="000000"/>
              <w:left w:val="single" w:sz="2" w:space="0" w:color="000000"/>
              <w:bottom w:val="single" w:sz="2" w:space="0" w:color="000000"/>
              <w:right w:val="single" w:sz="2" w:space="0" w:color="000000"/>
            </w:tcBorders>
            <w:shd w:val="clear" w:color="auto" w:fill="auto"/>
          </w:tcPr>
          <w:p w14:paraId="67389A0A" w14:textId="77777777" w:rsidR="001752FA" w:rsidRDefault="005D3332">
            <w:pPr>
              <w:rPr>
                <w:rFonts w:ascii="Arial" w:hAnsi="Arial" w:cs="Arial"/>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4</w:t>
            </w:r>
          </w:p>
        </w:tc>
      </w:tr>
      <w:tr w:rsidR="001752FA" w14:paraId="7FB3A9FC" w14:textId="77777777">
        <w:trPr>
          <w:trHeight w:val="228"/>
        </w:trPr>
        <w:tc>
          <w:tcPr>
            <w:tcW w:w="3119" w:type="dxa"/>
            <w:tcBorders>
              <w:top w:val="single" w:sz="2" w:space="0" w:color="000000"/>
              <w:left w:val="single" w:sz="2" w:space="0" w:color="000000"/>
              <w:bottom w:val="single" w:sz="2" w:space="0" w:color="000000"/>
              <w:right w:val="single" w:sz="2" w:space="0" w:color="000000"/>
            </w:tcBorders>
            <w:shd w:val="clear" w:color="auto" w:fill="auto"/>
          </w:tcPr>
          <w:p w14:paraId="4F574878" w14:textId="77777777" w:rsidR="001752FA" w:rsidRDefault="005D3332">
            <w:pPr>
              <w:ind w:left="-503" w:right="21" w:hanging="645"/>
              <w:jc w:val="center"/>
              <w:rPr>
                <w:rFonts w:ascii="Arial" w:hAnsi="Arial" w:cs="Arial"/>
                <w:snapToGrid w:val="0"/>
                <w:color w:val="000000"/>
                <w:sz w:val="18"/>
                <w:szCs w:val="18"/>
              </w:rPr>
            </w:pPr>
            <w:r>
              <w:rPr>
                <w:rFonts w:ascii="Arial" w:hAnsi="Arial" w:cs="Arial"/>
                <w:snapToGrid w:val="0"/>
                <w:color w:val="000000"/>
                <w:sz w:val="18"/>
                <w:szCs w:val="18"/>
              </w:rPr>
              <w:t>D</w:t>
            </w:r>
          </w:p>
        </w:tc>
        <w:tc>
          <w:tcPr>
            <w:tcW w:w="2268" w:type="dxa"/>
            <w:tcBorders>
              <w:top w:val="single" w:sz="2" w:space="0" w:color="000000"/>
              <w:left w:val="single" w:sz="2" w:space="0" w:color="000000"/>
              <w:bottom w:val="single" w:sz="2" w:space="0" w:color="000000"/>
              <w:right w:val="single" w:sz="2" w:space="0" w:color="000000"/>
            </w:tcBorders>
            <w:shd w:val="clear" w:color="auto" w:fill="auto"/>
          </w:tcPr>
          <w:p w14:paraId="6283FC3C" w14:textId="77777777" w:rsidR="001752FA" w:rsidRDefault="005D3332">
            <w:pPr>
              <w:ind w:right="21"/>
              <w:jc w:val="both"/>
              <w:rPr>
                <w:rFonts w:ascii="Arial" w:hAnsi="Arial" w:cs="Arial"/>
                <w:snapToGrid w:val="0"/>
                <w:color w:val="000000"/>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8</w:t>
            </w:r>
          </w:p>
        </w:tc>
        <w:tc>
          <w:tcPr>
            <w:tcW w:w="2205" w:type="dxa"/>
            <w:tcBorders>
              <w:top w:val="single" w:sz="2" w:space="0" w:color="000000"/>
              <w:left w:val="single" w:sz="2" w:space="0" w:color="000000"/>
              <w:bottom w:val="single" w:sz="2" w:space="0" w:color="000000"/>
              <w:right w:val="single" w:sz="2" w:space="0" w:color="000000"/>
            </w:tcBorders>
            <w:shd w:val="clear" w:color="auto" w:fill="auto"/>
          </w:tcPr>
          <w:p w14:paraId="7C706A87" w14:textId="77777777" w:rsidR="001752FA" w:rsidRDefault="005D3332">
            <w:pPr>
              <w:rPr>
                <w:rFonts w:ascii="Arial" w:hAnsi="Arial" w:cs="Arial"/>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5</w:t>
            </w:r>
          </w:p>
        </w:tc>
      </w:tr>
    </w:tbl>
    <w:p w14:paraId="2A8D2CF2" w14:textId="77777777" w:rsidR="001752FA" w:rsidRDefault="001752FA">
      <w:pPr>
        <w:rPr>
          <w:rFonts w:ascii="Arial" w:hAnsi="Arial" w:cs="Arial"/>
          <w:sz w:val="18"/>
          <w:szCs w:val="18"/>
        </w:rPr>
      </w:pPr>
    </w:p>
    <w:p w14:paraId="05021842" w14:textId="77777777" w:rsidR="001752FA" w:rsidRDefault="005D3332">
      <w:p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6.2.1.2.5. Zawartość wolnych przestrzeni w mieszance AC 16 W</w:t>
      </w:r>
    </w:p>
    <w:p w14:paraId="3C69555F"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Zawartość wolnych przestrzeni w próbkach Marshalla z pobranej mieszanki mineralno-asfaltowej lub wyjątkowo z rozgrzanej próbki nawierzchni nie może przekroczyć wartości podanych w Tablicy 4.</w:t>
      </w:r>
    </w:p>
    <w:p w14:paraId="2FFCFC99" w14:textId="77777777" w:rsidR="001752FA" w:rsidRDefault="001752FA">
      <w:pPr>
        <w:tabs>
          <w:tab w:val="left" w:pos="1008"/>
          <w:tab w:val="left" w:pos="7459"/>
        </w:tabs>
        <w:rPr>
          <w:rFonts w:ascii="Arial" w:hAnsi="Arial" w:cs="Arial"/>
          <w:snapToGrid w:val="0"/>
          <w:color w:val="000000"/>
          <w:sz w:val="18"/>
          <w:szCs w:val="18"/>
        </w:rPr>
      </w:pPr>
    </w:p>
    <w:p w14:paraId="17734051" w14:textId="77777777" w:rsidR="001752FA" w:rsidRDefault="005D3332">
      <w:p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6.2.1.2.6. Pomiar grubości warstwy</w:t>
      </w:r>
    </w:p>
    <w:p w14:paraId="3B7728E3" w14:textId="77777777" w:rsidR="001752FA" w:rsidRDefault="005D3332">
      <w:pPr>
        <w:ind w:firstLine="567"/>
        <w:jc w:val="both"/>
        <w:rPr>
          <w:rFonts w:ascii="Arial" w:hAnsi="Arial" w:cs="Arial"/>
          <w:sz w:val="18"/>
          <w:szCs w:val="18"/>
        </w:rPr>
      </w:pPr>
      <w:r>
        <w:rPr>
          <w:rFonts w:ascii="Arial" w:hAnsi="Arial" w:cs="Arial"/>
          <w:sz w:val="18"/>
          <w:szCs w:val="18"/>
        </w:rPr>
        <w:t xml:space="preserve">Sprawdzenie grubości na etapie wbudowywania mieszanki (przed rozpoczęciem zagęszczania) należy wykonywać z częstotliwością co 25m na krawędzi każdej jezdni i w jej osi. </w:t>
      </w:r>
    </w:p>
    <w:p w14:paraId="65684E8D" w14:textId="77777777" w:rsidR="001752FA" w:rsidRDefault="005D3332">
      <w:pPr>
        <w:ind w:firstLine="567"/>
        <w:jc w:val="both"/>
        <w:rPr>
          <w:rFonts w:ascii="Arial" w:hAnsi="Arial" w:cs="Arial"/>
          <w:sz w:val="18"/>
          <w:szCs w:val="18"/>
        </w:rPr>
      </w:pPr>
      <w:r>
        <w:rPr>
          <w:rFonts w:ascii="Arial" w:hAnsi="Arial" w:cs="Arial"/>
          <w:sz w:val="18"/>
          <w:szCs w:val="18"/>
        </w:rPr>
        <w:t>Grubość wykonanej warstwy należy określać na podstawie próbek wyciętych z nawierzchni. Wymagana średnia grubość dla poszczególnych warstw asfaltowych oraz wymagana średnia grubość dla całego pakietu tych warstw powinna być zgodna z grubością przyjętą w projekcie konstrukcji nawierzchni.</w:t>
      </w:r>
    </w:p>
    <w:p w14:paraId="6D9A5900" w14:textId="77777777" w:rsidR="001752FA" w:rsidRDefault="005D3332">
      <w:pPr>
        <w:ind w:firstLine="567"/>
        <w:jc w:val="both"/>
        <w:rPr>
          <w:rFonts w:ascii="Arial" w:hAnsi="Arial" w:cs="Arial"/>
          <w:sz w:val="18"/>
          <w:szCs w:val="18"/>
        </w:rPr>
      </w:pPr>
      <w:r>
        <w:rPr>
          <w:rFonts w:ascii="Arial" w:hAnsi="Arial" w:cs="Arial"/>
          <w:sz w:val="18"/>
          <w:szCs w:val="18"/>
        </w:rPr>
        <w:t xml:space="preserve">Jedynie w przypadku pojedynczych wyników pomiarów grubości wbudowanej warstwy, dopuszcza się różnice w stosunku do grubości przyjętej w pakiecie konstrukcji nawierzchni nie więcej niż o 5% w przypadku warstwy ścieralnej i 10% w przypadku pozostałych warstw. </w:t>
      </w:r>
    </w:p>
    <w:p w14:paraId="555556C6" w14:textId="77777777" w:rsidR="001752FA" w:rsidRDefault="005D3332">
      <w:pPr>
        <w:ind w:firstLine="567"/>
        <w:jc w:val="both"/>
        <w:rPr>
          <w:rFonts w:ascii="Arial" w:hAnsi="Arial" w:cs="Arial"/>
          <w:sz w:val="18"/>
          <w:szCs w:val="18"/>
        </w:rPr>
      </w:pPr>
      <w:r>
        <w:rPr>
          <w:rFonts w:ascii="Arial" w:hAnsi="Arial" w:cs="Arial"/>
          <w:sz w:val="18"/>
          <w:szCs w:val="18"/>
        </w:rPr>
        <w:t>Maksymalne wartości różnicy grubości średniej i grubości dla pojedynczych pomiarów przedstawia Tablica 10.</w:t>
      </w:r>
    </w:p>
    <w:p w14:paraId="45EEDAD9" w14:textId="77777777" w:rsidR="001752FA" w:rsidRDefault="001752FA">
      <w:pPr>
        <w:jc w:val="both"/>
        <w:rPr>
          <w:rFonts w:ascii="Arial" w:hAnsi="Arial" w:cs="Arial"/>
          <w:sz w:val="18"/>
          <w:szCs w:val="18"/>
        </w:rPr>
      </w:pPr>
    </w:p>
    <w:p w14:paraId="774E8667" w14:textId="77777777" w:rsidR="001752FA" w:rsidRDefault="005D3332">
      <w:pPr>
        <w:jc w:val="both"/>
        <w:rPr>
          <w:rFonts w:ascii="Arial" w:hAnsi="Arial" w:cs="Arial"/>
          <w:sz w:val="18"/>
          <w:szCs w:val="18"/>
        </w:rPr>
      </w:pPr>
      <w:r>
        <w:rPr>
          <w:rFonts w:ascii="Arial" w:hAnsi="Arial" w:cs="Arial"/>
          <w:sz w:val="18"/>
          <w:szCs w:val="18"/>
        </w:rPr>
        <w:t>Tablica 10. Maksymalne wartości różnicy grubości.</w:t>
      </w:r>
    </w:p>
    <w:p w14:paraId="1A8719E0" w14:textId="77777777" w:rsidR="001752FA" w:rsidRDefault="001752FA">
      <w:pPr>
        <w:jc w:val="both"/>
        <w:rPr>
          <w:rFonts w:ascii="Arial" w:hAnsi="Arial" w:cs="Arial"/>
          <w:sz w:val="18"/>
          <w:szCs w:val="18"/>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2239"/>
        <w:gridCol w:w="1358"/>
        <w:gridCol w:w="1358"/>
        <w:gridCol w:w="1359"/>
      </w:tblGrid>
      <w:tr w:rsidR="001752FA" w14:paraId="51AEA673" w14:textId="77777777">
        <w:tc>
          <w:tcPr>
            <w:tcW w:w="2972" w:type="dxa"/>
            <w:tcBorders>
              <w:top w:val="single" w:sz="4" w:space="0" w:color="auto"/>
              <w:left w:val="single" w:sz="4" w:space="0" w:color="auto"/>
              <w:bottom w:val="single" w:sz="4" w:space="0" w:color="auto"/>
              <w:right w:val="single" w:sz="4" w:space="0" w:color="auto"/>
            </w:tcBorders>
            <w:shd w:val="clear" w:color="auto" w:fill="auto"/>
          </w:tcPr>
          <w:p w14:paraId="4BF874F9" w14:textId="77777777" w:rsidR="001752FA" w:rsidRDefault="001752FA">
            <w:pPr>
              <w:jc w:val="center"/>
              <w:rPr>
                <w:rFonts w:ascii="Arial" w:eastAsia="Calibri" w:hAnsi="Arial" w:cs="Arial"/>
                <w:sz w:val="18"/>
                <w:szCs w:val="18"/>
                <w:lang w:eastAsia="en-US"/>
              </w:rPr>
            </w:pPr>
          </w:p>
        </w:tc>
        <w:tc>
          <w:tcPr>
            <w:tcW w:w="2239" w:type="dxa"/>
            <w:tcBorders>
              <w:top w:val="single" w:sz="4" w:space="0" w:color="auto"/>
              <w:left w:val="single" w:sz="4" w:space="0" w:color="auto"/>
              <w:bottom w:val="single" w:sz="4" w:space="0" w:color="auto"/>
              <w:right w:val="single" w:sz="4" w:space="0" w:color="auto"/>
            </w:tcBorders>
            <w:shd w:val="clear" w:color="auto" w:fill="auto"/>
            <w:hideMark/>
          </w:tcPr>
          <w:p w14:paraId="15AC630E" w14:textId="77777777" w:rsidR="001752FA" w:rsidRDefault="005D3332">
            <w:pPr>
              <w:jc w:val="center"/>
              <w:rPr>
                <w:rFonts w:ascii="Arial" w:eastAsia="Calibri" w:hAnsi="Arial" w:cs="Arial"/>
                <w:sz w:val="18"/>
                <w:szCs w:val="18"/>
                <w:lang w:eastAsia="en-US"/>
              </w:rPr>
            </w:pPr>
            <w:r>
              <w:rPr>
                <w:rFonts w:ascii="Arial" w:eastAsia="Calibri" w:hAnsi="Arial" w:cs="Arial"/>
                <w:sz w:val="18"/>
                <w:szCs w:val="18"/>
                <w:lang w:eastAsia="en-US"/>
              </w:rPr>
              <w:t>Pakiet: warstwa ścieralna + wiążąca</w:t>
            </w:r>
          </w:p>
          <w:p w14:paraId="1160C776" w14:textId="77777777" w:rsidR="001752FA" w:rsidRDefault="005D3332">
            <w:pPr>
              <w:jc w:val="center"/>
              <w:rPr>
                <w:rFonts w:ascii="Arial" w:eastAsia="Calibri" w:hAnsi="Arial" w:cs="Arial"/>
                <w:sz w:val="18"/>
                <w:szCs w:val="18"/>
                <w:lang w:eastAsia="en-US"/>
              </w:rPr>
            </w:pPr>
            <w:r>
              <w:rPr>
                <w:rFonts w:ascii="Arial" w:eastAsia="Calibri" w:hAnsi="Arial" w:cs="Arial"/>
                <w:sz w:val="18"/>
                <w:szCs w:val="18"/>
                <w:lang w:eastAsia="en-US"/>
              </w:rPr>
              <w:t>+ podbudowa asfaltowa; razem</w:t>
            </w:r>
          </w:p>
        </w:tc>
        <w:tc>
          <w:tcPr>
            <w:tcW w:w="1358" w:type="dxa"/>
            <w:tcBorders>
              <w:top w:val="single" w:sz="4" w:space="0" w:color="auto"/>
              <w:left w:val="single" w:sz="4" w:space="0" w:color="auto"/>
              <w:bottom w:val="single" w:sz="4" w:space="0" w:color="auto"/>
              <w:right w:val="single" w:sz="4" w:space="0" w:color="auto"/>
            </w:tcBorders>
            <w:shd w:val="clear" w:color="auto" w:fill="auto"/>
            <w:hideMark/>
          </w:tcPr>
          <w:p w14:paraId="48D0B642" w14:textId="77777777" w:rsidR="001752FA" w:rsidRDefault="005D3332">
            <w:pPr>
              <w:jc w:val="center"/>
              <w:rPr>
                <w:rFonts w:ascii="Arial" w:eastAsia="Calibri" w:hAnsi="Arial" w:cs="Arial"/>
                <w:sz w:val="18"/>
                <w:szCs w:val="18"/>
                <w:lang w:eastAsia="en-US"/>
              </w:rPr>
            </w:pPr>
            <w:r>
              <w:rPr>
                <w:rFonts w:ascii="Arial" w:eastAsia="Calibri" w:hAnsi="Arial" w:cs="Arial"/>
                <w:sz w:val="18"/>
                <w:szCs w:val="18"/>
                <w:lang w:eastAsia="en-US"/>
              </w:rPr>
              <w:t>Warstwa ścieralna</w:t>
            </w:r>
          </w:p>
        </w:tc>
        <w:tc>
          <w:tcPr>
            <w:tcW w:w="1358" w:type="dxa"/>
            <w:tcBorders>
              <w:top w:val="single" w:sz="4" w:space="0" w:color="auto"/>
              <w:left w:val="single" w:sz="4" w:space="0" w:color="auto"/>
              <w:bottom w:val="single" w:sz="4" w:space="0" w:color="auto"/>
              <w:right w:val="single" w:sz="4" w:space="0" w:color="auto"/>
            </w:tcBorders>
            <w:shd w:val="clear" w:color="auto" w:fill="auto"/>
            <w:hideMark/>
          </w:tcPr>
          <w:p w14:paraId="09ECEB41" w14:textId="77777777" w:rsidR="001752FA" w:rsidRDefault="005D3332">
            <w:pPr>
              <w:jc w:val="center"/>
              <w:rPr>
                <w:rFonts w:ascii="Arial" w:eastAsia="Calibri" w:hAnsi="Arial" w:cs="Arial"/>
                <w:sz w:val="18"/>
                <w:szCs w:val="18"/>
                <w:lang w:eastAsia="en-US"/>
              </w:rPr>
            </w:pPr>
            <w:r>
              <w:rPr>
                <w:rFonts w:ascii="Arial" w:eastAsia="Calibri" w:hAnsi="Arial" w:cs="Arial"/>
                <w:sz w:val="18"/>
                <w:szCs w:val="18"/>
                <w:lang w:eastAsia="en-US"/>
              </w:rPr>
              <w:t>Warstwa wiążąca</w:t>
            </w:r>
          </w:p>
        </w:tc>
        <w:tc>
          <w:tcPr>
            <w:tcW w:w="1359" w:type="dxa"/>
            <w:tcBorders>
              <w:top w:val="single" w:sz="4" w:space="0" w:color="auto"/>
              <w:left w:val="single" w:sz="4" w:space="0" w:color="auto"/>
              <w:bottom w:val="single" w:sz="4" w:space="0" w:color="auto"/>
              <w:right w:val="single" w:sz="4" w:space="0" w:color="auto"/>
            </w:tcBorders>
            <w:shd w:val="clear" w:color="auto" w:fill="auto"/>
            <w:hideMark/>
          </w:tcPr>
          <w:p w14:paraId="6109D7F4" w14:textId="77777777" w:rsidR="001752FA" w:rsidRDefault="005D3332">
            <w:pPr>
              <w:jc w:val="center"/>
              <w:rPr>
                <w:rFonts w:ascii="Arial" w:eastAsia="Calibri" w:hAnsi="Arial" w:cs="Arial"/>
                <w:sz w:val="18"/>
                <w:szCs w:val="18"/>
                <w:lang w:eastAsia="en-US"/>
              </w:rPr>
            </w:pPr>
            <w:r>
              <w:rPr>
                <w:rFonts w:ascii="Arial" w:eastAsia="Calibri" w:hAnsi="Arial" w:cs="Arial"/>
                <w:sz w:val="18"/>
                <w:szCs w:val="18"/>
                <w:lang w:eastAsia="en-US"/>
              </w:rPr>
              <w:t>Warstwa podbudowy</w:t>
            </w:r>
          </w:p>
        </w:tc>
      </w:tr>
      <w:tr w:rsidR="001752FA" w14:paraId="60D5EF79" w14:textId="77777777">
        <w:tc>
          <w:tcPr>
            <w:tcW w:w="2972" w:type="dxa"/>
            <w:tcBorders>
              <w:top w:val="single" w:sz="4" w:space="0" w:color="auto"/>
              <w:left w:val="single" w:sz="4" w:space="0" w:color="auto"/>
              <w:bottom w:val="single" w:sz="4" w:space="0" w:color="auto"/>
              <w:right w:val="single" w:sz="4" w:space="0" w:color="auto"/>
            </w:tcBorders>
            <w:shd w:val="clear" w:color="auto" w:fill="auto"/>
            <w:hideMark/>
          </w:tcPr>
          <w:p w14:paraId="34345874" w14:textId="77777777" w:rsidR="001752FA" w:rsidRDefault="005D3332">
            <w:pPr>
              <w:rPr>
                <w:rFonts w:ascii="Arial" w:eastAsia="Calibri" w:hAnsi="Arial" w:cs="Arial"/>
                <w:sz w:val="18"/>
                <w:szCs w:val="18"/>
                <w:lang w:eastAsia="en-US"/>
              </w:rPr>
            </w:pPr>
            <w:r>
              <w:rPr>
                <w:rFonts w:ascii="Arial" w:eastAsia="Calibri" w:hAnsi="Arial" w:cs="Arial"/>
                <w:sz w:val="18"/>
                <w:szCs w:val="18"/>
                <w:lang w:eastAsia="en-US"/>
              </w:rPr>
              <w:t>Dla wartości średniej grubości wbudowanej warstwy z całego odcinka budowy</w:t>
            </w:r>
          </w:p>
        </w:tc>
        <w:tc>
          <w:tcPr>
            <w:tcW w:w="6314" w:type="dxa"/>
            <w:gridSpan w:val="4"/>
            <w:tcBorders>
              <w:top w:val="single" w:sz="4" w:space="0" w:color="auto"/>
              <w:left w:val="single" w:sz="4" w:space="0" w:color="auto"/>
              <w:bottom w:val="single" w:sz="4" w:space="0" w:color="auto"/>
              <w:right w:val="single" w:sz="4" w:space="0" w:color="auto"/>
            </w:tcBorders>
            <w:shd w:val="clear" w:color="auto" w:fill="auto"/>
            <w:hideMark/>
          </w:tcPr>
          <w:p w14:paraId="57322957" w14:textId="77777777" w:rsidR="001752FA" w:rsidRDefault="001752FA">
            <w:pPr>
              <w:jc w:val="center"/>
              <w:rPr>
                <w:rFonts w:ascii="Arial" w:eastAsia="Calibri" w:hAnsi="Arial" w:cs="Arial"/>
                <w:sz w:val="18"/>
                <w:szCs w:val="18"/>
                <w:lang w:eastAsia="en-US"/>
              </w:rPr>
            </w:pPr>
          </w:p>
          <w:p w14:paraId="3A68C838" w14:textId="77777777" w:rsidR="001752FA" w:rsidRDefault="005D3332">
            <w:pPr>
              <w:jc w:val="center"/>
              <w:rPr>
                <w:rFonts w:ascii="Arial" w:eastAsia="Calibri" w:hAnsi="Arial" w:cs="Arial"/>
                <w:sz w:val="18"/>
                <w:szCs w:val="18"/>
                <w:lang w:eastAsia="en-US"/>
              </w:rPr>
            </w:pPr>
            <w:r>
              <w:rPr>
                <w:rFonts w:ascii="Arial" w:eastAsia="Calibri" w:hAnsi="Arial" w:cs="Arial"/>
                <w:sz w:val="18"/>
                <w:szCs w:val="18"/>
                <w:lang w:eastAsia="en-US"/>
              </w:rPr>
              <w:t>Nie dopuszcza się zaniżenia grubości</w:t>
            </w:r>
          </w:p>
        </w:tc>
      </w:tr>
      <w:tr w:rsidR="001752FA" w14:paraId="479C52BA" w14:textId="77777777">
        <w:tc>
          <w:tcPr>
            <w:tcW w:w="2972" w:type="dxa"/>
            <w:tcBorders>
              <w:top w:val="single" w:sz="4" w:space="0" w:color="auto"/>
              <w:left w:val="single" w:sz="4" w:space="0" w:color="auto"/>
              <w:bottom w:val="single" w:sz="4" w:space="0" w:color="auto"/>
              <w:right w:val="single" w:sz="4" w:space="0" w:color="auto"/>
            </w:tcBorders>
            <w:shd w:val="clear" w:color="auto" w:fill="auto"/>
            <w:hideMark/>
          </w:tcPr>
          <w:p w14:paraId="0A50DAB7" w14:textId="77777777" w:rsidR="001752FA" w:rsidRDefault="005D3332">
            <w:pPr>
              <w:rPr>
                <w:rFonts w:ascii="Arial" w:eastAsia="Calibri" w:hAnsi="Arial" w:cs="Arial"/>
                <w:sz w:val="18"/>
                <w:szCs w:val="18"/>
                <w:lang w:eastAsia="en-US"/>
              </w:rPr>
            </w:pPr>
            <w:r>
              <w:rPr>
                <w:rFonts w:ascii="Arial" w:eastAsia="Calibri" w:hAnsi="Arial" w:cs="Arial"/>
                <w:sz w:val="18"/>
                <w:szCs w:val="18"/>
                <w:lang w:eastAsia="en-US"/>
              </w:rPr>
              <w:t xml:space="preserve">Dla pojedynczych wyników pomiarów grubości wbudowanej warstwy </w:t>
            </w: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5AE34538" w14:textId="77777777" w:rsidR="001752FA" w:rsidRDefault="005D3332">
            <w:pPr>
              <w:jc w:val="center"/>
              <w:rPr>
                <w:rFonts w:ascii="Arial" w:eastAsia="Calibri" w:hAnsi="Arial" w:cs="Arial"/>
                <w:sz w:val="18"/>
                <w:szCs w:val="18"/>
                <w:lang w:eastAsia="en-US"/>
              </w:rPr>
            </w:pPr>
            <w:r>
              <w:rPr>
                <w:rFonts w:ascii="Arial" w:eastAsia="Calibri" w:hAnsi="Arial" w:cs="Arial"/>
                <w:sz w:val="18"/>
                <w:szCs w:val="18"/>
                <w:lang w:eastAsia="en-US"/>
              </w:rPr>
              <w:t xml:space="preserve">0 ÷ 10%, </w:t>
            </w:r>
          </w:p>
          <w:p w14:paraId="5BE34BA9" w14:textId="77777777" w:rsidR="001752FA" w:rsidRDefault="005D3332">
            <w:pPr>
              <w:jc w:val="center"/>
              <w:rPr>
                <w:rFonts w:ascii="Arial" w:eastAsia="Calibri" w:hAnsi="Arial" w:cs="Arial"/>
                <w:sz w:val="18"/>
                <w:szCs w:val="18"/>
                <w:lang w:eastAsia="en-US"/>
              </w:rPr>
            </w:pPr>
            <w:r>
              <w:rPr>
                <w:rFonts w:ascii="Arial" w:eastAsia="Calibri" w:hAnsi="Arial" w:cs="Arial"/>
                <w:sz w:val="18"/>
                <w:szCs w:val="18"/>
                <w:lang w:eastAsia="en-US"/>
              </w:rPr>
              <w:t>ale nie więcej niż 1cm</w:t>
            </w:r>
          </w:p>
        </w:tc>
        <w:tc>
          <w:tcPr>
            <w:tcW w:w="1358" w:type="dxa"/>
            <w:tcBorders>
              <w:top w:val="single" w:sz="4" w:space="0" w:color="auto"/>
              <w:left w:val="single" w:sz="4" w:space="0" w:color="auto"/>
              <w:bottom w:val="single" w:sz="4" w:space="0" w:color="auto"/>
              <w:right w:val="single" w:sz="4" w:space="0" w:color="auto"/>
            </w:tcBorders>
            <w:shd w:val="clear" w:color="auto" w:fill="auto"/>
          </w:tcPr>
          <w:p w14:paraId="39DA75D3" w14:textId="77777777" w:rsidR="001752FA" w:rsidRDefault="005D3332">
            <w:pPr>
              <w:jc w:val="center"/>
              <w:rPr>
                <w:rFonts w:ascii="Arial" w:eastAsia="Calibri" w:hAnsi="Arial" w:cs="Arial"/>
                <w:sz w:val="18"/>
                <w:szCs w:val="18"/>
                <w:lang w:eastAsia="en-US"/>
              </w:rPr>
            </w:pPr>
            <w:r>
              <w:rPr>
                <w:rFonts w:ascii="Arial" w:eastAsia="Calibri" w:hAnsi="Arial" w:cs="Arial"/>
                <w:sz w:val="18"/>
                <w:szCs w:val="18"/>
                <w:lang w:eastAsia="en-US"/>
              </w:rPr>
              <w:t>0 ÷ 5%,</w:t>
            </w:r>
          </w:p>
        </w:tc>
        <w:tc>
          <w:tcPr>
            <w:tcW w:w="1358" w:type="dxa"/>
            <w:tcBorders>
              <w:top w:val="single" w:sz="4" w:space="0" w:color="auto"/>
              <w:left w:val="single" w:sz="4" w:space="0" w:color="auto"/>
              <w:bottom w:val="single" w:sz="4" w:space="0" w:color="auto"/>
              <w:right w:val="single" w:sz="4" w:space="0" w:color="auto"/>
            </w:tcBorders>
            <w:shd w:val="clear" w:color="auto" w:fill="auto"/>
          </w:tcPr>
          <w:p w14:paraId="0CE6FAEB" w14:textId="77777777" w:rsidR="001752FA" w:rsidRDefault="005D3332">
            <w:pPr>
              <w:jc w:val="center"/>
              <w:rPr>
                <w:rFonts w:ascii="Arial" w:eastAsia="Calibri" w:hAnsi="Arial" w:cs="Arial"/>
                <w:sz w:val="18"/>
                <w:szCs w:val="18"/>
                <w:lang w:eastAsia="en-US"/>
              </w:rPr>
            </w:pPr>
            <w:r>
              <w:rPr>
                <w:rFonts w:ascii="Arial" w:eastAsia="Calibri" w:hAnsi="Arial" w:cs="Arial"/>
                <w:sz w:val="18"/>
                <w:szCs w:val="18"/>
                <w:lang w:eastAsia="en-US"/>
              </w:rPr>
              <w:t>0 ÷ 10%,</w:t>
            </w:r>
          </w:p>
        </w:tc>
        <w:tc>
          <w:tcPr>
            <w:tcW w:w="1359" w:type="dxa"/>
            <w:tcBorders>
              <w:top w:val="single" w:sz="4" w:space="0" w:color="auto"/>
              <w:left w:val="single" w:sz="4" w:space="0" w:color="auto"/>
              <w:bottom w:val="single" w:sz="4" w:space="0" w:color="auto"/>
              <w:right w:val="single" w:sz="4" w:space="0" w:color="auto"/>
            </w:tcBorders>
            <w:shd w:val="clear" w:color="auto" w:fill="auto"/>
          </w:tcPr>
          <w:p w14:paraId="1434C5FE" w14:textId="77777777" w:rsidR="001752FA" w:rsidRDefault="005D3332">
            <w:pPr>
              <w:jc w:val="center"/>
              <w:rPr>
                <w:rFonts w:ascii="Arial" w:eastAsia="Calibri" w:hAnsi="Arial" w:cs="Arial"/>
                <w:sz w:val="18"/>
                <w:szCs w:val="18"/>
                <w:lang w:eastAsia="en-US"/>
              </w:rPr>
            </w:pPr>
            <w:r>
              <w:rPr>
                <w:rFonts w:ascii="Arial" w:eastAsia="Calibri" w:hAnsi="Arial" w:cs="Arial"/>
                <w:sz w:val="18"/>
                <w:szCs w:val="18"/>
                <w:lang w:eastAsia="en-US"/>
              </w:rPr>
              <w:t>0 ÷ 10%,</w:t>
            </w:r>
          </w:p>
        </w:tc>
      </w:tr>
    </w:tbl>
    <w:p w14:paraId="531E7EEA" w14:textId="77777777" w:rsidR="001752FA" w:rsidRDefault="001752FA">
      <w:pPr>
        <w:jc w:val="both"/>
        <w:rPr>
          <w:rFonts w:ascii="Arial" w:hAnsi="Arial" w:cs="Arial"/>
          <w:sz w:val="18"/>
          <w:szCs w:val="18"/>
        </w:rPr>
      </w:pPr>
    </w:p>
    <w:p w14:paraId="53F7AC93" w14:textId="77777777" w:rsidR="001752FA" w:rsidRDefault="005D3332">
      <w:pPr>
        <w:jc w:val="both"/>
        <w:rPr>
          <w:rFonts w:ascii="Arial" w:hAnsi="Arial" w:cs="Arial"/>
          <w:sz w:val="18"/>
          <w:szCs w:val="18"/>
        </w:rPr>
      </w:pPr>
      <w:r>
        <w:rPr>
          <w:rFonts w:ascii="Arial" w:hAnsi="Arial" w:cs="Arial"/>
          <w:sz w:val="18"/>
          <w:szCs w:val="18"/>
        </w:rPr>
        <w:t>Zwiększone grubości poszczególnych warstw będą zaliczane jako wyrównanie ewentualnych niedoborów niżej leżącej warstwy.</w:t>
      </w:r>
    </w:p>
    <w:p w14:paraId="5FA46DE0" w14:textId="77777777" w:rsidR="001752FA" w:rsidRDefault="001752FA">
      <w:pPr>
        <w:tabs>
          <w:tab w:val="left" w:pos="1008"/>
          <w:tab w:val="left" w:pos="7459"/>
        </w:tabs>
        <w:rPr>
          <w:rFonts w:ascii="Arial" w:hAnsi="Arial" w:cs="Arial"/>
          <w:b/>
          <w:snapToGrid w:val="0"/>
          <w:color w:val="000000"/>
          <w:sz w:val="18"/>
          <w:szCs w:val="18"/>
        </w:rPr>
      </w:pPr>
    </w:p>
    <w:p w14:paraId="4218087C" w14:textId="77777777" w:rsidR="001752FA" w:rsidRDefault="005D3332">
      <w:pPr>
        <w:tabs>
          <w:tab w:val="left" w:pos="1008"/>
          <w:tab w:val="left" w:pos="7459"/>
        </w:tabs>
        <w:spacing w:after="60"/>
        <w:rPr>
          <w:rFonts w:ascii="Arial" w:hAnsi="Arial" w:cs="Arial"/>
          <w:b/>
          <w:snapToGrid w:val="0"/>
          <w:color w:val="000000"/>
          <w:sz w:val="18"/>
          <w:szCs w:val="18"/>
        </w:rPr>
      </w:pPr>
      <w:r>
        <w:rPr>
          <w:rFonts w:ascii="Arial" w:hAnsi="Arial" w:cs="Arial"/>
          <w:b/>
          <w:snapToGrid w:val="0"/>
          <w:color w:val="000000"/>
          <w:sz w:val="18"/>
          <w:szCs w:val="18"/>
        </w:rPr>
        <w:t>6.2.1.2.7. Wskaźnik zagęszczenia warstwy</w:t>
      </w:r>
    </w:p>
    <w:p w14:paraId="2F0A5C48" w14:textId="77777777" w:rsidR="001752FA" w:rsidRDefault="005D3332">
      <w:pPr>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Wskaźnik zagęszczenia warstwy należy określić zgodnie z PN-EN 13108-20 na podstawie gęstości objętościowej próbek Marshalla formowanych z mieszanki mineralno-asfaltowej pobranej podczas wbudowywania warstwy oraz gęstości objętościowej wyciętych w tej samej lokalizacji próbek z gotowej warstwy. </w:t>
      </w:r>
    </w:p>
    <w:p w14:paraId="3B830AD3" w14:textId="77777777" w:rsidR="001752FA" w:rsidRDefault="005D3332">
      <w:pPr>
        <w:ind w:firstLine="567"/>
        <w:jc w:val="both"/>
        <w:rPr>
          <w:rFonts w:ascii="Arial" w:hAnsi="Arial" w:cs="Arial"/>
          <w:snapToGrid w:val="0"/>
          <w:color w:val="000000"/>
          <w:sz w:val="18"/>
          <w:szCs w:val="18"/>
        </w:rPr>
      </w:pPr>
      <w:r>
        <w:rPr>
          <w:rFonts w:ascii="Arial" w:hAnsi="Arial" w:cs="Arial"/>
          <w:snapToGrid w:val="0"/>
          <w:color w:val="000000"/>
          <w:sz w:val="18"/>
          <w:szCs w:val="18"/>
        </w:rPr>
        <w:t>Oznaczenie gęstości objętościowej należy wykonywać zgodnie z PN-EN 12697-6. Wyniki powinny być zgodne z wymaganiami podanymi w Tablicy 6.</w:t>
      </w:r>
    </w:p>
    <w:p w14:paraId="2D43243C" w14:textId="77777777" w:rsidR="001752FA" w:rsidRDefault="001752FA">
      <w:pPr>
        <w:jc w:val="both"/>
        <w:rPr>
          <w:rFonts w:ascii="Arial" w:hAnsi="Arial" w:cs="Arial"/>
          <w:snapToGrid w:val="0"/>
          <w:color w:val="000000"/>
          <w:sz w:val="18"/>
          <w:szCs w:val="18"/>
        </w:rPr>
      </w:pPr>
    </w:p>
    <w:p w14:paraId="03D1D4A3" w14:textId="77777777" w:rsidR="001752FA" w:rsidRDefault="005D3332">
      <w:pPr>
        <w:spacing w:after="60"/>
        <w:rPr>
          <w:rFonts w:ascii="Arial" w:hAnsi="Arial" w:cs="Arial"/>
          <w:b/>
          <w:snapToGrid w:val="0"/>
          <w:color w:val="000000"/>
          <w:sz w:val="18"/>
          <w:szCs w:val="18"/>
        </w:rPr>
      </w:pPr>
      <w:r>
        <w:rPr>
          <w:rFonts w:ascii="Arial" w:hAnsi="Arial" w:cs="Arial"/>
          <w:b/>
          <w:snapToGrid w:val="0"/>
          <w:color w:val="000000"/>
          <w:sz w:val="18"/>
          <w:szCs w:val="18"/>
        </w:rPr>
        <w:t>6.2.1.2.8. Wolna przestrzeń w warstwie</w:t>
      </w:r>
    </w:p>
    <w:p w14:paraId="23D72597" w14:textId="77777777" w:rsidR="001752FA" w:rsidRDefault="005D3332">
      <w:pPr>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Wolną przestrzeń w warstwie należy określać wg PN-EN 12697-8 na podstawie gęstości oznaczonej wg PN-EN 12697-5 mieszanki mineralno-asfaltowej pobranej podczas wbudowywania warstwy oraz gęstości objętościowej oznaczonej wg PN-EN 12697-6 wyciętych w tej samej lokalizacji próbek z gotowej warstwy. </w:t>
      </w:r>
    </w:p>
    <w:p w14:paraId="0FC9EA6D" w14:textId="77777777" w:rsidR="001752FA" w:rsidRDefault="005D3332">
      <w:pPr>
        <w:ind w:firstLine="567"/>
        <w:jc w:val="both"/>
        <w:rPr>
          <w:rFonts w:ascii="Arial" w:hAnsi="Arial" w:cs="Arial"/>
          <w:snapToGrid w:val="0"/>
          <w:color w:val="000000"/>
          <w:sz w:val="18"/>
          <w:szCs w:val="18"/>
        </w:rPr>
      </w:pPr>
      <w:r>
        <w:rPr>
          <w:rFonts w:ascii="Arial" w:hAnsi="Arial" w:cs="Arial"/>
          <w:snapToGrid w:val="0"/>
          <w:color w:val="000000"/>
          <w:sz w:val="18"/>
          <w:szCs w:val="18"/>
        </w:rPr>
        <w:t>Wyniki powinny być zgodne z wymaganiami podanymi w Tablicy 6.</w:t>
      </w:r>
    </w:p>
    <w:p w14:paraId="5032FF89" w14:textId="77777777" w:rsidR="001752FA" w:rsidRDefault="001752FA">
      <w:pPr>
        <w:jc w:val="both"/>
        <w:rPr>
          <w:rFonts w:ascii="Arial" w:hAnsi="Arial" w:cs="Arial"/>
          <w:snapToGrid w:val="0"/>
          <w:color w:val="000000"/>
          <w:sz w:val="18"/>
          <w:szCs w:val="18"/>
        </w:rPr>
      </w:pPr>
    </w:p>
    <w:p w14:paraId="4F81FD7D" w14:textId="77777777" w:rsidR="001752FA" w:rsidRDefault="005D3332">
      <w:p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6.2.2. Badania kontrolne Inspektora Nadzoru</w:t>
      </w:r>
    </w:p>
    <w:p w14:paraId="48E692A1" w14:textId="77777777" w:rsidR="001752FA" w:rsidRDefault="005D3332">
      <w:pPr>
        <w:ind w:firstLine="567"/>
        <w:jc w:val="both"/>
        <w:rPr>
          <w:rFonts w:ascii="Arial" w:hAnsi="Arial" w:cs="Arial"/>
          <w:sz w:val="18"/>
          <w:szCs w:val="18"/>
        </w:rPr>
      </w:pPr>
      <w:r>
        <w:rPr>
          <w:rFonts w:ascii="Arial" w:hAnsi="Arial" w:cs="Arial"/>
          <w:sz w:val="18"/>
          <w:szCs w:val="18"/>
        </w:rPr>
        <w:t xml:space="preserve">Badania kontrolne są badaniami Inspektora Nadzoru, których celem jest sprawdzenie, czy jakość materiałów budowlanych (mieszanek mineralno-asfaltowych i ich składników; materiałów mineralnych, lepiszczy i materiałów do uszczelnień itp.) oraz gotowej warstwy (wbudowane warstwy asfaltowe, połączenia itp.) spełniają wymagania określone w kontrakcie. </w:t>
      </w:r>
    </w:p>
    <w:p w14:paraId="50940BBF" w14:textId="77777777" w:rsidR="001752FA" w:rsidRDefault="005D3332">
      <w:pPr>
        <w:ind w:firstLine="567"/>
        <w:jc w:val="both"/>
        <w:rPr>
          <w:rFonts w:ascii="Arial" w:hAnsi="Arial" w:cs="Arial"/>
          <w:sz w:val="18"/>
          <w:szCs w:val="18"/>
        </w:rPr>
      </w:pPr>
      <w:r>
        <w:rPr>
          <w:rFonts w:ascii="Arial" w:hAnsi="Arial" w:cs="Arial"/>
          <w:sz w:val="18"/>
          <w:szCs w:val="18"/>
        </w:rPr>
        <w:lastRenderedPageBreak/>
        <w:t xml:space="preserve">Wyniki tych badań są podstawą odbioru. Pobieraniem próbek i wykonaniem badań na miejscu budowy zajmuje się Inspektor Nadzoru w obecności Wykonawcy. </w:t>
      </w:r>
    </w:p>
    <w:p w14:paraId="5A936F62" w14:textId="77777777" w:rsidR="001752FA" w:rsidRDefault="005D3332">
      <w:pPr>
        <w:ind w:firstLine="567"/>
        <w:jc w:val="both"/>
        <w:rPr>
          <w:rFonts w:ascii="Arial" w:hAnsi="Arial" w:cs="Arial"/>
          <w:sz w:val="18"/>
          <w:szCs w:val="18"/>
        </w:rPr>
      </w:pPr>
      <w:r>
        <w:rPr>
          <w:rFonts w:ascii="Arial" w:hAnsi="Arial" w:cs="Arial"/>
          <w:sz w:val="18"/>
          <w:szCs w:val="18"/>
        </w:rPr>
        <w:t xml:space="preserve">Badania odbywają się również wtedy, gdy Wykonawca zostanie w porę powiadomiony o ich terminie, jednak nie będzie przy nich obecny. </w:t>
      </w:r>
    </w:p>
    <w:p w14:paraId="6524EA00" w14:textId="77777777" w:rsidR="001752FA" w:rsidRDefault="005D3332">
      <w:pPr>
        <w:ind w:firstLine="567"/>
        <w:jc w:val="both"/>
        <w:rPr>
          <w:rFonts w:ascii="Arial" w:hAnsi="Arial" w:cs="Arial"/>
          <w:sz w:val="18"/>
          <w:szCs w:val="18"/>
        </w:rPr>
      </w:pPr>
      <w:r>
        <w:rPr>
          <w:rFonts w:ascii="Arial" w:hAnsi="Arial" w:cs="Arial"/>
          <w:sz w:val="18"/>
          <w:szCs w:val="18"/>
        </w:rPr>
        <w:t>Rodzaj badań kontrolnych mieszanki mineralno-asfaltowej i wykonanej z niej warstwy podano w Tablicy 11.</w:t>
      </w:r>
    </w:p>
    <w:p w14:paraId="5431F550" w14:textId="77777777" w:rsidR="001752FA" w:rsidRDefault="001752FA">
      <w:pPr>
        <w:tabs>
          <w:tab w:val="left" w:pos="1008"/>
          <w:tab w:val="left" w:pos="7459"/>
        </w:tabs>
        <w:rPr>
          <w:rFonts w:ascii="Arial" w:hAnsi="Arial" w:cs="Arial"/>
          <w:b/>
          <w:snapToGrid w:val="0"/>
          <w:color w:val="000000"/>
          <w:sz w:val="18"/>
          <w:szCs w:val="18"/>
        </w:rPr>
      </w:pPr>
    </w:p>
    <w:p w14:paraId="1B9CECCF"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Tablica 11. Rodzaj badań kontrolnych.</w:t>
      </w:r>
    </w:p>
    <w:p w14:paraId="6E358681" w14:textId="77777777" w:rsidR="001752FA" w:rsidRDefault="001752FA">
      <w:pPr>
        <w:tabs>
          <w:tab w:val="left" w:pos="1008"/>
          <w:tab w:val="left" w:pos="7459"/>
        </w:tabs>
        <w:rPr>
          <w:rFonts w:ascii="Arial" w:hAnsi="Arial" w:cs="Arial"/>
          <w:snapToGrid w:val="0"/>
          <w:color w:val="000000"/>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7225"/>
      </w:tblGrid>
      <w:tr w:rsidR="001752FA" w14:paraId="17E93B3D" w14:textId="77777777">
        <w:trPr>
          <w:jc w:val="center"/>
        </w:trPr>
        <w:tc>
          <w:tcPr>
            <w:tcW w:w="1134" w:type="dxa"/>
            <w:tcBorders>
              <w:top w:val="single" w:sz="4" w:space="0" w:color="auto"/>
              <w:left w:val="single" w:sz="4" w:space="0" w:color="auto"/>
              <w:bottom w:val="single" w:sz="4" w:space="0" w:color="auto"/>
              <w:right w:val="single" w:sz="4" w:space="0" w:color="auto"/>
            </w:tcBorders>
            <w:hideMark/>
          </w:tcPr>
          <w:p w14:paraId="167603BE" w14:textId="77777777" w:rsidR="001752FA" w:rsidRDefault="005D3332">
            <w:pPr>
              <w:jc w:val="center"/>
              <w:rPr>
                <w:rFonts w:ascii="Arial" w:hAnsi="Arial" w:cs="Arial"/>
                <w:sz w:val="18"/>
                <w:szCs w:val="18"/>
              </w:rPr>
            </w:pPr>
            <w:r>
              <w:rPr>
                <w:rFonts w:ascii="Arial" w:hAnsi="Arial" w:cs="Arial"/>
                <w:sz w:val="18"/>
                <w:szCs w:val="18"/>
              </w:rPr>
              <w:t>Lp.</w:t>
            </w:r>
          </w:p>
        </w:tc>
        <w:tc>
          <w:tcPr>
            <w:tcW w:w="7225" w:type="dxa"/>
            <w:tcBorders>
              <w:top w:val="single" w:sz="4" w:space="0" w:color="auto"/>
              <w:left w:val="single" w:sz="4" w:space="0" w:color="auto"/>
              <w:bottom w:val="single" w:sz="4" w:space="0" w:color="auto"/>
              <w:right w:val="single" w:sz="4" w:space="0" w:color="auto"/>
            </w:tcBorders>
            <w:hideMark/>
          </w:tcPr>
          <w:p w14:paraId="487A53AF" w14:textId="77777777" w:rsidR="001752FA" w:rsidRDefault="005D3332">
            <w:pPr>
              <w:rPr>
                <w:rFonts w:ascii="Arial" w:hAnsi="Arial" w:cs="Arial"/>
                <w:sz w:val="18"/>
                <w:szCs w:val="18"/>
              </w:rPr>
            </w:pPr>
            <w:r>
              <w:rPr>
                <w:rFonts w:ascii="Arial" w:hAnsi="Arial" w:cs="Arial"/>
                <w:sz w:val="18"/>
                <w:szCs w:val="18"/>
              </w:rPr>
              <w:t>Rodzaj badań</w:t>
            </w:r>
          </w:p>
        </w:tc>
      </w:tr>
      <w:tr w:rsidR="001752FA" w14:paraId="068C2EA4" w14:textId="77777777">
        <w:trPr>
          <w:jc w:val="center"/>
        </w:trPr>
        <w:tc>
          <w:tcPr>
            <w:tcW w:w="1134" w:type="dxa"/>
            <w:tcBorders>
              <w:top w:val="single" w:sz="4" w:space="0" w:color="auto"/>
              <w:left w:val="single" w:sz="4" w:space="0" w:color="auto"/>
              <w:bottom w:val="single" w:sz="4" w:space="0" w:color="auto"/>
              <w:right w:val="single" w:sz="4" w:space="0" w:color="auto"/>
            </w:tcBorders>
            <w:hideMark/>
          </w:tcPr>
          <w:p w14:paraId="699264C1" w14:textId="77777777" w:rsidR="001752FA" w:rsidRDefault="005D3332">
            <w:pPr>
              <w:jc w:val="center"/>
              <w:rPr>
                <w:rFonts w:ascii="Arial" w:hAnsi="Arial" w:cs="Arial"/>
                <w:sz w:val="18"/>
                <w:szCs w:val="18"/>
              </w:rPr>
            </w:pPr>
            <w:r>
              <w:rPr>
                <w:rFonts w:ascii="Arial" w:hAnsi="Arial" w:cs="Arial"/>
                <w:sz w:val="18"/>
                <w:szCs w:val="18"/>
              </w:rPr>
              <w:t>1</w:t>
            </w:r>
          </w:p>
          <w:p w14:paraId="303038E6" w14:textId="77777777" w:rsidR="001752FA" w:rsidRDefault="005D3332">
            <w:pPr>
              <w:jc w:val="center"/>
              <w:rPr>
                <w:rFonts w:ascii="Arial" w:hAnsi="Arial" w:cs="Arial"/>
                <w:sz w:val="18"/>
                <w:szCs w:val="18"/>
              </w:rPr>
            </w:pPr>
            <w:r>
              <w:rPr>
                <w:rFonts w:ascii="Arial" w:hAnsi="Arial" w:cs="Arial"/>
                <w:sz w:val="18"/>
                <w:szCs w:val="18"/>
              </w:rPr>
              <w:t>1.1</w:t>
            </w:r>
          </w:p>
          <w:p w14:paraId="4503A1E7" w14:textId="77777777" w:rsidR="001752FA" w:rsidRDefault="005D3332">
            <w:pPr>
              <w:jc w:val="center"/>
              <w:rPr>
                <w:rFonts w:ascii="Arial" w:hAnsi="Arial" w:cs="Arial"/>
                <w:sz w:val="18"/>
                <w:szCs w:val="18"/>
              </w:rPr>
            </w:pPr>
            <w:r>
              <w:rPr>
                <w:rFonts w:ascii="Arial" w:hAnsi="Arial" w:cs="Arial"/>
                <w:sz w:val="18"/>
                <w:szCs w:val="18"/>
              </w:rPr>
              <w:t>1.2</w:t>
            </w:r>
          </w:p>
          <w:p w14:paraId="3766E64C" w14:textId="77777777" w:rsidR="001752FA" w:rsidRDefault="005D3332">
            <w:pPr>
              <w:jc w:val="center"/>
              <w:rPr>
                <w:rFonts w:ascii="Arial" w:hAnsi="Arial" w:cs="Arial"/>
                <w:sz w:val="18"/>
                <w:szCs w:val="18"/>
              </w:rPr>
            </w:pPr>
            <w:r>
              <w:rPr>
                <w:rFonts w:ascii="Arial" w:hAnsi="Arial" w:cs="Arial"/>
                <w:sz w:val="18"/>
                <w:szCs w:val="18"/>
              </w:rPr>
              <w:t>1.3</w:t>
            </w:r>
          </w:p>
          <w:p w14:paraId="019DC11D" w14:textId="77777777" w:rsidR="001752FA" w:rsidRDefault="005D3332">
            <w:pPr>
              <w:jc w:val="center"/>
              <w:rPr>
                <w:rFonts w:ascii="Arial" w:hAnsi="Arial" w:cs="Arial"/>
                <w:sz w:val="18"/>
                <w:szCs w:val="18"/>
              </w:rPr>
            </w:pPr>
            <w:r>
              <w:rPr>
                <w:rFonts w:ascii="Arial" w:hAnsi="Arial" w:cs="Arial"/>
                <w:sz w:val="18"/>
                <w:szCs w:val="18"/>
              </w:rPr>
              <w:t>1.4</w:t>
            </w:r>
          </w:p>
          <w:p w14:paraId="1C061E4C" w14:textId="77777777" w:rsidR="001752FA" w:rsidRDefault="005D3332">
            <w:pPr>
              <w:jc w:val="center"/>
              <w:rPr>
                <w:rFonts w:ascii="Arial" w:hAnsi="Arial" w:cs="Arial"/>
                <w:sz w:val="18"/>
                <w:szCs w:val="18"/>
              </w:rPr>
            </w:pPr>
            <w:r>
              <w:rPr>
                <w:rFonts w:ascii="Arial" w:hAnsi="Arial" w:cs="Arial"/>
                <w:sz w:val="18"/>
                <w:szCs w:val="18"/>
              </w:rPr>
              <w:t>2</w:t>
            </w:r>
          </w:p>
          <w:p w14:paraId="31C51C42" w14:textId="77777777" w:rsidR="001752FA" w:rsidRDefault="005D3332">
            <w:pPr>
              <w:jc w:val="center"/>
              <w:rPr>
                <w:rFonts w:ascii="Arial" w:hAnsi="Arial" w:cs="Arial"/>
                <w:sz w:val="18"/>
                <w:szCs w:val="18"/>
              </w:rPr>
            </w:pPr>
            <w:r>
              <w:rPr>
                <w:rFonts w:ascii="Arial" w:hAnsi="Arial" w:cs="Arial"/>
                <w:sz w:val="18"/>
                <w:szCs w:val="18"/>
              </w:rPr>
              <w:t>2.1</w:t>
            </w:r>
          </w:p>
          <w:p w14:paraId="71D9DC5D" w14:textId="77777777" w:rsidR="001752FA" w:rsidRDefault="005D3332">
            <w:pPr>
              <w:jc w:val="center"/>
              <w:rPr>
                <w:rFonts w:ascii="Arial" w:hAnsi="Arial" w:cs="Arial"/>
                <w:sz w:val="18"/>
                <w:szCs w:val="18"/>
              </w:rPr>
            </w:pPr>
            <w:r>
              <w:rPr>
                <w:rFonts w:ascii="Arial" w:hAnsi="Arial" w:cs="Arial"/>
                <w:sz w:val="18"/>
                <w:szCs w:val="18"/>
              </w:rPr>
              <w:t>2.2</w:t>
            </w:r>
          </w:p>
          <w:p w14:paraId="4DE7CFD0" w14:textId="77777777" w:rsidR="001752FA" w:rsidRDefault="005D3332">
            <w:pPr>
              <w:jc w:val="center"/>
              <w:rPr>
                <w:rFonts w:ascii="Arial" w:hAnsi="Arial" w:cs="Arial"/>
                <w:sz w:val="18"/>
                <w:szCs w:val="18"/>
              </w:rPr>
            </w:pPr>
            <w:r>
              <w:rPr>
                <w:rFonts w:ascii="Arial" w:hAnsi="Arial" w:cs="Arial"/>
                <w:sz w:val="18"/>
                <w:szCs w:val="18"/>
              </w:rPr>
              <w:t>2.3</w:t>
            </w:r>
          </w:p>
          <w:p w14:paraId="511C2FB6" w14:textId="77777777" w:rsidR="001752FA" w:rsidRDefault="005D3332">
            <w:pPr>
              <w:jc w:val="center"/>
              <w:rPr>
                <w:rFonts w:ascii="Arial" w:hAnsi="Arial" w:cs="Arial"/>
                <w:sz w:val="18"/>
                <w:szCs w:val="18"/>
              </w:rPr>
            </w:pPr>
            <w:r>
              <w:rPr>
                <w:rFonts w:ascii="Arial" w:hAnsi="Arial" w:cs="Arial"/>
                <w:sz w:val="18"/>
                <w:szCs w:val="18"/>
              </w:rPr>
              <w:t>2.4</w:t>
            </w:r>
          </w:p>
          <w:p w14:paraId="415F2818" w14:textId="77777777" w:rsidR="001752FA" w:rsidRDefault="005D3332">
            <w:pPr>
              <w:jc w:val="center"/>
              <w:rPr>
                <w:rFonts w:ascii="Arial" w:hAnsi="Arial" w:cs="Arial"/>
                <w:sz w:val="18"/>
                <w:szCs w:val="18"/>
              </w:rPr>
            </w:pPr>
            <w:r>
              <w:rPr>
                <w:rFonts w:ascii="Arial" w:hAnsi="Arial" w:cs="Arial"/>
                <w:sz w:val="18"/>
                <w:szCs w:val="18"/>
              </w:rPr>
              <w:t>2.5</w:t>
            </w:r>
          </w:p>
          <w:p w14:paraId="7A91E56D" w14:textId="77777777" w:rsidR="001752FA" w:rsidRDefault="005D3332">
            <w:pPr>
              <w:jc w:val="center"/>
              <w:rPr>
                <w:rFonts w:ascii="Arial" w:hAnsi="Arial" w:cs="Arial"/>
                <w:sz w:val="18"/>
                <w:szCs w:val="18"/>
              </w:rPr>
            </w:pPr>
            <w:r>
              <w:rPr>
                <w:rFonts w:ascii="Arial" w:hAnsi="Arial" w:cs="Arial"/>
                <w:sz w:val="18"/>
                <w:szCs w:val="18"/>
              </w:rPr>
              <w:t>2.6</w:t>
            </w:r>
          </w:p>
        </w:tc>
        <w:tc>
          <w:tcPr>
            <w:tcW w:w="7225" w:type="dxa"/>
            <w:tcBorders>
              <w:top w:val="single" w:sz="4" w:space="0" w:color="auto"/>
              <w:left w:val="single" w:sz="4" w:space="0" w:color="auto"/>
              <w:bottom w:val="single" w:sz="4" w:space="0" w:color="auto"/>
              <w:right w:val="single" w:sz="4" w:space="0" w:color="auto"/>
            </w:tcBorders>
            <w:hideMark/>
          </w:tcPr>
          <w:p w14:paraId="4A1B7617" w14:textId="77777777" w:rsidR="001752FA" w:rsidRDefault="005D3332">
            <w:pPr>
              <w:rPr>
                <w:rFonts w:ascii="Arial" w:hAnsi="Arial" w:cs="Arial"/>
                <w:sz w:val="18"/>
                <w:szCs w:val="18"/>
                <w:vertAlign w:val="superscript"/>
              </w:rPr>
            </w:pPr>
            <w:r>
              <w:rPr>
                <w:rFonts w:ascii="Arial" w:hAnsi="Arial" w:cs="Arial"/>
                <w:sz w:val="18"/>
                <w:szCs w:val="18"/>
              </w:rPr>
              <w:t xml:space="preserve">Mieszanka mineralno-asfaltowa </w:t>
            </w:r>
            <w:r>
              <w:rPr>
                <w:rFonts w:ascii="Arial" w:hAnsi="Arial" w:cs="Arial"/>
                <w:sz w:val="18"/>
                <w:szCs w:val="18"/>
                <w:vertAlign w:val="superscript"/>
              </w:rPr>
              <w:t>a), b)</w:t>
            </w:r>
          </w:p>
          <w:p w14:paraId="1A8E34FD" w14:textId="77777777" w:rsidR="001752FA" w:rsidRDefault="005D3332">
            <w:pPr>
              <w:rPr>
                <w:rFonts w:ascii="Arial" w:hAnsi="Arial" w:cs="Arial"/>
                <w:sz w:val="18"/>
                <w:szCs w:val="18"/>
              </w:rPr>
            </w:pPr>
            <w:r>
              <w:rPr>
                <w:rFonts w:ascii="Arial" w:hAnsi="Arial" w:cs="Arial"/>
                <w:sz w:val="18"/>
                <w:szCs w:val="18"/>
              </w:rPr>
              <w:t>Uziarnienie</w:t>
            </w:r>
          </w:p>
          <w:p w14:paraId="5C937F36" w14:textId="77777777" w:rsidR="001752FA" w:rsidRDefault="005D3332">
            <w:pPr>
              <w:rPr>
                <w:rFonts w:ascii="Arial" w:hAnsi="Arial" w:cs="Arial"/>
                <w:sz w:val="18"/>
                <w:szCs w:val="18"/>
              </w:rPr>
            </w:pPr>
            <w:r>
              <w:rPr>
                <w:rFonts w:ascii="Arial" w:hAnsi="Arial" w:cs="Arial"/>
                <w:sz w:val="18"/>
                <w:szCs w:val="18"/>
              </w:rPr>
              <w:t>Zawartość lepiszcza</w:t>
            </w:r>
          </w:p>
          <w:p w14:paraId="21842864" w14:textId="77777777" w:rsidR="001752FA" w:rsidRDefault="005D3332">
            <w:pPr>
              <w:rPr>
                <w:rFonts w:ascii="Arial" w:hAnsi="Arial" w:cs="Arial"/>
                <w:sz w:val="18"/>
                <w:szCs w:val="18"/>
              </w:rPr>
            </w:pPr>
            <w:r>
              <w:rPr>
                <w:rFonts w:ascii="Arial" w:hAnsi="Arial" w:cs="Arial"/>
                <w:sz w:val="18"/>
                <w:szCs w:val="18"/>
              </w:rPr>
              <w:t>Temperatura mięknienia lepiszcza odzyskanego</w:t>
            </w:r>
          </w:p>
          <w:p w14:paraId="660E3BC6" w14:textId="77777777" w:rsidR="001752FA" w:rsidRDefault="005D3332">
            <w:pPr>
              <w:rPr>
                <w:rFonts w:ascii="Arial" w:hAnsi="Arial" w:cs="Arial"/>
                <w:sz w:val="18"/>
                <w:szCs w:val="18"/>
              </w:rPr>
            </w:pPr>
            <w:r>
              <w:rPr>
                <w:rFonts w:ascii="Arial" w:hAnsi="Arial" w:cs="Arial"/>
                <w:sz w:val="18"/>
                <w:szCs w:val="18"/>
              </w:rPr>
              <w:t>Gęstość i zawartość wolnych przestrzeni próbki</w:t>
            </w:r>
          </w:p>
          <w:p w14:paraId="4B1804A7" w14:textId="77777777" w:rsidR="001752FA" w:rsidRDefault="005D3332">
            <w:pPr>
              <w:rPr>
                <w:rFonts w:ascii="Arial" w:hAnsi="Arial" w:cs="Arial"/>
                <w:sz w:val="18"/>
                <w:szCs w:val="18"/>
              </w:rPr>
            </w:pPr>
            <w:r>
              <w:rPr>
                <w:rFonts w:ascii="Arial" w:hAnsi="Arial" w:cs="Arial"/>
                <w:sz w:val="18"/>
                <w:szCs w:val="18"/>
              </w:rPr>
              <w:t>Warstwa asfaltowa</w:t>
            </w:r>
          </w:p>
          <w:p w14:paraId="73775FD1" w14:textId="77777777" w:rsidR="001752FA" w:rsidRDefault="005D3332">
            <w:pPr>
              <w:rPr>
                <w:rFonts w:ascii="Arial" w:hAnsi="Arial" w:cs="Arial"/>
                <w:sz w:val="18"/>
                <w:szCs w:val="18"/>
              </w:rPr>
            </w:pPr>
            <w:r>
              <w:rPr>
                <w:rFonts w:ascii="Arial" w:hAnsi="Arial" w:cs="Arial"/>
                <w:sz w:val="18"/>
                <w:szCs w:val="18"/>
              </w:rPr>
              <w:t xml:space="preserve">Wskaźnik zagęszczenia </w:t>
            </w:r>
            <w:r>
              <w:rPr>
                <w:rFonts w:ascii="Arial" w:hAnsi="Arial" w:cs="Arial"/>
                <w:sz w:val="18"/>
                <w:szCs w:val="18"/>
                <w:vertAlign w:val="superscript"/>
              </w:rPr>
              <w:t>a)</w:t>
            </w:r>
          </w:p>
          <w:p w14:paraId="45A3DD5F" w14:textId="77777777" w:rsidR="001752FA" w:rsidRDefault="005D3332">
            <w:pPr>
              <w:rPr>
                <w:rFonts w:ascii="Arial" w:hAnsi="Arial" w:cs="Arial"/>
                <w:sz w:val="18"/>
                <w:szCs w:val="18"/>
              </w:rPr>
            </w:pPr>
            <w:r>
              <w:rPr>
                <w:rFonts w:ascii="Arial" w:hAnsi="Arial" w:cs="Arial"/>
                <w:sz w:val="18"/>
                <w:szCs w:val="18"/>
              </w:rPr>
              <w:t>Spadki poprzeczne</w:t>
            </w:r>
          </w:p>
          <w:p w14:paraId="3A705683" w14:textId="77777777" w:rsidR="001752FA" w:rsidRDefault="005D3332">
            <w:pPr>
              <w:rPr>
                <w:rFonts w:ascii="Arial" w:hAnsi="Arial" w:cs="Arial"/>
                <w:sz w:val="18"/>
                <w:szCs w:val="18"/>
              </w:rPr>
            </w:pPr>
            <w:r>
              <w:rPr>
                <w:rFonts w:ascii="Arial" w:hAnsi="Arial" w:cs="Arial"/>
                <w:sz w:val="18"/>
                <w:szCs w:val="18"/>
              </w:rPr>
              <w:t>Równość</w:t>
            </w:r>
          </w:p>
          <w:p w14:paraId="02B3A0A2" w14:textId="77777777" w:rsidR="001752FA" w:rsidRDefault="005D3332">
            <w:pPr>
              <w:rPr>
                <w:rFonts w:ascii="Arial" w:hAnsi="Arial" w:cs="Arial"/>
                <w:sz w:val="18"/>
                <w:szCs w:val="18"/>
              </w:rPr>
            </w:pPr>
            <w:r>
              <w:rPr>
                <w:rFonts w:ascii="Arial" w:hAnsi="Arial" w:cs="Arial"/>
                <w:sz w:val="18"/>
                <w:szCs w:val="18"/>
              </w:rPr>
              <w:t>Grubość lub ilość materiału</w:t>
            </w:r>
          </w:p>
          <w:p w14:paraId="40260D71" w14:textId="77777777" w:rsidR="001752FA" w:rsidRDefault="005D3332">
            <w:pPr>
              <w:rPr>
                <w:rFonts w:ascii="Arial" w:hAnsi="Arial" w:cs="Arial"/>
                <w:sz w:val="18"/>
                <w:szCs w:val="18"/>
                <w:vertAlign w:val="superscript"/>
              </w:rPr>
            </w:pPr>
            <w:r>
              <w:rPr>
                <w:rFonts w:ascii="Arial" w:hAnsi="Arial" w:cs="Arial"/>
                <w:sz w:val="18"/>
                <w:szCs w:val="18"/>
              </w:rPr>
              <w:t xml:space="preserve">Zawartość wolnych przestrzeni </w:t>
            </w:r>
            <w:r>
              <w:rPr>
                <w:rFonts w:ascii="Arial" w:hAnsi="Arial" w:cs="Arial"/>
                <w:sz w:val="18"/>
                <w:szCs w:val="18"/>
                <w:vertAlign w:val="superscript"/>
              </w:rPr>
              <w:t>a)</w:t>
            </w:r>
          </w:p>
          <w:p w14:paraId="0EDE7070" w14:textId="77777777" w:rsidR="001752FA" w:rsidRDefault="005D3332">
            <w:pPr>
              <w:rPr>
                <w:rFonts w:ascii="Arial" w:hAnsi="Arial" w:cs="Arial"/>
                <w:sz w:val="18"/>
                <w:szCs w:val="18"/>
              </w:rPr>
            </w:pPr>
            <w:r>
              <w:rPr>
                <w:rFonts w:ascii="Arial" w:hAnsi="Arial" w:cs="Arial"/>
                <w:sz w:val="18"/>
                <w:szCs w:val="18"/>
              </w:rPr>
              <w:t xml:space="preserve">Połączenia międzywarstwowe </w:t>
            </w:r>
            <w:r>
              <w:rPr>
                <w:rFonts w:ascii="Arial" w:hAnsi="Arial" w:cs="Arial"/>
                <w:sz w:val="18"/>
                <w:szCs w:val="18"/>
                <w:vertAlign w:val="superscript"/>
              </w:rPr>
              <w:t>c)</w:t>
            </w:r>
          </w:p>
        </w:tc>
      </w:tr>
      <w:tr w:rsidR="001752FA" w14:paraId="4385063D" w14:textId="77777777">
        <w:trPr>
          <w:jc w:val="center"/>
        </w:trPr>
        <w:tc>
          <w:tcPr>
            <w:tcW w:w="8359" w:type="dxa"/>
            <w:gridSpan w:val="2"/>
            <w:tcBorders>
              <w:top w:val="single" w:sz="4" w:space="0" w:color="auto"/>
              <w:left w:val="single" w:sz="4" w:space="0" w:color="auto"/>
              <w:bottom w:val="single" w:sz="4" w:space="0" w:color="auto"/>
              <w:right w:val="single" w:sz="4" w:space="0" w:color="auto"/>
            </w:tcBorders>
            <w:hideMark/>
          </w:tcPr>
          <w:p w14:paraId="4AE5F4A9" w14:textId="77777777" w:rsidR="001752FA" w:rsidRDefault="005D3332">
            <w:pPr>
              <w:ind w:left="317" w:hanging="317"/>
              <w:rPr>
                <w:rFonts w:ascii="Arial" w:hAnsi="Arial" w:cs="Arial"/>
                <w:sz w:val="18"/>
                <w:szCs w:val="18"/>
              </w:rPr>
            </w:pPr>
            <w:r>
              <w:rPr>
                <w:rFonts w:ascii="Arial" w:hAnsi="Arial" w:cs="Arial"/>
                <w:sz w:val="18"/>
                <w:szCs w:val="18"/>
                <w:vertAlign w:val="superscript"/>
              </w:rPr>
              <w:t>a)</w:t>
            </w:r>
            <w:r>
              <w:rPr>
                <w:rFonts w:ascii="Arial" w:hAnsi="Arial" w:cs="Arial"/>
                <w:sz w:val="18"/>
                <w:szCs w:val="18"/>
              </w:rPr>
              <w:t xml:space="preserve"> - ok.10% badań wykonywanych przez Wykonawcę Robót, w razie potrzeby liczba próbek może zostać zwiększona</w:t>
            </w:r>
          </w:p>
          <w:p w14:paraId="72E7E23D" w14:textId="77777777" w:rsidR="001752FA" w:rsidRDefault="005D3332">
            <w:pPr>
              <w:rPr>
                <w:rFonts w:ascii="Arial" w:hAnsi="Arial" w:cs="Arial"/>
                <w:sz w:val="18"/>
                <w:szCs w:val="18"/>
              </w:rPr>
            </w:pPr>
            <w:r>
              <w:rPr>
                <w:rFonts w:ascii="Arial" w:hAnsi="Arial" w:cs="Arial"/>
                <w:sz w:val="18"/>
                <w:szCs w:val="18"/>
                <w:vertAlign w:val="superscript"/>
              </w:rPr>
              <w:t>b)</w:t>
            </w:r>
            <w:r>
              <w:rPr>
                <w:rFonts w:ascii="Arial" w:hAnsi="Arial" w:cs="Arial"/>
                <w:sz w:val="18"/>
                <w:szCs w:val="18"/>
              </w:rPr>
              <w:t xml:space="preserve"> - w razie potrzeby specjalne kruszywa i dodatki</w:t>
            </w:r>
          </w:p>
          <w:p w14:paraId="44DF3F1D" w14:textId="77777777" w:rsidR="001752FA" w:rsidRDefault="005D3332">
            <w:pPr>
              <w:rPr>
                <w:rFonts w:ascii="Arial" w:hAnsi="Arial" w:cs="Arial"/>
                <w:sz w:val="18"/>
                <w:szCs w:val="18"/>
              </w:rPr>
            </w:pPr>
            <w:r>
              <w:rPr>
                <w:rFonts w:ascii="Arial" w:hAnsi="Arial" w:cs="Arial"/>
                <w:sz w:val="18"/>
                <w:szCs w:val="18"/>
                <w:vertAlign w:val="superscript"/>
              </w:rPr>
              <w:t xml:space="preserve">c) </w:t>
            </w:r>
            <w:r>
              <w:rPr>
                <w:rFonts w:ascii="Arial" w:hAnsi="Arial" w:cs="Arial"/>
                <w:sz w:val="18"/>
                <w:szCs w:val="18"/>
              </w:rPr>
              <w:t>– 1 pomiar na 1 km pasa ruchu</w:t>
            </w:r>
          </w:p>
        </w:tc>
      </w:tr>
    </w:tbl>
    <w:p w14:paraId="614D2FAB" w14:textId="77777777" w:rsidR="001752FA" w:rsidRDefault="005D3332">
      <w:pPr>
        <w:tabs>
          <w:tab w:val="left" w:pos="1008"/>
        </w:tabs>
        <w:ind w:hanging="1276"/>
        <w:rPr>
          <w:rFonts w:ascii="Arial" w:hAnsi="Arial" w:cs="Arial"/>
          <w:bCs/>
          <w:snapToGrid w:val="0"/>
          <w:color w:val="000000"/>
          <w:sz w:val="18"/>
          <w:szCs w:val="18"/>
        </w:rPr>
      </w:pPr>
      <w:r>
        <w:rPr>
          <w:rFonts w:ascii="Arial" w:hAnsi="Arial" w:cs="Arial"/>
          <w:bCs/>
          <w:snapToGrid w:val="0"/>
          <w:color w:val="000000"/>
          <w:sz w:val="18"/>
          <w:szCs w:val="18"/>
        </w:rPr>
        <w:tab/>
      </w:r>
    </w:p>
    <w:p w14:paraId="692AA755" w14:textId="77777777" w:rsidR="001752FA" w:rsidRDefault="005D3332">
      <w:pPr>
        <w:tabs>
          <w:tab w:val="left" w:pos="1008"/>
        </w:tabs>
        <w:spacing w:after="60"/>
        <w:rPr>
          <w:rFonts w:ascii="Arial" w:hAnsi="Arial" w:cs="Arial"/>
          <w:snapToGrid w:val="0"/>
          <w:color w:val="000000"/>
          <w:sz w:val="18"/>
          <w:szCs w:val="18"/>
        </w:rPr>
      </w:pPr>
      <w:r>
        <w:rPr>
          <w:rFonts w:ascii="Arial" w:hAnsi="Arial" w:cs="Arial"/>
          <w:b/>
          <w:snapToGrid w:val="0"/>
          <w:color w:val="000000"/>
          <w:sz w:val="18"/>
          <w:szCs w:val="18"/>
        </w:rPr>
        <w:t>6.2.3. Badania kontrolne dodatkowe</w:t>
      </w:r>
    </w:p>
    <w:p w14:paraId="24625D85"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W wypadku uznania, że któryś z wyników badań kontrolnych nie jest reprezentatywny dla ocenianego odcinka budowy, wykonawca ma prawo żądać przeprowadzenia badań kontrolnych dodatkowych. </w:t>
      </w:r>
    </w:p>
    <w:p w14:paraId="6CAA7189"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Zleceniodawca ma prawo do przeprowadzenia badań kontrolnych dodatkowych przy rozważnym pominięciu elementów mało istotnych.</w:t>
      </w:r>
    </w:p>
    <w:p w14:paraId="61D273C7"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Zleceniodawca i wykonawca decydują wspólnie o miejscach pobierania próbek i wyznaczeniu ewentualnych odcinków częściowych ocenianego odcinka budowy. </w:t>
      </w:r>
    </w:p>
    <w:p w14:paraId="61B07F6B"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Jeżeli odcinek częściowy przyporządkowany do badań kontrolnych nie może być jednoznacznie i zgodnie wyznaczony, np. wzrokowo lub przy wykorzystaniu radiometrycznych metod pomiarowych, to odcinek ten nie powinien być mniejszy niż 20 % ocenianego odcinka budowy.</w:t>
      </w:r>
    </w:p>
    <w:p w14:paraId="4B151BD0"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Do odbioru uwzględniane są wyniki badań kontrolnych i badań kontrolnych dodatkowych do wyznaczonych odcinków częściowych.</w:t>
      </w:r>
    </w:p>
    <w:p w14:paraId="03D8E2A4"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Koszty badań kontrolnych dodatkowych zażądanych przez wykonawcę ponosi wykonawca.</w:t>
      </w:r>
    </w:p>
    <w:p w14:paraId="327B6C85" w14:textId="77777777" w:rsidR="001752FA" w:rsidRDefault="001752FA">
      <w:pPr>
        <w:tabs>
          <w:tab w:val="left" w:pos="1008"/>
          <w:tab w:val="left" w:pos="7459"/>
        </w:tabs>
        <w:jc w:val="both"/>
        <w:rPr>
          <w:rFonts w:ascii="Arial" w:hAnsi="Arial" w:cs="Arial"/>
          <w:snapToGrid w:val="0"/>
          <w:color w:val="000000"/>
          <w:sz w:val="18"/>
          <w:szCs w:val="18"/>
        </w:rPr>
      </w:pPr>
    </w:p>
    <w:p w14:paraId="43FEF3F9" w14:textId="77777777" w:rsidR="001752FA" w:rsidRDefault="005D3332">
      <w:pPr>
        <w:tabs>
          <w:tab w:val="left" w:pos="1008"/>
          <w:tab w:val="left" w:pos="7459"/>
        </w:tabs>
        <w:spacing w:after="60"/>
        <w:rPr>
          <w:rFonts w:ascii="Arial" w:hAnsi="Arial" w:cs="Arial"/>
          <w:b/>
          <w:snapToGrid w:val="0"/>
          <w:color w:val="000000"/>
          <w:sz w:val="18"/>
          <w:szCs w:val="18"/>
        </w:rPr>
      </w:pPr>
      <w:r>
        <w:rPr>
          <w:rFonts w:ascii="Arial" w:hAnsi="Arial" w:cs="Arial"/>
          <w:b/>
          <w:snapToGrid w:val="0"/>
          <w:color w:val="000000"/>
          <w:sz w:val="18"/>
          <w:szCs w:val="18"/>
        </w:rPr>
        <w:t>6.2.4. Badania arbitrażowe</w:t>
      </w:r>
    </w:p>
    <w:p w14:paraId="26E26024"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Badania arbitrażowe są powtórzeniem badań kontrolnych, co do których istnieją uzasadnione wątpliwości ze strony zleceniodawcy lub wykonawcy (np. na podstawie własnych badań).</w:t>
      </w:r>
    </w:p>
    <w:p w14:paraId="558EFFE5"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Badania arbitrażowe wykonuje na wniosek strony kontraktu niezależne laboratorium, które nie wykonywało badań kontrolnych. Wyniki tych badań zastępują wyniki badan kontrolnych (pierwotnych).</w:t>
      </w:r>
    </w:p>
    <w:p w14:paraId="69FBE495"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Koszty badań arbitrażowych wraz z wszystkimi kosztami ubocznymi ponosi strona, na której niekorzyść przemawia wynik badania.</w:t>
      </w:r>
    </w:p>
    <w:p w14:paraId="7F7D13A6"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Wniosek o przeprowadzenie badań arbitrażowych dotyczących zawartości wolnych przestrzeni lub wskaźnika zagęszczenia należy złożyć w ciągu 2 miesięcy od wpływu reklamacji ze strony zleceniodawcy.</w:t>
      </w:r>
    </w:p>
    <w:p w14:paraId="7C67BA3E"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 </w:t>
      </w:r>
    </w:p>
    <w:p w14:paraId="3260CEF1" w14:textId="77777777" w:rsidR="001752FA" w:rsidRDefault="005D3332">
      <w:p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6.3.Badania cech geometrycznych warstwy nawierzchni z betonu asfaltowego</w:t>
      </w:r>
    </w:p>
    <w:p w14:paraId="46EFB51D" w14:textId="77777777" w:rsidR="001752FA" w:rsidRDefault="005D3332">
      <w:p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6.3.1. Częstotliwość oraz zakres badań i pomiarów</w:t>
      </w:r>
    </w:p>
    <w:p w14:paraId="7503F0E6" w14:textId="77777777" w:rsidR="001752FA" w:rsidRDefault="005D3332">
      <w:pPr>
        <w:tabs>
          <w:tab w:val="left" w:pos="1008"/>
          <w:tab w:val="left" w:pos="7459"/>
        </w:tabs>
        <w:ind w:firstLine="567"/>
        <w:rPr>
          <w:rFonts w:ascii="Arial" w:hAnsi="Arial" w:cs="Arial"/>
          <w:snapToGrid w:val="0"/>
          <w:color w:val="000000"/>
          <w:sz w:val="18"/>
          <w:szCs w:val="18"/>
        </w:rPr>
      </w:pPr>
      <w:r>
        <w:rPr>
          <w:rFonts w:ascii="Arial" w:hAnsi="Arial" w:cs="Arial"/>
          <w:snapToGrid w:val="0"/>
          <w:color w:val="000000"/>
          <w:sz w:val="18"/>
          <w:szCs w:val="18"/>
        </w:rPr>
        <w:t>Częstość oraz zakres badań i pomiarów podano w Tablicy 12.</w:t>
      </w:r>
    </w:p>
    <w:p w14:paraId="333D9FD1" w14:textId="77777777" w:rsidR="001752FA" w:rsidRDefault="001752FA">
      <w:pPr>
        <w:tabs>
          <w:tab w:val="left" w:pos="1008"/>
          <w:tab w:val="left" w:pos="7459"/>
        </w:tabs>
        <w:rPr>
          <w:rFonts w:ascii="Arial" w:hAnsi="Arial" w:cs="Arial"/>
          <w:snapToGrid w:val="0"/>
          <w:color w:val="000000"/>
          <w:sz w:val="18"/>
          <w:szCs w:val="18"/>
        </w:rPr>
      </w:pPr>
    </w:p>
    <w:p w14:paraId="5E28DCEE"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Tablica 12. Częstość oraz zakres badań i pomiarów warstw wykonanych z AC 16 W.</w:t>
      </w:r>
    </w:p>
    <w:p w14:paraId="60B085A7" w14:textId="77777777" w:rsidR="001752FA" w:rsidRDefault="001752FA">
      <w:pPr>
        <w:tabs>
          <w:tab w:val="left" w:pos="1008"/>
          <w:tab w:val="left" w:pos="7459"/>
        </w:tabs>
        <w:rPr>
          <w:rFonts w:ascii="Arial" w:hAnsi="Arial" w:cs="Arial"/>
          <w:snapToGrid w:val="0"/>
          <w:color w:val="00000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4040"/>
        <w:gridCol w:w="4489"/>
      </w:tblGrid>
      <w:tr w:rsidR="001752FA" w14:paraId="56C47C77" w14:textId="77777777">
        <w:tc>
          <w:tcPr>
            <w:tcW w:w="534" w:type="dxa"/>
          </w:tcPr>
          <w:p w14:paraId="6F0446C9"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Lp.</w:t>
            </w:r>
          </w:p>
        </w:tc>
        <w:tc>
          <w:tcPr>
            <w:tcW w:w="4110" w:type="dxa"/>
          </w:tcPr>
          <w:p w14:paraId="121C752C"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Badana cecha</w:t>
            </w:r>
          </w:p>
        </w:tc>
        <w:tc>
          <w:tcPr>
            <w:tcW w:w="4568" w:type="dxa"/>
          </w:tcPr>
          <w:p w14:paraId="68C7DF0A"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Minimalna częstość wykonywania badań i pomiarów</w:t>
            </w:r>
          </w:p>
        </w:tc>
      </w:tr>
      <w:tr w:rsidR="001752FA" w14:paraId="29BFB70C" w14:textId="77777777">
        <w:tc>
          <w:tcPr>
            <w:tcW w:w="534" w:type="dxa"/>
          </w:tcPr>
          <w:p w14:paraId="4AE7C868"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1. </w:t>
            </w:r>
          </w:p>
        </w:tc>
        <w:tc>
          <w:tcPr>
            <w:tcW w:w="4110" w:type="dxa"/>
          </w:tcPr>
          <w:p w14:paraId="39001C31"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Szerokość warstwy </w:t>
            </w:r>
          </w:p>
        </w:tc>
        <w:tc>
          <w:tcPr>
            <w:tcW w:w="4568" w:type="dxa"/>
          </w:tcPr>
          <w:p w14:paraId="5446588B"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10 razy na 1 km każdej jezdni</w:t>
            </w:r>
          </w:p>
        </w:tc>
      </w:tr>
      <w:tr w:rsidR="001752FA" w14:paraId="1D935046" w14:textId="77777777">
        <w:tc>
          <w:tcPr>
            <w:tcW w:w="534" w:type="dxa"/>
          </w:tcPr>
          <w:p w14:paraId="3ADE0613"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2.</w:t>
            </w:r>
          </w:p>
        </w:tc>
        <w:tc>
          <w:tcPr>
            <w:tcW w:w="4110" w:type="dxa"/>
          </w:tcPr>
          <w:p w14:paraId="729BE203"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Równość podłużna</w:t>
            </w:r>
          </w:p>
        </w:tc>
        <w:tc>
          <w:tcPr>
            <w:tcW w:w="4568" w:type="dxa"/>
          </w:tcPr>
          <w:p w14:paraId="613A887F"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Zgodnie z opisem w pkt. 6.3.1.3.niniejszej STWiORB</w:t>
            </w:r>
          </w:p>
        </w:tc>
      </w:tr>
      <w:tr w:rsidR="001752FA" w14:paraId="615DF4CB" w14:textId="77777777">
        <w:tc>
          <w:tcPr>
            <w:tcW w:w="534" w:type="dxa"/>
          </w:tcPr>
          <w:p w14:paraId="377B42A1"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3.</w:t>
            </w:r>
          </w:p>
        </w:tc>
        <w:tc>
          <w:tcPr>
            <w:tcW w:w="4110" w:type="dxa"/>
          </w:tcPr>
          <w:p w14:paraId="0EB7F2FB"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Równość poprzeczna</w:t>
            </w:r>
          </w:p>
        </w:tc>
        <w:tc>
          <w:tcPr>
            <w:tcW w:w="4568" w:type="dxa"/>
          </w:tcPr>
          <w:p w14:paraId="41F14E84"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Nie rzadziej niż co 5 m</w:t>
            </w:r>
          </w:p>
        </w:tc>
      </w:tr>
      <w:tr w:rsidR="001752FA" w14:paraId="4A7F818A" w14:textId="77777777">
        <w:tc>
          <w:tcPr>
            <w:tcW w:w="534" w:type="dxa"/>
          </w:tcPr>
          <w:p w14:paraId="6C84FD97"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4.</w:t>
            </w:r>
          </w:p>
        </w:tc>
        <w:tc>
          <w:tcPr>
            <w:tcW w:w="4110" w:type="dxa"/>
          </w:tcPr>
          <w:p w14:paraId="45016EA2" w14:textId="77777777" w:rsidR="001752FA" w:rsidRDefault="005D3332">
            <w:pPr>
              <w:tabs>
                <w:tab w:val="left" w:pos="1008"/>
                <w:tab w:val="left" w:pos="7459"/>
              </w:tabs>
              <w:rPr>
                <w:rFonts w:ascii="Arial" w:hAnsi="Arial" w:cs="Arial"/>
                <w:snapToGrid w:val="0"/>
                <w:color w:val="000000"/>
                <w:sz w:val="18"/>
                <w:szCs w:val="18"/>
                <w:vertAlign w:val="superscript"/>
              </w:rPr>
            </w:pPr>
            <w:r>
              <w:rPr>
                <w:rFonts w:ascii="Arial" w:hAnsi="Arial" w:cs="Arial"/>
                <w:snapToGrid w:val="0"/>
                <w:color w:val="000000"/>
                <w:sz w:val="18"/>
                <w:szCs w:val="18"/>
              </w:rPr>
              <w:t>Spadki poprzeczne</w:t>
            </w:r>
            <w:r>
              <w:rPr>
                <w:rFonts w:ascii="Arial" w:hAnsi="Arial" w:cs="Arial"/>
                <w:snapToGrid w:val="0"/>
                <w:color w:val="000000"/>
                <w:sz w:val="18"/>
                <w:szCs w:val="18"/>
                <w:vertAlign w:val="superscript"/>
              </w:rPr>
              <w:t>*)</w:t>
            </w:r>
          </w:p>
        </w:tc>
        <w:tc>
          <w:tcPr>
            <w:tcW w:w="4568" w:type="dxa"/>
          </w:tcPr>
          <w:p w14:paraId="62FE2287"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Nie rzadziej niż co 20 m</w:t>
            </w:r>
          </w:p>
        </w:tc>
      </w:tr>
      <w:tr w:rsidR="001752FA" w14:paraId="27AC3E16" w14:textId="77777777">
        <w:tc>
          <w:tcPr>
            <w:tcW w:w="534" w:type="dxa"/>
          </w:tcPr>
          <w:p w14:paraId="18996593"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5. </w:t>
            </w:r>
          </w:p>
        </w:tc>
        <w:tc>
          <w:tcPr>
            <w:tcW w:w="4110" w:type="dxa"/>
          </w:tcPr>
          <w:p w14:paraId="4FDA7518"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Rzędne wysokościowe ( oś podłużna i krawędzie)</w:t>
            </w:r>
          </w:p>
        </w:tc>
        <w:tc>
          <w:tcPr>
            <w:tcW w:w="4568" w:type="dxa"/>
          </w:tcPr>
          <w:p w14:paraId="0ACAF882"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Co 20 m na prostych i ca 10 m na łukach, w osi i na krawędziach każdej jezdni</w:t>
            </w:r>
          </w:p>
        </w:tc>
      </w:tr>
      <w:tr w:rsidR="001752FA" w14:paraId="6AABB437" w14:textId="77777777">
        <w:tc>
          <w:tcPr>
            <w:tcW w:w="534" w:type="dxa"/>
          </w:tcPr>
          <w:p w14:paraId="15D6A7F0"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6.</w:t>
            </w:r>
          </w:p>
        </w:tc>
        <w:tc>
          <w:tcPr>
            <w:tcW w:w="4110" w:type="dxa"/>
          </w:tcPr>
          <w:p w14:paraId="66F562C6"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Ukształtowanie osi w planie</w:t>
            </w:r>
            <w:r>
              <w:rPr>
                <w:rFonts w:ascii="Arial" w:hAnsi="Arial" w:cs="Arial"/>
                <w:snapToGrid w:val="0"/>
                <w:color w:val="000000"/>
                <w:sz w:val="18"/>
                <w:szCs w:val="18"/>
                <w:vertAlign w:val="superscript"/>
              </w:rPr>
              <w:t>*)</w:t>
            </w:r>
          </w:p>
        </w:tc>
        <w:tc>
          <w:tcPr>
            <w:tcW w:w="4568" w:type="dxa"/>
          </w:tcPr>
          <w:p w14:paraId="6EDB35CC"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Co 100 m</w:t>
            </w:r>
          </w:p>
        </w:tc>
      </w:tr>
      <w:tr w:rsidR="001752FA" w14:paraId="2BE3E0E1" w14:textId="77777777">
        <w:tc>
          <w:tcPr>
            <w:tcW w:w="534" w:type="dxa"/>
          </w:tcPr>
          <w:p w14:paraId="582D8B67"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7.</w:t>
            </w:r>
          </w:p>
        </w:tc>
        <w:tc>
          <w:tcPr>
            <w:tcW w:w="4110" w:type="dxa"/>
          </w:tcPr>
          <w:p w14:paraId="6649DE0F"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Złącza podłużne i poprzeczne </w:t>
            </w:r>
          </w:p>
        </w:tc>
        <w:tc>
          <w:tcPr>
            <w:tcW w:w="4568" w:type="dxa"/>
          </w:tcPr>
          <w:p w14:paraId="3AD8D804"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Każde złącze ( ocena wizualna)</w:t>
            </w:r>
          </w:p>
        </w:tc>
      </w:tr>
      <w:tr w:rsidR="001752FA" w14:paraId="269DA3A4" w14:textId="77777777">
        <w:tc>
          <w:tcPr>
            <w:tcW w:w="534" w:type="dxa"/>
          </w:tcPr>
          <w:p w14:paraId="6036DFE5"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8.</w:t>
            </w:r>
          </w:p>
        </w:tc>
        <w:tc>
          <w:tcPr>
            <w:tcW w:w="4110" w:type="dxa"/>
          </w:tcPr>
          <w:p w14:paraId="34382AF6"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Wygląd warstwy </w:t>
            </w:r>
          </w:p>
        </w:tc>
        <w:tc>
          <w:tcPr>
            <w:tcW w:w="4568" w:type="dxa"/>
          </w:tcPr>
          <w:p w14:paraId="69D4DFE1"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Ocena wizualna</w:t>
            </w:r>
          </w:p>
        </w:tc>
      </w:tr>
    </w:tbl>
    <w:p w14:paraId="089B8972" w14:textId="77777777" w:rsidR="001752FA" w:rsidRDefault="001752FA">
      <w:pPr>
        <w:tabs>
          <w:tab w:val="left" w:pos="1008"/>
          <w:tab w:val="left" w:pos="7459"/>
        </w:tabs>
        <w:rPr>
          <w:rFonts w:ascii="Arial" w:hAnsi="Arial" w:cs="Arial"/>
          <w:snapToGrid w:val="0"/>
          <w:color w:val="000000"/>
          <w:sz w:val="18"/>
          <w:szCs w:val="18"/>
          <w:vertAlign w:val="superscript"/>
        </w:rPr>
      </w:pPr>
    </w:p>
    <w:p w14:paraId="51F49D19"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vertAlign w:val="superscript"/>
        </w:rPr>
        <w:t xml:space="preserve">*) </w:t>
      </w:r>
      <w:r>
        <w:rPr>
          <w:rFonts w:ascii="Arial" w:hAnsi="Arial" w:cs="Arial"/>
          <w:snapToGrid w:val="0"/>
          <w:color w:val="000000"/>
          <w:sz w:val="18"/>
          <w:szCs w:val="18"/>
        </w:rPr>
        <w:t>Dodatkowe pomiary spadków poprzecznych i ukształtowania osi w planie należy wykonać w punktach głównych łuków poziomych.</w:t>
      </w:r>
    </w:p>
    <w:p w14:paraId="303BBB40" w14:textId="77777777" w:rsidR="001752FA" w:rsidRDefault="001752FA">
      <w:pPr>
        <w:tabs>
          <w:tab w:val="left" w:pos="1008"/>
          <w:tab w:val="left" w:pos="7459"/>
        </w:tabs>
        <w:rPr>
          <w:rFonts w:ascii="Arial" w:hAnsi="Arial" w:cs="Arial"/>
          <w:b/>
          <w:snapToGrid w:val="0"/>
          <w:color w:val="000000"/>
          <w:sz w:val="18"/>
          <w:szCs w:val="18"/>
        </w:rPr>
      </w:pPr>
    </w:p>
    <w:p w14:paraId="7E8B40B1" w14:textId="77777777" w:rsidR="001752FA" w:rsidRDefault="005D3332">
      <w:pPr>
        <w:tabs>
          <w:tab w:val="left" w:pos="1008"/>
          <w:tab w:val="left" w:pos="7459"/>
        </w:tabs>
        <w:spacing w:after="60"/>
        <w:jc w:val="both"/>
        <w:rPr>
          <w:rFonts w:ascii="Arial" w:hAnsi="Arial" w:cs="Arial"/>
          <w:b/>
          <w:snapToGrid w:val="0"/>
          <w:color w:val="000000"/>
          <w:sz w:val="18"/>
          <w:szCs w:val="18"/>
        </w:rPr>
      </w:pPr>
      <w:r>
        <w:rPr>
          <w:rFonts w:ascii="Arial" w:hAnsi="Arial" w:cs="Arial"/>
          <w:b/>
          <w:snapToGrid w:val="0"/>
          <w:color w:val="000000"/>
          <w:sz w:val="18"/>
          <w:szCs w:val="18"/>
        </w:rPr>
        <w:t xml:space="preserve">6.3.1.1. </w:t>
      </w:r>
      <w:r>
        <w:rPr>
          <w:rFonts w:ascii="Arial" w:hAnsi="Arial" w:cs="Arial"/>
          <w:b/>
          <w:bCs/>
          <w:snapToGrid w:val="0"/>
          <w:color w:val="000000"/>
          <w:sz w:val="18"/>
          <w:szCs w:val="18"/>
        </w:rPr>
        <w:t>Spadki poprzeczne</w:t>
      </w:r>
    </w:p>
    <w:p w14:paraId="3F3DBA37"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  Spadki poprzeczne nawierzchni należy sprawdzać nie rzadziej niż co 20 m  i dodatkowo w punktach głównych łuków poziomych. </w:t>
      </w:r>
    </w:p>
    <w:p w14:paraId="3E1DA9D2"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  Spadki poprzeczne warstwy na prostych i łukach powinny być zgodne z dokumentacją projektową z tolerancją ±0,5%.</w:t>
      </w:r>
    </w:p>
    <w:p w14:paraId="1308AEF7" w14:textId="77777777" w:rsidR="001752FA" w:rsidRDefault="001752FA">
      <w:pPr>
        <w:tabs>
          <w:tab w:val="left" w:pos="1008"/>
          <w:tab w:val="left" w:pos="7459"/>
        </w:tabs>
        <w:rPr>
          <w:rFonts w:ascii="Arial" w:hAnsi="Arial" w:cs="Arial"/>
          <w:snapToGrid w:val="0"/>
          <w:color w:val="000000"/>
          <w:sz w:val="18"/>
          <w:szCs w:val="18"/>
        </w:rPr>
      </w:pPr>
    </w:p>
    <w:p w14:paraId="4F2CECC2" w14:textId="77777777" w:rsidR="001752FA" w:rsidRDefault="005D3332">
      <w:pPr>
        <w:tabs>
          <w:tab w:val="left" w:pos="1008"/>
          <w:tab w:val="left" w:pos="7459"/>
        </w:tabs>
        <w:spacing w:after="60"/>
        <w:jc w:val="both"/>
        <w:rPr>
          <w:rFonts w:ascii="Arial" w:hAnsi="Arial" w:cs="Arial"/>
          <w:snapToGrid w:val="0"/>
          <w:color w:val="000000"/>
          <w:sz w:val="18"/>
          <w:szCs w:val="18"/>
        </w:rPr>
      </w:pPr>
      <w:r>
        <w:rPr>
          <w:rFonts w:ascii="Arial" w:hAnsi="Arial" w:cs="Arial"/>
          <w:b/>
          <w:snapToGrid w:val="0"/>
          <w:color w:val="000000"/>
          <w:sz w:val="18"/>
          <w:szCs w:val="18"/>
        </w:rPr>
        <w:t>6.3.1.2. Szerokość warstwy</w:t>
      </w:r>
    </w:p>
    <w:p w14:paraId="09839CB5"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  Sprawdzenie szerokości warstwy polega na zmierzeniu w poziomie, taśmą mierniczą, odległości przeciwległych bocznych krawędzi. </w:t>
      </w:r>
    </w:p>
    <w:p w14:paraId="191F7125"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  Szerokość wykonanej warstwy nieograniczonej krawężnikiem nie może różnić się od szerokości projektowanej o więcej niż +5cm.</w:t>
      </w:r>
    </w:p>
    <w:p w14:paraId="6644646B" w14:textId="77777777" w:rsidR="001752FA" w:rsidRDefault="001752FA">
      <w:pPr>
        <w:tabs>
          <w:tab w:val="left" w:pos="1008"/>
          <w:tab w:val="left" w:pos="7459"/>
        </w:tabs>
        <w:jc w:val="both"/>
        <w:rPr>
          <w:rFonts w:ascii="Arial" w:hAnsi="Arial" w:cs="Arial"/>
          <w:snapToGrid w:val="0"/>
          <w:color w:val="000000"/>
          <w:sz w:val="18"/>
          <w:szCs w:val="18"/>
        </w:rPr>
      </w:pPr>
    </w:p>
    <w:p w14:paraId="68CD3DC0" w14:textId="77777777" w:rsidR="001752FA" w:rsidRDefault="005D3332">
      <w:pPr>
        <w:spacing w:after="60"/>
        <w:jc w:val="both"/>
        <w:rPr>
          <w:rFonts w:ascii="Arial" w:hAnsi="Arial" w:cs="Arial"/>
          <w:b/>
          <w:sz w:val="18"/>
          <w:szCs w:val="18"/>
        </w:rPr>
      </w:pPr>
      <w:r>
        <w:rPr>
          <w:rFonts w:ascii="Arial" w:hAnsi="Arial" w:cs="Arial"/>
          <w:b/>
          <w:sz w:val="18"/>
          <w:szCs w:val="18"/>
        </w:rPr>
        <w:t>6.3.1.3. Równość podłużna i poprzeczna warstwy</w:t>
      </w:r>
    </w:p>
    <w:p w14:paraId="24C6E9A2" w14:textId="77777777" w:rsidR="001752FA" w:rsidRDefault="005D3332">
      <w:pPr>
        <w:tabs>
          <w:tab w:val="left" w:pos="426"/>
        </w:tabs>
        <w:suppressAutoHyphens/>
        <w:ind w:firstLine="567"/>
        <w:jc w:val="both"/>
        <w:rPr>
          <w:rFonts w:ascii="Arial" w:hAnsi="Arial" w:cs="Arial"/>
          <w:sz w:val="18"/>
          <w:szCs w:val="18"/>
        </w:rPr>
      </w:pPr>
      <w:r>
        <w:rPr>
          <w:rFonts w:ascii="Arial" w:hAnsi="Arial" w:cs="Arial"/>
          <w:sz w:val="18"/>
          <w:szCs w:val="18"/>
        </w:rPr>
        <w:t xml:space="preserve">  Pomiary równości podłużnej i poprzecznej należy wykonywać w zależności od wielkości robót, obciążenia ruchem oraz klasy drogi zgodnie z Rozporządzeniem Ministra Transportu i Gospodarki Morskiej  z dnia 2 marca 1999 r. w sprawie warunków technicznych, jakim powinny odpowiadać drogi publiczne i ich usytuowanie (Dz. U. z 2016 r., Nr 0, poz. 124).</w:t>
      </w:r>
    </w:p>
    <w:p w14:paraId="7DFDC17E" w14:textId="77777777" w:rsidR="001752FA" w:rsidRDefault="001752FA">
      <w:pPr>
        <w:tabs>
          <w:tab w:val="left" w:pos="426"/>
        </w:tabs>
        <w:suppressAutoHyphens/>
        <w:ind w:firstLine="567"/>
        <w:jc w:val="both"/>
        <w:rPr>
          <w:rFonts w:ascii="Arial" w:hAnsi="Arial" w:cs="Arial"/>
          <w:sz w:val="18"/>
          <w:szCs w:val="18"/>
        </w:rPr>
      </w:pPr>
    </w:p>
    <w:p w14:paraId="0AF4F038" w14:textId="77777777" w:rsidR="001752FA" w:rsidRDefault="001752FA">
      <w:pPr>
        <w:tabs>
          <w:tab w:val="left" w:pos="426"/>
        </w:tabs>
        <w:suppressAutoHyphens/>
        <w:ind w:firstLine="567"/>
        <w:jc w:val="both"/>
        <w:rPr>
          <w:rFonts w:ascii="Arial" w:hAnsi="Arial" w:cs="Arial"/>
          <w:sz w:val="18"/>
          <w:szCs w:val="18"/>
        </w:rPr>
      </w:pPr>
    </w:p>
    <w:p w14:paraId="71B0481E" w14:textId="77777777" w:rsidR="001752FA" w:rsidRDefault="005D3332">
      <w:pPr>
        <w:tabs>
          <w:tab w:val="left" w:pos="142"/>
          <w:tab w:val="right" w:pos="8809"/>
        </w:tabs>
        <w:spacing w:after="120"/>
        <w:jc w:val="center"/>
        <w:rPr>
          <w:rFonts w:ascii="Arial" w:hAnsi="Arial" w:cs="Arial"/>
          <w:b/>
        </w:rPr>
      </w:pPr>
      <w:r>
        <w:rPr>
          <w:rFonts w:ascii="Arial" w:hAnsi="Arial" w:cs="Arial"/>
          <w:b/>
        </w:rPr>
        <w:t>7. OBMIAR ROBÓT</w:t>
      </w:r>
    </w:p>
    <w:p w14:paraId="12CB9472"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7.1.     Ogólne zasady obmiaru robót</w:t>
      </w:r>
    </w:p>
    <w:p w14:paraId="270AA279"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Ogólne zasady obmiaru robót podano w DM-00.00.00. „Wymagania ogólne" pkt. 7.</w:t>
      </w:r>
    </w:p>
    <w:p w14:paraId="5E07B341" w14:textId="77777777" w:rsidR="001752FA" w:rsidRDefault="005D3332">
      <w:pPr>
        <w:tabs>
          <w:tab w:val="right" w:pos="8809"/>
        </w:tabs>
        <w:ind w:firstLine="567"/>
        <w:rPr>
          <w:rFonts w:ascii="Arial" w:hAnsi="Arial" w:cs="Arial"/>
          <w:sz w:val="18"/>
          <w:szCs w:val="18"/>
        </w:rPr>
      </w:pPr>
      <w:r>
        <w:rPr>
          <w:rFonts w:ascii="Arial" w:hAnsi="Arial" w:cs="Arial"/>
          <w:sz w:val="18"/>
          <w:szCs w:val="18"/>
        </w:rPr>
        <w:t>Jednostką obmiarową jest 1m</w:t>
      </w:r>
      <w:r>
        <w:rPr>
          <w:rFonts w:ascii="Arial" w:hAnsi="Arial" w:cs="Arial"/>
          <w:sz w:val="18"/>
          <w:szCs w:val="18"/>
          <w:vertAlign w:val="superscript"/>
        </w:rPr>
        <w:t>2</w:t>
      </w:r>
      <w:r>
        <w:rPr>
          <w:rFonts w:ascii="Arial" w:hAnsi="Arial" w:cs="Arial"/>
          <w:sz w:val="18"/>
          <w:szCs w:val="18"/>
        </w:rPr>
        <w:t xml:space="preserve"> [metr kwadratowy] wykonanej warstwy wiążącej z mieszanki AC 16 W.</w:t>
      </w:r>
    </w:p>
    <w:p w14:paraId="6874A066" w14:textId="77777777" w:rsidR="001752FA" w:rsidRDefault="001752FA">
      <w:pPr>
        <w:tabs>
          <w:tab w:val="left" w:pos="0"/>
          <w:tab w:val="right" w:pos="8809"/>
        </w:tabs>
        <w:jc w:val="both"/>
        <w:rPr>
          <w:rFonts w:ascii="Arial" w:hAnsi="Arial" w:cs="Arial"/>
          <w:b/>
          <w:sz w:val="18"/>
          <w:szCs w:val="18"/>
        </w:rPr>
      </w:pPr>
    </w:p>
    <w:p w14:paraId="5D3A5673" w14:textId="77777777" w:rsidR="001752FA" w:rsidRDefault="005D3332">
      <w:pPr>
        <w:tabs>
          <w:tab w:val="left" w:pos="0"/>
          <w:tab w:val="right" w:pos="8809"/>
        </w:tabs>
        <w:jc w:val="both"/>
        <w:rPr>
          <w:rFonts w:ascii="Arial" w:hAnsi="Arial" w:cs="Arial"/>
          <w:b/>
          <w:sz w:val="18"/>
          <w:szCs w:val="18"/>
        </w:rPr>
      </w:pPr>
      <w:r>
        <w:rPr>
          <w:rFonts w:ascii="Arial" w:hAnsi="Arial" w:cs="Arial"/>
          <w:b/>
          <w:sz w:val="18"/>
          <w:szCs w:val="18"/>
        </w:rPr>
        <w:tab/>
      </w:r>
    </w:p>
    <w:p w14:paraId="22135B1D" w14:textId="77777777" w:rsidR="001752FA" w:rsidRDefault="005D3332">
      <w:pPr>
        <w:tabs>
          <w:tab w:val="left" w:pos="142"/>
          <w:tab w:val="right" w:pos="8809"/>
        </w:tabs>
        <w:spacing w:after="120"/>
        <w:jc w:val="center"/>
        <w:rPr>
          <w:rFonts w:ascii="Arial" w:hAnsi="Arial" w:cs="Arial"/>
          <w:b/>
        </w:rPr>
      </w:pPr>
      <w:r>
        <w:rPr>
          <w:rFonts w:ascii="Arial" w:hAnsi="Arial" w:cs="Arial"/>
          <w:b/>
        </w:rPr>
        <w:t>8. ODBIÓR ROBÓT</w:t>
      </w:r>
    </w:p>
    <w:p w14:paraId="5B9B1923"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8.1.     Ogólne zasady odbioru robót</w:t>
      </w:r>
    </w:p>
    <w:p w14:paraId="682036FE"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Ogólne zasady odbioru robót podano w DM.00.00.00.Wymagania ogólne pkt.8</w:t>
      </w:r>
    </w:p>
    <w:p w14:paraId="36EAA1F7"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Roboty uznaje się za wykonane zgodnie z dokumentacją projektową, niniejszą STWiORB i wymaganiami Inspektora Nadzoru, jeżeli wszystkie pomiary i badania z zachowaniem dopuszczalnych tolerancji dały wyniki pozytywne.</w:t>
      </w:r>
    </w:p>
    <w:p w14:paraId="62544596" w14:textId="77777777" w:rsidR="001752FA" w:rsidRDefault="001752FA">
      <w:pPr>
        <w:tabs>
          <w:tab w:val="left" w:pos="0"/>
          <w:tab w:val="right" w:pos="8809"/>
        </w:tabs>
        <w:jc w:val="both"/>
        <w:rPr>
          <w:rFonts w:ascii="Arial" w:hAnsi="Arial" w:cs="Arial"/>
          <w:sz w:val="18"/>
          <w:szCs w:val="18"/>
        </w:rPr>
      </w:pPr>
    </w:p>
    <w:p w14:paraId="55FE88EC" w14:textId="77777777" w:rsidR="001752FA" w:rsidRDefault="001752FA">
      <w:pPr>
        <w:tabs>
          <w:tab w:val="left" w:pos="0"/>
          <w:tab w:val="right" w:pos="8809"/>
        </w:tabs>
        <w:jc w:val="both"/>
        <w:rPr>
          <w:rFonts w:ascii="Arial" w:hAnsi="Arial" w:cs="Arial"/>
          <w:sz w:val="18"/>
          <w:szCs w:val="18"/>
        </w:rPr>
      </w:pPr>
    </w:p>
    <w:p w14:paraId="20D7A220" w14:textId="77777777" w:rsidR="001752FA" w:rsidRDefault="005D3332">
      <w:pPr>
        <w:tabs>
          <w:tab w:val="left" w:pos="142"/>
          <w:tab w:val="right" w:pos="8809"/>
        </w:tabs>
        <w:spacing w:after="120"/>
        <w:jc w:val="center"/>
        <w:rPr>
          <w:rFonts w:ascii="Arial" w:hAnsi="Arial" w:cs="Arial"/>
          <w:b/>
        </w:rPr>
      </w:pPr>
      <w:r>
        <w:rPr>
          <w:rFonts w:ascii="Arial" w:hAnsi="Arial" w:cs="Arial"/>
          <w:b/>
        </w:rPr>
        <w:t>9. PODSTAWA PŁATNOŚCI</w:t>
      </w:r>
    </w:p>
    <w:p w14:paraId="0B7357AE"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9.1.     Ogólne ustalenia dotyczące podstaw płatności</w:t>
      </w:r>
    </w:p>
    <w:p w14:paraId="62F76E93"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Ogólne ustalenia dotyczące podstaw płatności podano w DM.00.00.00. „Wymagania ogólne" pkt. 9.</w:t>
      </w:r>
    </w:p>
    <w:p w14:paraId="4959D85D"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Zakres płatności za wykonane warstwy należy przyjmować zgodnie z obmiarem i oceną jakości wykonanych robót.</w:t>
      </w:r>
    </w:p>
    <w:p w14:paraId="16CE5542" w14:textId="77777777" w:rsidR="001752FA" w:rsidRDefault="001752FA">
      <w:pPr>
        <w:tabs>
          <w:tab w:val="left" w:pos="0"/>
          <w:tab w:val="right" w:pos="8809"/>
        </w:tabs>
        <w:jc w:val="both"/>
        <w:rPr>
          <w:rFonts w:ascii="Arial" w:hAnsi="Arial" w:cs="Arial"/>
          <w:sz w:val="18"/>
          <w:szCs w:val="18"/>
        </w:rPr>
      </w:pPr>
    </w:p>
    <w:p w14:paraId="04A986EB"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9.2.      Cena jednostki obmiarowej</w:t>
      </w:r>
    </w:p>
    <w:p w14:paraId="76A992D9"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Cena jednostki obmiarowej 1 metra kwadratowego [m</w:t>
      </w:r>
      <w:r>
        <w:rPr>
          <w:rFonts w:ascii="Arial" w:hAnsi="Arial" w:cs="Arial"/>
          <w:sz w:val="18"/>
          <w:szCs w:val="18"/>
          <w:vertAlign w:val="superscript"/>
        </w:rPr>
        <w:t>2</w:t>
      </w:r>
      <w:r>
        <w:rPr>
          <w:rFonts w:ascii="Arial" w:hAnsi="Arial" w:cs="Arial"/>
          <w:sz w:val="18"/>
          <w:szCs w:val="18"/>
        </w:rPr>
        <w:t>] wykonanej warstwy wiążącej obejmuje :</w:t>
      </w:r>
    </w:p>
    <w:p w14:paraId="627398D9"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prace pomiarowe i roboty przygotowawcze,</w:t>
      </w:r>
    </w:p>
    <w:p w14:paraId="07BBAD27"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oznakowanie robót,</w:t>
      </w:r>
    </w:p>
    <w:p w14:paraId="45EE6F5C"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zakup, dostarczenie składników, wyprodukowanie mieszanki mineralno-bitumicznej na podstawie zatwierdzo-nych receptur  i  jej transport na miejsce wbudowania,</w:t>
      </w:r>
    </w:p>
    <w:p w14:paraId="6732ED1E"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koszt zapewnienia niezbędnych czynników produkcji,</w:t>
      </w:r>
    </w:p>
    <w:p w14:paraId="27BF89CB"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opracowanie recepty laboratoryjnej wraz z przeprowadzeniem wymaganych badań,</w:t>
      </w:r>
    </w:p>
    <w:p w14:paraId="7A15E7D1"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wykonanie odcinka próbnego wraz z wykonaniem niezbędnych pomiarów i sprawdzeń,</w:t>
      </w:r>
    </w:p>
    <w:p w14:paraId="356B2A2C"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oczyszczenie i skropienie podłoża,</w:t>
      </w:r>
    </w:p>
    <w:p w14:paraId="6B3DAD87"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posmarowanie lepiszczem krawędzi urządzeń obcych,</w:t>
      </w:r>
    </w:p>
    <w:p w14:paraId="38370230"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dostarczenie, ustawienie, rozebranie i odwiezienie prowadnic oraz innych materiałów</w:t>
      </w:r>
    </w:p>
    <w:p w14:paraId="315BC5E1" w14:textId="77777777" w:rsidR="001752FA" w:rsidRDefault="005D3332">
      <w:pPr>
        <w:pStyle w:val="Akapitzlist"/>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i urządzeń pomocniczych,</w:t>
      </w:r>
    </w:p>
    <w:p w14:paraId="28C3056F"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rozłożenie i zagęszczenie warstwy nawierzchni,</w:t>
      </w:r>
    </w:p>
    <w:p w14:paraId="5CB42BBE"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wykonanie połączeń podłużnych i poprzecznych,</w:t>
      </w:r>
    </w:p>
    <w:p w14:paraId="06FF0F9D"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obcięcie krawędzi i posmarowanie asfaltem,</w:t>
      </w:r>
    </w:p>
    <w:p w14:paraId="0206A99E"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przeprowadzenie pomiarów i badań laboratoryjnych wymaganych w specyfikacji technicznej,</w:t>
      </w:r>
    </w:p>
    <w:p w14:paraId="54A5D2FC"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koszt utrzymania czystości na przylegających drogach.</w:t>
      </w:r>
    </w:p>
    <w:p w14:paraId="789BFD6A"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 xml:space="preserve"> </w:t>
      </w:r>
    </w:p>
    <w:p w14:paraId="1355C39F" w14:textId="77777777" w:rsidR="001752FA" w:rsidRDefault="001752FA">
      <w:pPr>
        <w:tabs>
          <w:tab w:val="left" w:pos="0"/>
          <w:tab w:val="right" w:pos="8809"/>
        </w:tabs>
        <w:jc w:val="both"/>
        <w:rPr>
          <w:rFonts w:ascii="Arial" w:hAnsi="Arial" w:cs="Arial"/>
          <w:sz w:val="18"/>
          <w:szCs w:val="18"/>
        </w:rPr>
      </w:pPr>
    </w:p>
    <w:p w14:paraId="5C3E64D4" w14:textId="77777777" w:rsidR="001752FA" w:rsidRDefault="005D3332">
      <w:pPr>
        <w:tabs>
          <w:tab w:val="left" w:pos="142"/>
          <w:tab w:val="right" w:pos="8809"/>
        </w:tabs>
        <w:spacing w:after="120"/>
        <w:jc w:val="center"/>
        <w:rPr>
          <w:rFonts w:ascii="Arial" w:hAnsi="Arial" w:cs="Arial"/>
          <w:b/>
        </w:rPr>
      </w:pPr>
      <w:r>
        <w:rPr>
          <w:rFonts w:ascii="Arial" w:hAnsi="Arial" w:cs="Arial"/>
          <w:b/>
        </w:rPr>
        <w:lastRenderedPageBreak/>
        <w:t>10. PRZEPISY ZWIĄZANE</w:t>
      </w:r>
    </w:p>
    <w:p w14:paraId="60AF1073" w14:textId="77777777" w:rsidR="001752FA" w:rsidRDefault="005D3332">
      <w:pPr>
        <w:tabs>
          <w:tab w:val="left" w:pos="1008"/>
          <w:tab w:val="left" w:pos="7459"/>
        </w:tabs>
        <w:spacing w:after="60"/>
        <w:rPr>
          <w:rFonts w:ascii="Arial" w:hAnsi="Arial" w:cs="Arial"/>
          <w:bCs/>
          <w:snapToGrid w:val="0"/>
          <w:color w:val="000000"/>
          <w:sz w:val="18"/>
          <w:szCs w:val="18"/>
        </w:rPr>
      </w:pPr>
      <w:r>
        <w:rPr>
          <w:rFonts w:ascii="Arial" w:hAnsi="Arial" w:cs="Arial"/>
          <w:b/>
          <w:bCs/>
          <w:snapToGrid w:val="0"/>
          <w:color w:val="000000"/>
          <w:sz w:val="18"/>
          <w:szCs w:val="18"/>
        </w:rPr>
        <w:t>10.1.Normy</w:t>
      </w:r>
    </w:p>
    <w:p w14:paraId="3716FA26" w14:textId="77777777" w:rsidR="001752FA" w:rsidRDefault="005D3332">
      <w:pPr>
        <w:ind w:left="1701" w:hanging="1701"/>
        <w:rPr>
          <w:rFonts w:ascii="Arial" w:hAnsi="Arial" w:cs="Arial"/>
          <w:sz w:val="18"/>
          <w:szCs w:val="18"/>
        </w:rPr>
      </w:pPr>
      <w:r>
        <w:rPr>
          <w:rFonts w:ascii="Arial" w:hAnsi="Arial" w:cs="Arial"/>
          <w:sz w:val="18"/>
          <w:szCs w:val="18"/>
        </w:rPr>
        <w:t>PN-EN 932-3</w:t>
      </w:r>
      <w:r>
        <w:rPr>
          <w:rFonts w:ascii="Arial" w:hAnsi="Arial" w:cs="Arial"/>
          <w:sz w:val="18"/>
          <w:szCs w:val="18"/>
        </w:rPr>
        <w:tab/>
        <w:t>Badania podstawowych właściwości kruszyw – Procedura i terminologia uproszczonego opisu petrograficznego</w:t>
      </w:r>
    </w:p>
    <w:p w14:paraId="07874CA4" w14:textId="77777777" w:rsidR="001752FA" w:rsidRDefault="005D3332">
      <w:pPr>
        <w:ind w:left="1701" w:hanging="1701"/>
        <w:rPr>
          <w:rFonts w:ascii="Arial" w:hAnsi="Arial" w:cs="Arial"/>
          <w:sz w:val="18"/>
          <w:szCs w:val="18"/>
        </w:rPr>
      </w:pPr>
      <w:r>
        <w:rPr>
          <w:rFonts w:ascii="Arial" w:hAnsi="Arial" w:cs="Arial"/>
          <w:sz w:val="18"/>
          <w:szCs w:val="18"/>
        </w:rPr>
        <w:t>PN-EN 932-5</w:t>
      </w:r>
      <w:r>
        <w:rPr>
          <w:rFonts w:ascii="Arial" w:hAnsi="Arial" w:cs="Arial"/>
          <w:sz w:val="18"/>
          <w:szCs w:val="18"/>
        </w:rPr>
        <w:tab/>
        <w:t>Badania podstawowych właściwości kruszyw – Część 5: Wyposażenie podstawowe i wzorcowanie</w:t>
      </w:r>
    </w:p>
    <w:p w14:paraId="6C93D1F8" w14:textId="77777777" w:rsidR="001752FA" w:rsidRDefault="005D3332">
      <w:pPr>
        <w:ind w:left="1701" w:hanging="1701"/>
        <w:rPr>
          <w:rFonts w:ascii="Arial" w:hAnsi="Arial" w:cs="Arial"/>
          <w:sz w:val="18"/>
          <w:szCs w:val="18"/>
        </w:rPr>
      </w:pPr>
      <w:r>
        <w:rPr>
          <w:rFonts w:ascii="Arial" w:hAnsi="Arial" w:cs="Arial"/>
          <w:sz w:val="18"/>
          <w:szCs w:val="18"/>
        </w:rPr>
        <w:t>PN-EN 933-1</w:t>
      </w:r>
      <w:r>
        <w:rPr>
          <w:rFonts w:ascii="Arial" w:hAnsi="Arial" w:cs="Arial"/>
          <w:sz w:val="18"/>
          <w:szCs w:val="18"/>
        </w:rPr>
        <w:tab/>
        <w:t>Badania geometrycznych właściwości kruszyw – Oznaczanie składu ziarnowego. Metoda przesiewania</w:t>
      </w:r>
    </w:p>
    <w:p w14:paraId="7DEAFF3E" w14:textId="77777777" w:rsidR="001752FA" w:rsidRDefault="005D3332">
      <w:pPr>
        <w:ind w:left="1701" w:hanging="1701"/>
        <w:rPr>
          <w:rFonts w:ascii="Arial" w:hAnsi="Arial" w:cs="Arial"/>
          <w:sz w:val="18"/>
          <w:szCs w:val="18"/>
        </w:rPr>
      </w:pPr>
      <w:r>
        <w:rPr>
          <w:rFonts w:ascii="Arial" w:hAnsi="Arial" w:cs="Arial"/>
          <w:sz w:val="18"/>
          <w:szCs w:val="18"/>
        </w:rPr>
        <w:t>PN-EN 933-3</w:t>
      </w:r>
      <w:r>
        <w:rPr>
          <w:rFonts w:ascii="Arial" w:hAnsi="Arial" w:cs="Arial"/>
          <w:sz w:val="18"/>
          <w:szCs w:val="18"/>
        </w:rPr>
        <w:tab/>
        <w:t>Badania geometrycznych właściwości kruszyw – Oznaczanie kształtu ziaren za pomocą wskaźnika płaskości</w:t>
      </w:r>
    </w:p>
    <w:p w14:paraId="3B4ED9F2" w14:textId="77777777" w:rsidR="001752FA" w:rsidRDefault="005D3332">
      <w:pPr>
        <w:ind w:left="1701" w:hanging="1701"/>
        <w:rPr>
          <w:rFonts w:ascii="Arial" w:hAnsi="Arial" w:cs="Arial"/>
          <w:sz w:val="18"/>
          <w:szCs w:val="18"/>
        </w:rPr>
      </w:pPr>
      <w:r>
        <w:rPr>
          <w:rFonts w:ascii="Arial" w:hAnsi="Arial" w:cs="Arial"/>
          <w:sz w:val="18"/>
          <w:szCs w:val="18"/>
        </w:rPr>
        <w:t>PN-EN 933-4</w:t>
      </w:r>
      <w:r>
        <w:rPr>
          <w:rFonts w:ascii="Arial" w:hAnsi="Arial" w:cs="Arial"/>
          <w:sz w:val="18"/>
          <w:szCs w:val="18"/>
        </w:rPr>
        <w:tab/>
        <w:t>Badania geometrycznych właściwości kruszyw – Część 4: Oznaczanie kształtu ziaren – Wskaźnik kształtu</w:t>
      </w:r>
    </w:p>
    <w:p w14:paraId="5B0BEC75" w14:textId="77777777" w:rsidR="001752FA" w:rsidRDefault="005D3332">
      <w:pPr>
        <w:ind w:left="1701" w:hanging="1701"/>
        <w:rPr>
          <w:rFonts w:ascii="Arial" w:hAnsi="Arial" w:cs="Arial"/>
          <w:sz w:val="18"/>
          <w:szCs w:val="18"/>
        </w:rPr>
      </w:pPr>
      <w:r>
        <w:rPr>
          <w:rFonts w:ascii="Arial" w:hAnsi="Arial" w:cs="Arial"/>
          <w:sz w:val="18"/>
          <w:szCs w:val="18"/>
        </w:rPr>
        <w:t>PN-EN 933-5</w:t>
      </w:r>
      <w:r>
        <w:rPr>
          <w:rFonts w:ascii="Arial" w:hAnsi="Arial" w:cs="Arial"/>
          <w:sz w:val="18"/>
          <w:szCs w:val="18"/>
        </w:rPr>
        <w:tab/>
        <w:t>Badania geometrycznych właściwości kruszyw – Oznaczanie procentowej zawartości ziaren o powierzchniach powstałych w wyniku przekruszenia lub łamania kruszyw grubych</w:t>
      </w:r>
    </w:p>
    <w:p w14:paraId="737B32A5" w14:textId="77777777" w:rsidR="001752FA" w:rsidRDefault="005D3332">
      <w:pPr>
        <w:ind w:left="1701" w:hanging="1701"/>
        <w:rPr>
          <w:rFonts w:ascii="Arial" w:hAnsi="Arial" w:cs="Arial"/>
          <w:sz w:val="18"/>
          <w:szCs w:val="18"/>
        </w:rPr>
      </w:pPr>
      <w:r>
        <w:rPr>
          <w:rFonts w:ascii="Arial" w:hAnsi="Arial" w:cs="Arial"/>
          <w:sz w:val="18"/>
          <w:szCs w:val="18"/>
        </w:rPr>
        <w:t>PN-EN 933-6</w:t>
      </w:r>
      <w:r>
        <w:rPr>
          <w:rFonts w:ascii="Arial" w:hAnsi="Arial" w:cs="Arial"/>
          <w:sz w:val="18"/>
          <w:szCs w:val="18"/>
        </w:rPr>
        <w:tab/>
        <w:t>Badania geometrycznych właściwości kruszyw – Część 6: Ocena właściwości powierzchni – Wskaźnik przepływu kruszywa</w:t>
      </w:r>
    </w:p>
    <w:p w14:paraId="5852E498" w14:textId="77777777" w:rsidR="001752FA" w:rsidRDefault="005D3332">
      <w:pPr>
        <w:ind w:left="1701" w:hanging="1701"/>
        <w:rPr>
          <w:rFonts w:ascii="Arial" w:hAnsi="Arial" w:cs="Arial"/>
          <w:sz w:val="18"/>
          <w:szCs w:val="18"/>
        </w:rPr>
      </w:pPr>
      <w:r>
        <w:rPr>
          <w:rFonts w:ascii="Arial" w:hAnsi="Arial" w:cs="Arial"/>
          <w:sz w:val="18"/>
          <w:szCs w:val="18"/>
        </w:rPr>
        <w:t>PN-EN 933-9</w:t>
      </w:r>
      <w:r>
        <w:rPr>
          <w:rFonts w:ascii="Arial" w:hAnsi="Arial" w:cs="Arial"/>
          <w:sz w:val="18"/>
          <w:szCs w:val="18"/>
        </w:rPr>
        <w:tab/>
        <w:t>Badania geometrycznych właściwości kruszyw – Ocena zawartości drobnych cząstek – Badania błękitem metylenowym</w:t>
      </w:r>
    </w:p>
    <w:p w14:paraId="7F187069" w14:textId="77777777" w:rsidR="001752FA" w:rsidRDefault="005D3332">
      <w:pPr>
        <w:ind w:left="1701" w:hanging="1701"/>
        <w:rPr>
          <w:rFonts w:ascii="Arial" w:hAnsi="Arial" w:cs="Arial"/>
          <w:sz w:val="18"/>
          <w:szCs w:val="18"/>
        </w:rPr>
      </w:pPr>
      <w:r>
        <w:rPr>
          <w:rFonts w:ascii="Arial" w:hAnsi="Arial" w:cs="Arial"/>
          <w:sz w:val="18"/>
          <w:szCs w:val="18"/>
        </w:rPr>
        <w:t>PN-EN 933-10</w:t>
      </w:r>
      <w:r>
        <w:rPr>
          <w:rFonts w:ascii="Arial" w:hAnsi="Arial" w:cs="Arial"/>
          <w:sz w:val="18"/>
          <w:szCs w:val="18"/>
        </w:rPr>
        <w:tab/>
        <w:t>Badania geometrycznych właściwości kruszyw – Część 10: Ocena zawartości drobnych cząstek – Uziarnienie wypełniaczy (przesiewanie w strumieniu powietrza)</w:t>
      </w:r>
    </w:p>
    <w:p w14:paraId="679D5A23" w14:textId="77777777" w:rsidR="001752FA" w:rsidRDefault="005D3332">
      <w:pPr>
        <w:ind w:left="1701" w:hanging="1701"/>
        <w:rPr>
          <w:rFonts w:ascii="Arial" w:hAnsi="Arial" w:cs="Arial"/>
          <w:sz w:val="18"/>
          <w:szCs w:val="18"/>
        </w:rPr>
      </w:pPr>
      <w:r>
        <w:rPr>
          <w:rFonts w:ascii="Arial" w:hAnsi="Arial" w:cs="Arial"/>
          <w:sz w:val="18"/>
          <w:szCs w:val="18"/>
        </w:rPr>
        <w:t>PN-EN 1097-2</w:t>
      </w:r>
      <w:r>
        <w:rPr>
          <w:rFonts w:ascii="Arial" w:hAnsi="Arial" w:cs="Arial"/>
          <w:sz w:val="18"/>
          <w:szCs w:val="18"/>
        </w:rPr>
        <w:tab/>
        <w:t>Badania mechanicznych i fizycznych właściwości kruszyw – Metody oznaczania odporności na rozdrabianie</w:t>
      </w:r>
    </w:p>
    <w:p w14:paraId="1A97E36F" w14:textId="77777777" w:rsidR="001752FA" w:rsidRDefault="005D3332">
      <w:pPr>
        <w:ind w:left="1701" w:hanging="1701"/>
        <w:rPr>
          <w:rFonts w:ascii="Arial" w:hAnsi="Arial" w:cs="Arial"/>
          <w:sz w:val="18"/>
          <w:szCs w:val="18"/>
        </w:rPr>
      </w:pPr>
      <w:r>
        <w:rPr>
          <w:rFonts w:ascii="Arial" w:hAnsi="Arial" w:cs="Arial"/>
          <w:sz w:val="18"/>
          <w:szCs w:val="18"/>
        </w:rPr>
        <w:t>PN-EN 1097-3</w:t>
      </w:r>
      <w:r>
        <w:rPr>
          <w:rFonts w:ascii="Arial" w:hAnsi="Arial" w:cs="Arial"/>
          <w:sz w:val="18"/>
          <w:szCs w:val="18"/>
        </w:rPr>
        <w:tab/>
        <w:t>Badania mechanicznych i fizycznych właściwości kruszyw – Oznaczanie gęstości nasypowej i jamistości</w:t>
      </w:r>
    </w:p>
    <w:p w14:paraId="4FFCD052" w14:textId="77777777" w:rsidR="001752FA" w:rsidRDefault="005D3332">
      <w:pPr>
        <w:ind w:left="1701" w:hanging="1701"/>
        <w:rPr>
          <w:rFonts w:ascii="Arial" w:hAnsi="Arial" w:cs="Arial"/>
          <w:sz w:val="18"/>
          <w:szCs w:val="18"/>
        </w:rPr>
      </w:pPr>
      <w:r>
        <w:rPr>
          <w:rFonts w:ascii="Arial" w:hAnsi="Arial" w:cs="Arial"/>
          <w:sz w:val="18"/>
          <w:szCs w:val="18"/>
        </w:rPr>
        <w:t>PN-EN 1097-4</w:t>
      </w:r>
      <w:r>
        <w:rPr>
          <w:rFonts w:ascii="Arial" w:hAnsi="Arial" w:cs="Arial"/>
          <w:sz w:val="18"/>
          <w:szCs w:val="18"/>
        </w:rPr>
        <w:tab/>
        <w:t>Badania mechanicznych i fizycznych właściwości kruszyw – Część 4: Oznaczanie pustych przestrzeni suchego, zagęszczonego wypełniacza</w:t>
      </w:r>
    </w:p>
    <w:p w14:paraId="30D0C011" w14:textId="77777777" w:rsidR="001752FA" w:rsidRDefault="005D3332">
      <w:pPr>
        <w:ind w:left="1701" w:hanging="1701"/>
        <w:rPr>
          <w:rFonts w:ascii="Arial" w:hAnsi="Arial" w:cs="Arial"/>
          <w:sz w:val="18"/>
          <w:szCs w:val="18"/>
        </w:rPr>
      </w:pPr>
      <w:r>
        <w:rPr>
          <w:rFonts w:ascii="Arial" w:hAnsi="Arial" w:cs="Arial"/>
          <w:sz w:val="18"/>
          <w:szCs w:val="18"/>
        </w:rPr>
        <w:t>PN-EN 1097-5</w:t>
      </w:r>
      <w:r>
        <w:rPr>
          <w:rFonts w:ascii="Arial" w:hAnsi="Arial" w:cs="Arial"/>
          <w:sz w:val="18"/>
          <w:szCs w:val="18"/>
        </w:rPr>
        <w:tab/>
        <w:t>Badania mechanicznych i fizycznych właściwości kruszyw – Część 5: Oznaczanie zawartości wody przez suszenie w suszarce z wentylacją</w:t>
      </w:r>
    </w:p>
    <w:p w14:paraId="536523B1" w14:textId="77777777" w:rsidR="001752FA" w:rsidRDefault="005D3332">
      <w:pPr>
        <w:ind w:left="1701" w:hanging="1701"/>
        <w:rPr>
          <w:rFonts w:ascii="Arial" w:hAnsi="Arial" w:cs="Arial"/>
          <w:sz w:val="18"/>
          <w:szCs w:val="18"/>
        </w:rPr>
      </w:pPr>
      <w:r>
        <w:rPr>
          <w:rFonts w:ascii="Arial" w:hAnsi="Arial" w:cs="Arial"/>
          <w:sz w:val="18"/>
          <w:szCs w:val="18"/>
        </w:rPr>
        <w:t>PN-EN 1097-6</w:t>
      </w:r>
      <w:r>
        <w:rPr>
          <w:rFonts w:ascii="Arial" w:hAnsi="Arial" w:cs="Arial"/>
          <w:sz w:val="18"/>
          <w:szCs w:val="18"/>
        </w:rPr>
        <w:tab/>
        <w:t>Badania mechanicznych i fizycznych właściwości kruszyw – Część 6: Oznaczanie gęstości ziaren i nasiąkliwości</w:t>
      </w:r>
    </w:p>
    <w:p w14:paraId="6A171D22" w14:textId="77777777" w:rsidR="001752FA" w:rsidRDefault="005D3332">
      <w:pPr>
        <w:ind w:left="1701" w:hanging="1701"/>
        <w:rPr>
          <w:rFonts w:ascii="Arial" w:hAnsi="Arial" w:cs="Arial"/>
          <w:sz w:val="18"/>
          <w:szCs w:val="18"/>
        </w:rPr>
      </w:pPr>
      <w:r>
        <w:rPr>
          <w:rFonts w:ascii="Arial" w:hAnsi="Arial" w:cs="Arial"/>
          <w:sz w:val="18"/>
          <w:szCs w:val="18"/>
        </w:rPr>
        <w:t>PN-EN 1097-7</w:t>
      </w:r>
      <w:r>
        <w:rPr>
          <w:rFonts w:ascii="Arial" w:hAnsi="Arial" w:cs="Arial"/>
          <w:sz w:val="18"/>
          <w:szCs w:val="18"/>
        </w:rPr>
        <w:tab/>
        <w:t>Badania mechanicznych i fizycznych właściwości kruszyw – Część 7: Oznaczanie gęstości wypełniacza. Metoda piknometryczna</w:t>
      </w:r>
    </w:p>
    <w:p w14:paraId="13C58768" w14:textId="77777777" w:rsidR="001752FA" w:rsidRDefault="005D3332">
      <w:pPr>
        <w:ind w:left="1701" w:hanging="1701"/>
        <w:rPr>
          <w:rFonts w:ascii="Arial" w:hAnsi="Arial" w:cs="Arial"/>
          <w:sz w:val="18"/>
          <w:szCs w:val="18"/>
        </w:rPr>
      </w:pPr>
      <w:r>
        <w:rPr>
          <w:rFonts w:ascii="Arial" w:hAnsi="Arial" w:cs="Arial"/>
          <w:sz w:val="18"/>
          <w:szCs w:val="18"/>
        </w:rPr>
        <w:t>PN-EN 1097-8</w:t>
      </w:r>
      <w:r>
        <w:rPr>
          <w:rFonts w:ascii="Arial" w:hAnsi="Arial" w:cs="Arial"/>
          <w:sz w:val="18"/>
          <w:szCs w:val="18"/>
        </w:rPr>
        <w:tab/>
        <w:t>Badania mechanicznych i fizycznych właściwości kruszyw – Część 8: Oznaczanie polerowalności kamienia</w:t>
      </w:r>
    </w:p>
    <w:p w14:paraId="1BE86365" w14:textId="77777777" w:rsidR="001752FA" w:rsidRDefault="005D3332">
      <w:pPr>
        <w:ind w:left="1701" w:hanging="1701"/>
        <w:rPr>
          <w:rFonts w:ascii="Arial" w:hAnsi="Arial" w:cs="Arial"/>
          <w:sz w:val="18"/>
          <w:szCs w:val="18"/>
        </w:rPr>
      </w:pPr>
      <w:r>
        <w:rPr>
          <w:rFonts w:ascii="Arial" w:hAnsi="Arial" w:cs="Arial"/>
          <w:sz w:val="18"/>
          <w:szCs w:val="18"/>
        </w:rPr>
        <w:t>PN-EN 1367-1</w:t>
      </w:r>
      <w:r>
        <w:rPr>
          <w:rFonts w:ascii="Arial" w:hAnsi="Arial" w:cs="Arial"/>
          <w:sz w:val="18"/>
          <w:szCs w:val="18"/>
        </w:rPr>
        <w:tab/>
        <w:t>Badania właściwości cieplnych i odporności kruszyw na działanie czynników atmosferycznych – Część 1: Oznaczanie mrozoodporności</w:t>
      </w:r>
    </w:p>
    <w:p w14:paraId="3D39DF86" w14:textId="77777777" w:rsidR="001752FA" w:rsidRDefault="005D3332">
      <w:pPr>
        <w:ind w:left="1701" w:hanging="1701"/>
        <w:rPr>
          <w:rFonts w:ascii="Arial" w:hAnsi="Arial" w:cs="Arial"/>
          <w:sz w:val="18"/>
          <w:szCs w:val="18"/>
        </w:rPr>
      </w:pPr>
      <w:r>
        <w:rPr>
          <w:rFonts w:ascii="Arial" w:hAnsi="Arial" w:cs="Arial"/>
          <w:sz w:val="18"/>
          <w:szCs w:val="18"/>
        </w:rPr>
        <w:t>PN-EN 1367-3</w:t>
      </w:r>
      <w:r>
        <w:rPr>
          <w:rFonts w:ascii="Arial" w:hAnsi="Arial" w:cs="Arial"/>
          <w:sz w:val="18"/>
          <w:szCs w:val="18"/>
        </w:rPr>
        <w:tab/>
        <w:t>Badania właściwości cieplnych i odporności kruszyw na działanie czynników atmosferycznych – Część 3: Badanie bazaltowej zgorzeli słonecznej metodą gotowania</w:t>
      </w:r>
    </w:p>
    <w:p w14:paraId="7040FC9B" w14:textId="77777777" w:rsidR="001752FA" w:rsidRDefault="005D3332">
      <w:pPr>
        <w:ind w:left="1701" w:hanging="1701"/>
        <w:rPr>
          <w:rFonts w:ascii="Arial" w:hAnsi="Arial" w:cs="Arial"/>
          <w:sz w:val="18"/>
          <w:szCs w:val="18"/>
        </w:rPr>
      </w:pPr>
      <w:r>
        <w:rPr>
          <w:rFonts w:ascii="Arial" w:hAnsi="Arial" w:cs="Arial"/>
          <w:sz w:val="18"/>
          <w:szCs w:val="18"/>
        </w:rPr>
        <w:t>PN-EN 1367-5</w:t>
      </w:r>
      <w:r>
        <w:rPr>
          <w:rFonts w:ascii="Arial" w:hAnsi="Arial" w:cs="Arial"/>
          <w:sz w:val="18"/>
          <w:szCs w:val="18"/>
        </w:rPr>
        <w:tab/>
        <w:t>Badanie właściwości cieplnych i odporności kruszyw na działanie czynników atmosferycznych – Część 5: Oznaczanie odporności na szok termiczny</w:t>
      </w:r>
    </w:p>
    <w:p w14:paraId="0827B9DA" w14:textId="77777777" w:rsidR="001752FA" w:rsidRDefault="005D3332">
      <w:pPr>
        <w:ind w:left="1701" w:hanging="1701"/>
        <w:rPr>
          <w:rFonts w:ascii="Arial" w:hAnsi="Arial" w:cs="Arial"/>
          <w:sz w:val="18"/>
          <w:szCs w:val="18"/>
        </w:rPr>
      </w:pPr>
      <w:r>
        <w:rPr>
          <w:rFonts w:ascii="Arial" w:hAnsi="Arial" w:cs="Arial"/>
          <w:sz w:val="18"/>
          <w:szCs w:val="18"/>
        </w:rPr>
        <w:t>PN-EN 1744-1</w:t>
      </w:r>
      <w:r>
        <w:rPr>
          <w:rFonts w:ascii="Arial" w:hAnsi="Arial" w:cs="Arial"/>
          <w:sz w:val="18"/>
          <w:szCs w:val="18"/>
        </w:rPr>
        <w:tab/>
        <w:t>Badania chemicznych właściwości kruszyw – Analiza chemiczna</w:t>
      </w:r>
    </w:p>
    <w:p w14:paraId="77119744" w14:textId="77777777" w:rsidR="001752FA" w:rsidRDefault="005D3332">
      <w:pPr>
        <w:ind w:left="1701" w:hanging="1701"/>
        <w:rPr>
          <w:rFonts w:ascii="Arial" w:hAnsi="Arial" w:cs="Arial"/>
          <w:sz w:val="18"/>
          <w:szCs w:val="18"/>
        </w:rPr>
      </w:pPr>
      <w:r>
        <w:rPr>
          <w:rFonts w:ascii="Arial" w:hAnsi="Arial" w:cs="Arial"/>
          <w:sz w:val="18"/>
          <w:szCs w:val="18"/>
        </w:rPr>
        <w:t>PN-EN 1744-4</w:t>
      </w:r>
      <w:r>
        <w:rPr>
          <w:rFonts w:ascii="Arial" w:hAnsi="Arial" w:cs="Arial"/>
          <w:sz w:val="18"/>
          <w:szCs w:val="18"/>
        </w:rPr>
        <w:tab/>
        <w:t>Badania chemicznych właściwości kruszyw – Część 4: Oznaczanie podatności wypełniaczy do mieszanek mineralno-asfaltowych na działanie wody</w:t>
      </w:r>
    </w:p>
    <w:p w14:paraId="78E4F8F2"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12272-1 </w:t>
      </w:r>
      <w:r>
        <w:rPr>
          <w:rFonts w:ascii="Arial" w:hAnsi="Arial" w:cs="Arial"/>
          <w:snapToGrid w:val="0"/>
          <w:color w:val="000000"/>
          <w:sz w:val="18"/>
          <w:szCs w:val="18"/>
        </w:rPr>
        <w:tab/>
        <w:t>Powierzchniowe utrwalanie – Metody badań – Część 1: Dozowanie i poprzeczny rozkład lepiszcza i kruszywa</w:t>
      </w:r>
    </w:p>
    <w:p w14:paraId="032F55D4"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12591 </w:t>
      </w:r>
      <w:r>
        <w:rPr>
          <w:rFonts w:ascii="Arial" w:hAnsi="Arial" w:cs="Arial"/>
          <w:snapToGrid w:val="0"/>
          <w:color w:val="000000"/>
          <w:sz w:val="18"/>
          <w:szCs w:val="18"/>
        </w:rPr>
        <w:tab/>
        <w:t>Asfalty i produkty asfaltowe – Wymagania dla asfaltów drogowych</w:t>
      </w:r>
    </w:p>
    <w:p w14:paraId="49FC4782"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12597 </w:t>
      </w:r>
      <w:r>
        <w:rPr>
          <w:rFonts w:ascii="Arial" w:hAnsi="Arial" w:cs="Arial"/>
          <w:snapToGrid w:val="0"/>
          <w:color w:val="000000"/>
          <w:sz w:val="18"/>
          <w:szCs w:val="18"/>
        </w:rPr>
        <w:tab/>
        <w:t>Asfalty i produkty asfaltowe – Terminologia</w:t>
      </w:r>
    </w:p>
    <w:p w14:paraId="6E50277C"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12697-1 </w:t>
      </w:r>
      <w:r>
        <w:rPr>
          <w:rFonts w:ascii="Arial" w:hAnsi="Arial" w:cs="Arial"/>
          <w:snapToGrid w:val="0"/>
          <w:color w:val="000000"/>
          <w:sz w:val="18"/>
          <w:szCs w:val="18"/>
        </w:rPr>
        <w:tab/>
        <w:t>Mieszanki mineralno-asfaltowe – Metody badań mieszanek mineralno-asfaltowych na gorąco – Część 1: Zawartość lepiszcza rozpuszczalnego</w:t>
      </w:r>
    </w:p>
    <w:p w14:paraId="1407A80D"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12697-2 </w:t>
      </w:r>
      <w:r>
        <w:rPr>
          <w:rFonts w:ascii="Arial" w:hAnsi="Arial" w:cs="Arial"/>
          <w:snapToGrid w:val="0"/>
          <w:color w:val="000000"/>
          <w:sz w:val="18"/>
          <w:szCs w:val="18"/>
        </w:rPr>
        <w:tab/>
        <w:t>Mieszanki mineralno-asfaltowe – Metody badań mieszanek mineralno-asfaltowych na gorąco – Część 2: Oznaczanie składu ziarnowego</w:t>
      </w:r>
    </w:p>
    <w:p w14:paraId="04C6B2B3"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12697-3 </w:t>
      </w:r>
      <w:r>
        <w:rPr>
          <w:rFonts w:ascii="Arial" w:hAnsi="Arial" w:cs="Arial"/>
          <w:snapToGrid w:val="0"/>
          <w:color w:val="000000"/>
          <w:sz w:val="18"/>
          <w:szCs w:val="18"/>
        </w:rPr>
        <w:tab/>
        <w:t>Mieszanki mineralno-asfaltowe – Metody badań mieszanek mineralno-asfaltowych na gorąco – Część 3: Odzyskiwanie asfaltu: Wyparka obrotowa</w:t>
      </w:r>
    </w:p>
    <w:p w14:paraId="55C22470"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12697-4 </w:t>
      </w:r>
      <w:r>
        <w:rPr>
          <w:rFonts w:ascii="Arial" w:hAnsi="Arial" w:cs="Arial"/>
          <w:snapToGrid w:val="0"/>
          <w:color w:val="000000"/>
          <w:sz w:val="18"/>
          <w:szCs w:val="18"/>
        </w:rPr>
        <w:tab/>
        <w:t>Mieszanki mineralno-asfaltowe – Metody badań mieszanek mineralno-asfaltowych na gorąco – Część 4: Odzyskiwanie asfaltu – Kolumna do destylacji frakcyjnej</w:t>
      </w:r>
    </w:p>
    <w:p w14:paraId="13FCCB5C"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12697-5 </w:t>
      </w:r>
      <w:r>
        <w:rPr>
          <w:rFonts w:ascii="Arial" w:hAnsi="Arial" w:cs="Arial"/>
          <w:snapToGrid w:val="0"/>
          <w:color w:val="000000"/>
          <w:sz w:val="18"/>
          <w:szCs w:val="18"/>
        </w:rPr>
        <w:tab/>
        <w:t>Mieszanki mineralno-asfaltowe – Metody badań mieszanek mineralno-asfaltowych na gorąco – Część 5: Oznaczanie gęstości</w:t>
      </w:r>
    </w:p>
    <w:p w14:paraId="641246C3"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12697-6 </w:t>
      </w:r>
      <w:r>
        <w:rPr>
          <w:rFonts w:ascii="Arial" w:hAnsi="Arial" w:cs="Arial"/>
          <w:snapToGrid w:val="0"/>
          <w:color w:val="000000"/>
          <w:sz w:val="18"/>
          <w:szCs w:val="18"/>
        </w:rPr>
        <w:tab/>
        <w:t>Mieszanki mineralno-asfaltowe – Metody badań mieszanek mineralno-asfaltowych na gorąco – Część 6: Oznaczanie gęstości objętościowej metodą hydrostatyczną</w:t>
      </w:r>
    </w:p>
    <w:p w14:paraId="2C31857A"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12697-8 </w:t>
      </w:r>
      <w:r>
        <w:rPr>
          <w:rFonts w:ascii="Arial" w:hAnsi="Arial" w:cs="Arial"/>
          <w:snapToGrid w:val="0"/>
          <w:color w:val="000000"/>
          <w:sz w:val="18"/>
          <w:szCs w:val="18"/>
        </w:rPr>
        <w:tab/>
        <w:t>Mieszanki mineralno-asfaltowe – Metody badań mieszanek mineralno-asfaltowych na gorąco – Część 8: Oznaczanie zawartości wolnej przestrzeni</w:t>
      </w:r>
    </w:p>
    <w:p w14:paraId="02DA5C9C"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12697-10 </w:t>
      </w:r>
      <w:r>
        <w:rPr>
          <w:rFonts w:ascii="Arial" w:hAnsi="Arial" w:cs="Arial"/>
          <w:snapToGrid w:val="0"/>
          <w:color w:val="000000"/>
          <w:sz w:val="18"/>
          <w:szCs w:val="18"/>
        </w:rPr>
        <w:tab/>
        <w:t>Mieszanki mineralno-asfaltowe – Metody badań mieszanek mineralno-asfaltowych na gorąco – Część 10: Zagęszczalność</w:t>
      </w:r>
    </w:p>
    <w:p w14:paraId="0E1F847F"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PN-EN 12697-11</w:t>
      </w:r>
      <w:r>
        <w:rPr>
          <w:rFonts w:ascii="Arial" w:hAnsi="Arial" w:cs="Arial"/>
          <w:snapToGrid w:val="0"/>
          <w:color w:val="000000"/>
          <w:sz w:val="18"/>
          <w:szCs w:val="18"/>
        </w:rPr>
        <w:tab/>
        <w:t>Mieszanki mineralno-asfaltowe – Metoda badań mieszanek mineralno-asfaltowych na gorąco – Część 11: Określenie powiązania pomiędzy kruszywem i asfaltem</w:t>
      </w:r>
    </w:p>
    <w:p w14:paraId="6A2ABBFA"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12697-12 </w:t>
      </w:r>
      <w:r>
        <w:rPr>
          <w:rFonts w:ascii="Arial" w:hAnsi="Arial" w:cs="Arial"/>
          <w:snapToGrid w:val="0"/>
          <w:color w:val="000000"/>
          <w:sz w:val="18"/>
          <w:szCs w:val="18"/>
        </w:rPr>
        <w:tab/>
        <w:t>Mieszanki mineralno-asfaltowe – Metody badania mieszanek mineralno-asfaltowych na gorąco – Część 12: Określanie wrażliwości na wodę</w:t>
      </w:r>
    </w:p>
    <w:p w14:paraId="047A4D60"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lastRenderedPageBreak/>
        <w:t xml:space="preserve">PN-EN 12697-13 </w:t>
      </w:r>
      <w:r>
        <w:rPr>
          <w:rFonts w:ascii="Arial" w:hAnsi="Arial" w:cs="Arial"/>
          <w:snapToGrid w:val="0"/>
          <w:color w:val="000000"/>
          <w:sz w:val="18"/>
          <w:szCs w:val="18"/>
        </w:rPr>
        <w:tab/>
        <w:t>Mieszanki mineralno-asfaltowe – Metody badań mieszanek mineralno-asfaltowych na gorąco – Część 13: Pomiar temperatury</w:t>
      </w:r>
    </w:p>
    <w:p w14:paraId="62F71066"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12697-14 </w:t>
      </w:r>
      <w:r>
        <w:rPr>
          <w:rFonts w:ascii="Arial" w:hAnsi="Arial" w:cs="Arial"/>
          <w:snapToGrid w:val="0"/>
          <w:color w:val="000000"/>
          <w:sz w:val="18"/>
          <w:szCs w:val="18"/>
        </w:rPr>
        <w:tab/>
        <w:t>Mieszanki mineralno-asfaltowe – Metody badań mieszanek mineralno-asfaltowych na gorąco – Część 14: Zawartość wody</w:t>
      </w:r>
    </w:p>
    <w:p w14:paraId="3B3CFF8F"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12697-17 </w:t>
      </w:r>
      <w:r>
        <w:rPr>
          <w:rFonts w:ascii="Arial" w:hAnsi="Arial" w:cs="Arial"/>
          <w:snapToGrid w:val="0"/>
          <w:color w:val="000000"/>
          <w:sz w:val="18"/>
          <w:szCs w:val="18"/>
        </w:rPr>
        <w:tab/>
        <w:t>Mieszanki mineralno-asfaltowe – Metody badań mieszanek mineralno-asfaltowych na gorąco – Część 17: Ubytek ziaren</w:t>
      </w:r>
    </w:p>
    <w:p w14:paraId="2E24D702"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12697-18 </w:t>
      </w:r>
      <w:r>
        <w:rPr>
          <w:rFonts w:ascii="Arial" w:hAnsi="Arial" w:cs="Arial"/>
          <w:snapToGrid w:val="0"/>
          <w:color w:val="000000"/>
          <w:sz w:val="18"/>
          <w:szCs w:val="18"/>
        </w:rPr>
        <w:tab/>
        <w:t>Mieszanki mineralno-asfaltowe – Metody badań mieszanek mineralno-asfaltowych na gorąco – Część 18: Spływanie lepiszcza</w:t>
      </w:r>
    </w:p>
    <w:p w14:paraId="56593B32"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12697-19 </w:t>
      </w:r>
      <w:r>
        <w:rPr>
          <w:rFonts w:ascii="Arial" w:hAnsi="Arial" w:cs="Arial"/>
          <w:snapToGrid w:val="0"/>
          <w:color w:val="000000"/>
          <w:sz w:val="18"/>
          <w:szCs w:val="18"/>
        </w:rPr>
        <w:tab/>
        <w:t>Mieszanki mineralno-asfaltowe – Metody badań mieszanek mineralno-asfaltowych na gorąco – Część 19: Przepuszczalność próbek</w:t>
      </w:r>
    </w:p>
    <w:p w14:paraId="3840D457"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12697-20 </w:t>
      </w:r>
      <w:r>
        <w:rPr>
          <w:rFonts w:ascii="Arial" w:hAnsi="Arial" w:cs="Arial"/>
          <w:snapToGrid w:val="0"/>
          <w:color w:val="000000"/>
          <w:sz w:val="18"/>
          <w:szCs w:val="18"/>
        </w:rPr>
        <w:tab/>
        <w:t>Mieszanki mineralno-asfaltowe – Metody badań mieszanek mineralno-asfaltowych na gorąco – Część 20: Penetracja próbek sześciennych lub Marshalla</w:t>
      </w:r>
    </w:p>
    <w:p w14:paraId="2A1EEC04"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12697-22 </w:t>
      </w:r>
      <w:r>
        <w:rPr>
          <w:rFonts w:ascii="Arial" w:hAnsi="Arial" w:cs="Arial"/>
          <w:snapToGrid w:val="0"/>
          <w:color w:val="000000"/>
          <w:sz w:val="18"/>
          <w:szCs w:val="18"/>
        </w:rPr>
        <w:tab/>
        <w:t>Mieszanki mineralno-asfaltowe – Metody badania mieszanek mineralno-asfaltowych na gorąco – Część 22: Koleinowanie</w:t>
      </w:r>
    </w:p>
    <w:p w14:paraId="7F512A32"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12697-23 </w:t>
      </w:r>
      <w:r>
        <w:rPr>
          <w:rFonts w:ascii="Arial" w:hAnsi="Arial" w:cs="Arial"/>
          <w:snapToGrid w:val="0"/>
          <w:color w:val="000000"/>
          <w:sz w:val="18"/>
          <w:szCs w:val="18"/>
        </w:rPr>
        <w:tab/>
        <w:t>Mieszanki mineralno-asfaltowe – Metody badania mieszanek mineralno-asfaltowych na gorąco – Część 23: Określanie pośredniej wytrzymałości na rozciąganie próbek asfaltowych</w:t>
      </w:r>
    </w:p>
    <w:p w14:paraId="67CCAAB6"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12697-24 </w:t>
      </w:r>
      <w:r>
        <w:rPr>
          <w:rFonts w:ascii="Arial" w:hAnsi="Arial" w:cs="Arial"/>
          <w:snapToGrid w:val="0"/>
          <w:color w:val="000000"/>
          <w:sz w:val="18"/>
          <w:szCs w:val="18"/>
        </w:rPr>
        <w:tab/>
        <w:t>Mieszanki mineralno-asfaltowe – Metody badań mieszanek mineralno-asfaltowych na gorąco – Część 24: Odporność na zmęczenie</w:t>
      </w:r>
    </w:p>
    <w:p w14:paraId="31BDED59"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12697-26 </w:t>
      </w:r>
      <w:r>
        <w:rPr>
          <w:rFonts w:ascii="Arial" w:hAnsi="Arial" w:cs="Arial"/>
          <w:snapToGrid w:val="0"/>
          <w:color w:val="000000"/>
          <w:sz w:val="18"/>
          <w:szCs w:val="18"/>
        </w:rPr>
        <w:tab/>
        <w:t>Mieszanki mineralno-asfaltowe – Metody badań mieszanek mineralno-asfaltowych na gorąco – Część 26: Sztywność</w:t>
      </w:r>
    </w:p>
    <w:p w14:paraId="5E473204"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12697-27 </w:t>
      </w:r>
      <w:r>
        <w:rPr>
          <w:rFonts w:ascii="Arial" w:hAnsi="Arial" w:cs="Arial"/>
          <w:snapToGrid w:val="0"/>
          <w:color w:val="000000"/>
          <w:sz w:val="18"/>
          <w:szCs w:val="18"/>
        </w:rPr>
        <w:tab/>
        <w:t>Mieszanki mineralno-asfaltowe – Metody badań mieszanek mineralno-asfaltowych na gorąco – Część 27: Pobieranie próbek</w:t>
      </w:r>
    </w:p>
    <w:p w14:paraId="6C56B69E"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12697-28 </w:t>
      </w:r>
      <w:r>
        <w:rPr>
          <w:rFonts w:ascii="Arial" w:hAnsi="Arial" w:cs="Arial"/>
          <w:snapToGrid w:val="0"/>
          <w:color w:val="000000"/>
          <w:sz w:val="18"/>
          <w:szCs w:val="18"/>
        </w:rPr>
        <w:tab/>
        <w:t>Mieszanki mineralno-asfaltowe – Metody badań mieszanek mineralno-asfaltowych na gorąco – Część 28: Przygotowanie próbek do oznaczania zawartości lepiszcza, zawartości wody i uziarnienia</w:t>
      </w:r>
    </w:p>
    <w:p w14:paraId="55A8AC34"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12697-29 </w:t>
      </w:r>
      <w:r>
        <w:rPr>
          <w:rFonts w:ascii="Arial" w:hAnsi="Arial" w:cs="Arial"/>
          <w:snapToGrid w:val="0"/>
          <w:color w:val="000000"/>
          <w:sz w:val="18"/>
          <w:szCs w:val="18"/>
        </w:rPr>
        <w:tab/>
        <w:t>Mieszanki mineralno-asfaltowe – Metoda badania mieszanek mineralno-asfaltowych na gorąco – Część 29: Pomiar próbki z zagęszczonej mieszanki mineralno-asfaltowej</w:t>
      </w:r>
    </w:p>
    <w:p w14:paraId="42E33ACE"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12697-30 </w:t>
      </w:r>
      <w:r>
        <w:rPr>
          <w:rFonts w:ascii="Arial" w:hAnsi="Arial" w:cs="Arial"/>
          <w:snapToGrid w:val="0"/>
          <w:color w:val="000000"/>
          <w:sz w:val="18"/>
          <w:szCs w:val="18"/>
        </w:rPr>
        <w:tab/>
        <w:t>Mieszanki mineralno-asfaltowe – Metody badań mieszanek mineralno-asfaltowych na gorąco – Część 30: Przygotowanie próbek zagęszczonych przez ubijanie</w:t>
      </w:r>
    </w:p>
    <w:p w14:paraId="2253CA9A"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12697-33 </w:t>
      </w:r>
      <w:r>
        <w:rPr>
          <w:rFonts w:ascii="Arial" w:hAnsi="Arial" w:cs="Arial"/>
          <w:snapToGrid w:val="0"/>
          <w:color w:val="000000"/>
          <w:sz w:val="18"/>
          <w:szCs w:val="18"/>
        </w:rPr>
        <w:tab/>
        <w:t>Mieszanki mineralno-asfaltowe – Metody badań mieszanek mineralno-asfaltowych na gorąco – Część 33: Przygotowanie próbek zagęszczanych walcem</w:t>
      </w:r>
    </w:p>
    <w:p w14:paraId="039040A7"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12697-34 </w:t>
      </w:r>
      <w:r>
        <w:rPr>
          <w:rFonts w:ascii="Arial" w:hAnsi="Arial" w:cs="Arial"/>
          <w:snapToGrid w:val="0"/>
          <w:color w:val="000000"/>
          <w:sz w:val="18"/>
          <w:szCs w:val="18"/>
        </w:rPr>
        <w:tab/>
        <w:t>Mieszanki mineralno-asfaltowe – Metody badań mieszanek mineralno-asfaltowych na gorąco – Część 34: Badanie Marshalla</w:t>
      </w:r>
    </w:p>
    <w:p w14:paraId="500CFDD1"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12697-35 </w:t>
      </w:r>
      <w:r>
        <w:rPr>
          <w:rFonts w:ascii="Arial" w:hAnsi="Arial" w:cs="Arial"/>
          <w:snapToGrid w:val="0"/>
          <w:color w:val="000000"/>
          <w:sz w:val="18"/>
          <w:szCs w:val="18"/>
        </w:rPr>
        <w:tab/>
        <w:t>Mieszanki mineralno-asfaltowe – Metody badań mieszanek mineralno-asfaltowych na gorąco – Część 35: Mieszanie laboratoryjne</w:t>
      </w:r>
    </w:p>
    <w:p w14:paraId="1D7208C7"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12697-36 </w:t>
      </w:r>
      <w:r>
        <w:rPr>
          <w:rFonts w:ascii="Arial" w:hAnsi="Arial" w:cs="Arial"/>
          <w:snapToGrid w:val="0"/>
          <w:color w:val="000000"/>
          <w:sz w:val="18"/>
          <w:szCs w:val="18"/>
        </w:rPr>
        <w:tab/>
        <w:t>Mieszanki mineralno-asfaltowe – Metody badań mieszanek mineralno-asfaltowych na gorąco – Część 36: Oznaczanie grubości nawierzchni asfaltowych</w:t>
      </w:r>
    </w:p>
    <w:p w14:paraId="3AC78991"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12697-38 </w:t>
      </w:r>
      <w:r>
        <w:rPr>
          <w:rFonts w:ascii="Arial" w:hAnsi="Arial" w:cs="Arial"/>
          <w:snapToGrid w:val="0"/>
          <w:color w:val="000000"/>
          <w:sz w:val="18"/>
          <w:szCs w:val="18"/>
        </w:rPr>
        <w:tab/>
        <w:t>Mieszanki mineralno-asfaltowe – Metody badań mieszanek mineralno-asfaltowych na gorąco – Część 38: Podstawowe wyposażenie i kalibracja</w:t>
      </w:r>
    </w:p>
    <w:p w14:paraId="13F56043"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12697-39 </w:t>
      </w:r>
      <w:r>
        <w:rPr>
          <w:rFonts w:ascii="Arial" w:hAnsi="Arial" w:cs="Arial"/>
          <w:snapToGrid w:val="0"/>
          <w:color w:val="000000"/>
          <w:sz w:val="18"/>
          <w:szCs w:val="18"/>
        </w:rPr>
        <w:tab/>
        <w:t>Mieszanki mineralno-asfaltowe – Metody badań mieszanek mineralno-asfaltowych na gorąco – Część 39: Oznaczanie zawartości lepiszcza rozpuszczalnego metodą spalania</w:t>
      </w:r>
    </w:p>
    <w:p w14:paraId="477AA2FC"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12697-40 </w:t>
      </w:r>
      <w:r>
        <w:rPr>
          <w:rFonts w:ascii="Arial" w:hAnsi="Arial" w:cs="Arial"/>
          <w:snapToGrid w:val="0"/>
          <w:color w:val="000000"/>
          <w:sz w:val="18"/>
          <w:szCs w:val="18"/>
        </w:rPr>
        <w:tab/>
        <w:t>Mieszanki mineralno-asfaltowe – Metody badań mieszanek mineralno-asfaltowych na gorąco – Część 40: Wodoprzepuszczalność "in-situ"</w:t>
      </w:r>
    </w:p>
    <w:p w14:paraId="46CB83AD"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12697-41 </w:t>
      </w:r>
      <w:r>
        <w:rPr>
          <w:rFonts w:ascii="Arial" w:hAnsi="Arial" w:cs="Arial"/>
          <w:snapToGrid w:val="0"/>
          <w:color w:val="000000"/>
          <w:sz w:val="18"/>
          <w:szCs w:val="18"/>
        </w:rPr>
        <w:tab/>
        <w:t>Mieszanki mineralno-asfaltowe – Metody badań mieszanek mineralno-asfaltowych na gorąco – Część 41: Odporność na płyny przeciwgołoledziowe</w:t>
      </w:r>
    </w:p>
    <w:p w14:paraId="08874D6E"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12697-42 </w:t>
      </w:r>
      <w:r>
        <w:rPr>
          <w:rFonts w:ascii="Arial" w:hAnsi="Arial" w:cs="Arial"/>
          <w:snapToGrid w:val="0"/>
          <w:color w:val="000000"/>
          <w:sz w:val="18"/>
          <w:szCs w:val="18"/>
        </w:rPr>
        <w:tab/>
        <w:t>Mieszanki mineralno-asfaltowe – Metody badań mieszanek mineralno-asfaltowych na gorąco – Część 42: Zawartość zanieczyszczeń w destrukcie asfaltowym</w:t>
      </w:r>
    </w:p>
    <w:p w14:paraId="49B236AC" w14:textId="77777777" w:rsidR="001752FA" w:rsidRDefault="005D3332">
      <w:pPr>
        <w:ind w:left="1701" w:hanging="1701"/>
        <w:rPr>
          <w:rFonts w:ascii="Arial" w:hAnsi="Arial" w:cs="Arial"/>
          <w:sz w:val="18"/>
          <w:szCs w:val="18"/>
        </w:rPr>
      </w:pPr>
      <w:r>
        <w:rPr>
          <w:rFonts w:ascii="Arial" w:hAnsi="Arial" w:cs="Arial"/>
          <w:sz w:val="18"/>
          <w:szCs w:val="18"/>
        </w:rPr>
        <w:t>PN-EN 13043</w:t>
      </w:r>
      <w:r>
        <w:rPr>
          <w:rFonts w:ascii="Arial" w:hAnsi="Arial" w:cs="Arial"/>
          <w:sz w:val="18"/>
          <w:szCs w:val="18"/>
        </w:rPr>
        <w:tab/>
        <w:t>Kruszywa do mieszanek bitumicznych i powierzchniowych utrwaleń stosowanych na drogach, lotniskach i innych powierzchniach przeznaczonych do ruchu</w:t>
      </w:r>
    </w:p>
    <w:p w14:paraId="54E849C9" w14:textId="77777777" w:rsidR="001752FA" w:rsidRDefault="00000000">
      <w:pPr>
        <w:tabs>
          <w:tab w:val="left" w:pos="1008"/>
          <w:tab w:val="left" w:pos="7459"/>
        </w:tabs>
        <w:ind w:left="1701" w:hanging="1701"/>
        <w:rPr>
          <w:rFonts w:ascii="Arial" w:hAnsi="Arial" w:cs="Arial"/>
          <w:snapToGrid w:val="0"/>
          <w:color w:val="000000"/>
          <w:sz w:val="18"/>
          <w:szCs w:val="18"/>
        </w:rPr>
      </w:pPr>
      <w:hyperlink r:id="rId8" w:history="1">
        <w:r w:rsidR="005D3332">
          <w:rPr>
            <w:rFonts w:ascii="Arial" w:hAnsi="Arial" w:cs="Arial"/>
            <w:snapToGrid w:val="0"/>
            <w:color w:val="000000"/>
            <w:sz w:val="18"/>
            <w:szCs w:val="18"/>
          </w:rPr>
          <w:t>PN-EN 13108-</w:t>
        </w:r>
      </w:hyperlink>
      <w:r w:rsidR="005D3332">
        <w:rPr>
          <w:rFonts w:ascii="Arial" w:hAnsi="Arial" w:cs="Arial"/>
          <w:snapToGrid w:val="0"/>
          <w:color w:val="000000"/>
          <w:sz w:val="18"/>
          <w:szCs w:val="18"/>
        </w:rPr>
        <w:t>5</w:t>
      </w:r>
      <w:r w:rsidR="005D3332">
        <w:rPr>
          <w:rFonts w:ascii="Arial" w:hAnsi="Arial" w:cs="Arial"/>
          <w:snapToGrid w:val="0"/>
          <w:color w:val="000000"/>
          <w:sz w:val="18"/>
          <w:szCs w:val="18"/>
        </w:rPr>
        <w:tab/>
      </w:r>
      <w:hyperlink r:id="rId9" w:history="1">
        <w:r w:rsidR="005D3332">
          <w:rPr>
            <w:rFonts w:ascii="Arial" w:hAnsi="Arial" w:cs="Arial"/>
            <w:snapToGrid w:val="0"/>
            <w:color w:val="000000"/>
            <w:sz w:val="18"/>
            <w:szCs w:val="18"/>
          </w:rPr>
          <w:t xml:space="preserve">Mieszanki mineralno-asfaltowe – Wymagania – Część 1: </w:t>
        </w:r>
      </w:hyperlink>
      <w:r w:rsidR="005D3332">
        <w:rPr>
          <w:rFonts w:ascii="Arial" w:hAnsi="Arial" w:cs="Arial"/>
          <w:snapToGrid w:val="0"/>
          <w:color w:val="000000"/>
          <w:sz w:val="18"/>
          <w:szCs w:val="18"/>
        </w:rPr>
        <w:t>Beton asfaltowy</w:t>
      </w:r>
    </w:p>
    <w:p w14:paraId="6E639409" w14:textId="77777777" w:rsidR="001752FA" w:rsidRDefault="00000000">
      <w:pPr>
        <w:tabs>
          <w:tab w:val="left" w:pos="1008"/>
          <w:tab w:val="left" w:pos="7459"/>
        </w:tabs>
        <w:ind w:left="1701" w:hanging="1701"/>
        <w:rPr>
          <w:rFonts w:ascii="Arial" w:hAnsi="Arial" w:cs="Arial"/>
          <w:snapToGrid w:val="0"/>
          <w:color w:val="000000"/>
          <w:sz w:val="18"/>
          <w:szCs w:val="18"/>
        </w:rPr>
      </w:pPr>
      <w:hyperlink r:id="rId10" w:history="1">
        <w:r w:rsidR="005D3332">
          <w:rPr>
            <w:rFonts w:ascii="Arial" w:hAnsi="Arial" w:cs="Arial"/>
            <w:snapToGrid w:val="0"/>
            <w:color w:val="000000"/>
            <w:sz w:val="18"/>
            <w:szCs w:val="18"/>
          </w:rPr>
          <w:t>PN-EN 13108-20</w:t>
        </w:r>
      </w:hyperlink>
      <w:r w:rsidR="005D3332">
        <w:rPr>
          <w:rFonts w:ascii="Arial" w:hAnsi="Arial" w:cs="Arial"/>
          <w:snapToGrid w:val="0"/>
          <w:color w:val="000000"/>
          <w:sz w:val="18"/>
          <w:szCs w:val="18"/>
        </w:rPr>
        <w:t xml:space="preserve"> </w:t>
      </w:r>
      <w:r w:rsidR="005D3332">
        <w:rPr>
          <w:rFonts w:ascii="Arial" w:hAnsi="Arial" w:cs="Arial"/>
          <w:snapToGrid w:val="0"/>
          <w:color w:val="000000"/>
          <w:sz w:val="18"/>
          <w:szCs w:val="18"/>
        </w:rPr>
        <w:tab/>
      </w:r>
      <w:hyperlink r:id="rId11" w:history="1">
        <w:r w:rsidR="005D3332">
          <w:rPr>
            <w:rFonts w:ascii="Arial" w:hAnsi="Arial" w:cs="Arial"/>
            <w:snapToGrid w:val="0"/>
            <w:color w:val="000000"/>
            <w:sz w:val="18"/>
            <w:szCs w:val="18"/>
          </w:rPr>
          <w:t>Mieszanki mineralno-asfaltowe – Wymagania – Część 20: Badanie typu</w:t>
        </w:r>
      </w:hyperlink>
    </w:p>
    <w:p w14:paraId="7D330C4F" w14:textId="77777777" w:rsidR="001752FA" w:rsidRDefault="00000000">
      <w:pPr>
        <w:tabs>
          <w:tab w:val="left" w:pos="1008"/>
          <w:tab w:val="left" w:pos="7459"/>
        </w:tabs>
        <w:ind w:left="1701" w:hanging="1701"/>
        <w:rPr>
          <w:rFonts w:ascii="Arial" w:hAnsi="Arial" w:cs="Arial"/>
          <w:snapToGrid w:val="0"/>
          <w:color w:val="000000"/>
          <w:sz w:val="18"/>
          <w:szCs w:val="18"/>
        </w:rPr>
      </w:pPr>
      <w:hyperlink r:id="rId12" w:history="1">
        <w:r w:rsidR="005D3332">
          <w:rPr>
            <w:rFonts w:ascii="Arial" w:hAnsi="Arial" w:cs="Arial"/>
            <w:snapToGrid w:val="0"/>
            <w:color w:val="000000"/>
            <w:sz w:val="18"/>
            <w:szCs w:val="18"/>
          </w:rPr>
          <w:t>PN-EN 13108-21</w:t>
        </w:r>
      </w:hyperlink>
      <w:r w:rsidR="005D3332">
        <w:rPr>
          <w:rFonts w:ascii="Arial" w:hAnsi="Arial" w:cs="Arial"/>
          <w:snapToGrid w:val="0"/>
          <w:color w:val="000000"/>
          <w:sz w:val="18"/>
          <w:szCs w:val="18"/>
        </w:rPr>
        <w:t xml:space="preserve"> </w:t>
      </w:r>
      <w:r w:rsidR="005D3332">
        <w:rPr>
          <w:rFonts w:ascii="Arial" w:hAnsi="Arial" w:cs="Arial"/>
          <w:snapToGrid w:val="0"/>
          <w:color w:val="000000"/>
          <w:sz w:val="18"/>
          <w:szCs w:val="18"/>
        </w:rPr>
        <w:tab/>
      </w:r>
      <w:hyperlink r:id="rId13" w:history="1">
        <w:r w:rsidR="005D3332">
          <w:rPr>
            <w:rFonts w:ascii="Arial" w:hAnsi="Arial" w:cs="Arial"/>
            <w:snapToGrid w:val="0"/>
            <w:color w:val="000000"/>
            <w:sz w:val="18"/>
            <w:szCs w:val="18"/>
          </w:rPr>
          <w:t>Mieszanki mineralno-asfaltowe – Wymagania – Część 21: Zakładowa Kontrola Produkcji</w:t>
        </w:r>
      </w:hyperlink>
    </w:p>
    <w:p w14:paraId="2A6C3A65" w14:textId="77777777" w:rsidR="001752FA" w:rsidRDefault="005D3332">
      <w:pPr>
        <w:ind w:left="1701" w:hanging="1701"/>
        <w:rPr>
          <w:rFonts w:ascii="Arial" w:hAnsi="Arial" w:cs="Arial"/>
          <w:sz w:val="18"/>
          <w:szCs w:val="18"/>
        </w:rPr>
      </w:pPr>
      <w:r>
        <w:rPr>
          <w:rFonts w:ascii="Arial" w:hAnsi="Arial" w:cs="Arial"/>
          <w:sz w:val="18"/>
          <w:szCs w:val="18"/>
        </w:rPr>
        <w:t>PN-EN 13179-1</w:t>
      </w:r>
      <w:r>
        <w:rPr>
          <w:rFonts w:ascii="Arial" w:hAnsi="Arial" w:cs="Arial"/>
          <w:sz w:val="18"/>
          <w:szCs w:val="18"/>
        </w:rPr>
        <w:tab/>
        <w:t>Badania kruszyw wypełniających stosowanych do mieszanek bitumicznych – Część 1: Badanie metodą pierścienia delta i kuli</w:t>
      </w:r>
    </w:p>
    <w:p w14:paraId="15090CBC" w14:textId="77777777" w:rsidR="001752FA" w:rsidRDefault="005D3332">
      <w:pPr>
        <w:ind w:left="1701" w:hanging="1701"/>
        <w:rPr>
          <w:rFonts w:ascii="Arial" w:hAnsi="Arial" w:cs="Arial"/>
          <w:sz w:val="18"/>
          <w:szCs w:val="18"/>
        </w:rPr>
      </w:pPr>
      <w:r>
        <w:rPr>
          <w:rFonts w:ascii="Arial" w:hAnsi="Arial" w:cs="Arial"/>
          <w:sz w:val="18"/>
          <w:szCs w:val="18"/>
        </w:rPr>
        <w:t>PN-EN 13179-2</w:t>
      </w:r>
      <w:r>
        <w:rPr>
          <w:rFonts w:ascii="Arial" w:hAnsi="Arial" w:cs="Arial"/>
          <w:sz w:val="18"/>
          <w:szCs w:val="18"/>
        </w:rPr>
        <w:tab/>
        <w:t>Badania kruszyw wypełniających stosowanych do mieszanek bitumicznych – Część 2: Liczba bitumiczna</w:t>
      </w:r>
    </w:p>
    <w:p w14:paraId="173A4C2F"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13808 </w:t>
      </w:r>
      <w:r>
        <w:rPr>
          <w:rFonts w:ascii="Arial" w:hAnsi="Arial" w:cs="Arial"/>
          <w:snapToGrid w:val="0"/>
          <w:color w:val="000000"/>
          <w:sz w:val="18"/>
          <w:szCs w:val="18"/>
        </w:rPr>
        <w:tab/>
        <w:t>Zasady klasyfikacji kationowych emulsji asfaltowych</w:t>
      </w:r>
    </w:p>
    <w:p w14:paraId="32897048"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14188-1 </w:t>
      </w:r>
      <w:r>
        <w:rPr>
          <w:rFonts w:ascii="Arial" w:hAnsi="Arial" w:cs="Arial"/>
          <w:snapToGrid w:val="0"/>
          <w:color w:val="000000"/>
          <w:sz w:val="18"/>
          <w:szCs w:val="18"/>
        </w:rPr>
        <w:tab/>
        <w:t>Wypełniacze złączy i zalewy – Część 1: Specyfikacja zalew na gorąco</w:t>
      </w:r>
    </w:p>
    <w:p w14:paraId="5DA53F63"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14188-2 </w:t>
      </w:r>
      <w:r>
        <w:rPr>
          <w:rFonts w:ascii="Arial" w:hAnsi="Arial" w:cs="Arial"/>
          <w:snapToGrid w:val="0"/>
          <w:color w:val="000000"/>
          <w:sz w:val="18"/>
          <w:szCs w:val="18"/>
        </w:rPr>
        <w:tab/>
        <w:t>Wypełniacze szczelin i zalewy – Część 2: Specyfikacja zalew na zimno</w:t>
      </w:r>
    </w:p>
    <w:p w14:paraId="277DB2E0" w14:textId="77777777" w:rsidR="001752FA" w:rsidRDefault="005D3332">
      <w:pPr>
        <w:ind w:left="1701" w:hanging="1701"/>
        <w:rPr>
          <w:rFonts w:ascii="Arial" w:hAnsi="Arial" w:cs="Arial"/>
          <w:sz w:val="18"/>
          <w:szCs w:val="18"/>
        </w:rPr>
      </w:pPr>
      <w:r>
        <w:rPr>
          <w:rFonts w:ascii="Arial" w:hAnsi="Arial" w:cs="Arial"/>
          <w:sz w:val="18"/>
          <w:szCs w:val="18"/>
        </w:rPr>
        <w:t>PN-ISO 565</w:t>
      </w:r>
      <w:r>
        <w:rPr>
          <w:rFonts w:ascii="Arial" w:hAnsi="Arial" w:cs="Arial"/>
          <w:sz w:val="18"/>
          <w:szCs w:val="18"/>
        </w:rPr>
        <w:tab/>
        <w:t>Sita kontrolne – Tkanina z drutu, blacha perforowana i blacha cienka perforowana elektrochemicznie – Wymiary nominalne oczek</w:t>
      </w:r>
    </w:p>
    <w:p w14:paraId="1C440329" w14:textId="77777777" w:rsidR="001752FA" w:rsidRDefault="005D3332">
      <w:pPr>
        <w:tabs>
          <w:tab w:val="left" w:pos="426"/>
        </w:tabs>
        <w:suppressAutoHyphens/>
        <w:ind w:left="1701" w:hanging="1701"/>
        <w:rPr>
          <w:rFonts w:ascii="Arial" w:hAnsi="Arial" w:cs="Arial"/>
          <w:sz w:val="18"/>
          <w:szCs w:val="18"/>
        </w:rPr>
      </w:pPr>
      <w:r>
        <w:rPr>
          <w:rFonts w:ascii="Arial" w:hAnsi="Arial" w:cs="Arial"/>
          <w:sz w:val="18"/>
          <w:szCs w:val="18"/>
        </w:rPr>
        <w:t>BN-68/8931-04</w:t>
      </w:r>
      <w:r>
        <w:rPr>
          <w:rFonts w:ascii="Arial" w:hAnsi="Arial" w:cs="Arial"/>
          <w:sz w:val="18"/>
          <w:szCs w:val="18"/>
        </w:rPr>
        <w:tab/>
        <w:t>Drogi samochodowe. Pomiar równości nawierzchni planografem i łatą.</w:t>
      </w:r>
    </w:p>
    <w:p w14:paraId="7839EFD1" w14:textId="77777777" w:rsidR="001752FA" w:rsidRDefault="001752FA">
      <w:pPr>
        <w:tabs>
          <w:tab w:val="left" w:pos="426"/>
        </w:tabs>
        <w:suppressAutoHyphens/>
        <w:rPr>
          <w:rFonts w:ascii="Arial" w:hAnsi="Arial" w:cs="Arial"/>
          <w:b/>
          <w:sz w:val="18"/>
          <w:szCs w:val="18"/>
        </w:rPr>
      </w:pPr>
    </w:p>
    <w:p w14:paraId="61B22068" w14:textId="77777777" w:rsidR="001752FA" w:rsidRDefault="005D3332">
      <w:pPr>
        <w:tabs>
          <w:tab w:val="left" w:pos="426"/>
        </w:tabs>
        <w:spacing w:after="60"/>
        <w:rPr>
          <w:rFonts w:ascii="Arial" w:hAnsi="Arial" w:cs="Arial"/>
          <w:sz w:val="18"/>
          <w:szCs w:val="18"/>
        </w:rPr>
      </w:pPr>
      <w:r>
        <w:rPr>
          <w:rFonts w:ascii="Arial" w:hAnsi="Arial" w:cs="Arial"/>
          <w:b/>
          <w:sz w:val="18"/>
          <w:szCs w:val="18"/>
        </w:rPr>
        <w:t>10.2. Inne dokumenty</w:t>
      </w:r>
    </w:p>
    <w:p w14:paraId="09921CD0" w14:textId="77777777" w:rsidR="001752FA" w:rsidRDefault="005D3332">
      <w:pPr>
        <w:jc w:val="both"/>
        <w:rPr>
          <w:rFonts w:ascii="Arial" w:hAnsi="Arial" w:cs="Arial"/>
          <w:sz w:val="18"/>
          <w:szCs w:val="18"/>
        </w:rPr>
      </w:pPr>
      <w:r>
        <w:rPr>
          <w:rFonts w:ascii="Arial" w:hAnsi="Arial" w:cs="Arial"/>
          <w:sz w:val="18"/>
          <w:szCs w:val="18"/>
        </w:rPr>
        <w:t>Wymagania Techniczne. Kruszywa do mieszanek mineralno-asfaltowych i powierzchniowych utrwaleń na drogach krajowych. WT-1 Kruszywa 2014.</w:t>
      </w:r>
    </w:p>
    <w:p w14:paraId="456801AC" w14:textId="77777777" w:rsidR="001752FA" w:rsidRDefault="005D3332">
      <w:pPr>
        <w:jc w:val="both"/>
        <w:rPr>
          <w:rFonts w:ascii="Arial" w:hAnsi="Arial" w:cs="Arial"/>
          <w:sz w:val="18"/>
          <w:szCs w:val="18"/>
        </w:rPr>
      </w:pPr>
      <w:r>
        <w:rPr>
          <w:rFonts w:ascii="Arial" w:hAnsi="Arial" w:cs="Arial"/>
          <w:sz w:val="18"/>
          <w:szCs w:val="18"/>
        </w:rPr>
        <w:lastRenderedPageBreak/>
        <w:t xml:space="preserve">Wymagania Techniczne. Nawierzchnie asfaltowe na drogach krajowych. WT-2 2014 Część I. Mieszanki mineralno- asfaltowe.                                                               </w:t>
      </w:r>
    </w:p>
    <w:p w14:paraId="42150078" w14:textId="77777777" w:rsidR="001752FA" w:rsidRDefault="005D3332">
      <w:pPr>
        <w:jc w:val="both"/>
        <w:rPr>
          <w:rFonts w:ascii="Arial" w:hAnsi="Arial" w:cs="Arial"/>
          <w:sz w:val="18"/>
          <w:szCs w:val="18"/>
        </w:rPr>
      </w:pPr>
      <w:r>
        <w:rPr>
          <w:rFonts w:ascii="Arial" w:hAnsi="Arial" w:cs="Arial"/>
          <w:sz w:val="18"/>
          <w:szCs w:val="18"/>
        </w:rPr>
        <w:t xml:space="preserve">Wymagania Techniczne. Nawierzchnie asfaltowe na drogach krajowych. WT-2 2016 Część II. Wykonanie warstw nawierzchni asfaltowych. Wymagania Techniczne. </w:t>
      </w:r>
    </w:p>
    <w:p w14:paraId="3ABFE565" w14:textId="77777777" w:rsidR="001752FA" w:rsidRDefault="005D3332">
      <w:pPr>
        <w:jc w:val="both"/>
        <w:rPr>
          <w:rFonts w:ascii="Arial" w:hAnsi="Arial" w:cs="Arial"/>
          <w:sz w:val="18"/>
          <w:szCs w:val="18"/>
        </w:rPr>
      </w:pPr>
      <w:r>
        <w:rPr>
          <w:rFonts w:ascii="Arial" w:hAnsi="Arial" w:cs="Arial"/>
          <w:sz w:val="18"/>
          <w:szCs w:val="18"/>
        </w:rPr>
        <w:t>Rozporządzenie Ministra Transportu i Gospodarki Morskiej  z dnia 2 marca 1999 r. w sprawie warunków technicznych, jakim powinny odpowiadać drogi publiczne i ich usytuowanie (Dz. U. z 2016 r., Nr 0, poz. 124).</w:t>
      </w:r>
    </w:p>
    <w:p w14:paraId="6ED01972" w14:textId="77777777" w:rsidR="001752FA" w:rsidRDefault="001752FA">
      <w:pPr>
        <w:tabs>
          <w:tab w:val="left" w:pos="426"/>
        </w:tabs>
        <w:suppressAutoHyphens/>
        <w:rPr>
          <w:rFonts w:ascii="Arial" w:hAnsi="Arial" w:cs="Arial"/>
          <w:sz w:val="18"/>
          <w:szCs w:val="18"/>
        </w:rPr>
      </w:pPr>
    </w:p>
    <w:p w14:paraId="406D2EBD" w14:textId="77777777" w:rsidR="001752FA" w:rsidRDefault="001752FA">
      <w:pPr>
        <w:tabs>
          <w:tab w:val="left" w:pos="1008"/>
          <w:tab w:val="left" w:pos="7459"/>
        </w:tabs>
        <w:ind w:left="1701" w:hanging="1701"/>
        <w:rPr>
          <w:rFonts w:ascii="Arial" w:hAnsi="Arial" w:cs="Arial"/>
          <w:snapToGrid w:val="0"/>
          <w:color w:val="000000"/>
          <w:sz w:val="18"/>
          <w:szCs w:val="18"/>
        </w:rPr>
      </w:pPr>
    </w:p>
    <w:p w14:paraId="37A6DA1C" w14:textId="77777777" w:rsidR="001752FA" w:rsidRDefault="001752FA">
      <w:pPr>
        <w:rPr>
          <w:rFonts w:ascii="Arial" w:hAnsi="Arial" w:cs="Arial"/>
          <w:sz w:val="18"/>
          <w:szCs w:val="18"/>
        </w:rPr>
      </w:pPr>
    </w:p>
    <w:sectPr w:rsidR="001752FA">
      <w:headerReference w:type="even" r:id="rId14"/>
      <w:headerReference w:type="default" r:id="rId15"/>
      <w:footerReference w:type="even" r:id="rId16"/>
      <w:footerReference w:type="default" r:id="rId17"/>
      <w:pgSz w:w="11907" w:h="16840" w:code="9"/>
      <w:pgMar w:top="1021" w:right="1418" w:bottom="1134" w:left="1418" w:header="420" w:footer="227"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A97B07" w14:textId="77777777" w:rsidR="005D66DA" w:rsidRDefault="005D66DA">
      <w:r>
        <w:separator/>
      </w:r>
    </w:p>
  </w:endnote>
  <w:endnote w:type="continuationSeparator" w:id="0">
    <w:p w14:paraId="72F9101C" w14:textId="77777777" w:rsidR="005D66DA" w:rsidRDefault="005D6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w:panose1 w:val="02070309020205020404"/>
    <w:charset w:val="00"/>
    <w:family w:val="modern"/>
    <w:notTrueType/>
    <w:pitch w:val="fixed"/>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02DB0F" w14:textId="77777777" w:rsidR="001752FA" w:rsidRDefault="005D3332">
    <w:pPr>
      <w:pStyle w:val="Stopka"/>
      <w:pBdr>
        <w:top w:val="single" w:sz="4" w:space="1" w:color="auto"/>
      </w:pBdr>
    </w:pPr>
    <w:r>
      <w:rPr>
        <w:sz w:val="12"/>
        <w:szCs w:val="12"/>
      </w:rPr>
      <w:t xml:space="preserve">                                                                                                                                                      </w:t>
    </w:r>
  </w:p>
  <w:p w14:paraId="169ACCDB" w14:textId="77777777" w:rsidR="001752FA" w:rsidRDefault="005D3332">
    <w:pPr>
      <w:pStyle w:val="Stopka"/>
      <w:tabs>
        <w:tab w:val="clear" w:pos="4536"/>
        <w:tab w:val="clear" w:pos="9072"/>
        <w:tab w:val="left" w:pos="1146"/>
      </w:tabs>
      <w:rPr>
        <w:rFonts w:ascii="Verdana" w:hAnsi="Verdana"/>
        <w:sz w:val="14"/>
        <w:szCs w:val="14"/>
      </w:rPr>
    </w:pPr>
    <w:r>
      <w:rPr>
        <w:rFonts w:ascii="Verdana" w:hAnsi="Verdana"/>
        <w:sz w:val="14"/>
        <w:szCs w:val="14"/>
      </w:rPr>
      <w:tab/>
    </w:r>
  </w:p>
  <w:p w14:paraId="4BB1B171" w14:textId="77777777" w:rsidR="001752FA" w:rsidRDefault="001752F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5094105"/>
      <w:docPartObj>
        <w:docPartGallery w:val="Page Numbers (Bottom of Page)"/>
        <w:docPartUnique/>
      </w:docPartObj>
    </w:sdtPr>
    <w:sdtEndPr>
      <w:rPr>
        <w:rFonts w:ascii="Arial" w:hAnsi="Arial" w:cs="Arial"/>
        <w:sz w:val="18"/>
        <w:szCs w:val="18"/>
      </w:rPr>
    </w:sdtEndPr>
    <w:sdtContent>
      <w:sdt>
        <w:sdtPr>
          <w:id w:val="-925109761"/>
          <w:docPartObj>
            <w:docPartGallery w:val="Page Numbers (Bottom of Page)"/>
            <w:docPartUnique/>
          </w:docPartObj>
        </w:sdtPr>
        <w:sdtContent>
          <w:sdt>
            <w:sdtPr>
              <w:id w:val="1008329531"/>
              <w:docPartObj>
                <w:docPartGallery w:val="Page Numbers (Top of Page)"/>
                <w:docPartUnique/>
              </w:docPartObj>
            </w:sdtPr>
            <w:sdtContent>
              <w:p w14:paraId="11233800" w14:textId="77777777" w:rsidR="001752FA" w:rsidRDefault="005D3332">
                <w:pPr>
                  <w:pBdr>
                    <w:top w:val="single" w:sz="4" w:space="1" w:color="auto"/>
                  </w:pBdr>
                  <w:autoSpaceDE w:val="0"/>
                  <w:adjustRightInd w:val="0"/>
                  <w:spacing w:before="60" w:after="120"/>
                  <w:jc w:val="center"/>
                  <w:rPr>
                    <w:rFonts w:ascii="Arial" w:eastAsia="Calibri" w:hAnsi="Arial" w:cs="Arial"/>
                    <w:sz w:val="16"/>
                    <w:szCs w:val="16"/>
                  </w:rPr>
                </w:pPr>
                <w:r>
                  <w:rPr>
                    <w:rFonts w:ascii="Arial" w:hAnsi="Arial" w:cs="Arial"/>
                    <w:sz w:val="16"/>
                    <w:szCs w:val="16"/>
                    <w:lang w:eastAsia="ar-SA"/>
                  </w:rPr>
                  <w:t>Budowa drogi gminnej publicznej klasy D Łańcut – Sonina od km 0+000,00 do km 0+914,00.</w:t>
                </w:r>
              </w:p>
              <w:p w14:paraId="0F28052F" w14:textId="77777777" w:rsidR="001752FA" w:rsidRDefault="005D3332">
                <w:pPr>
                  <w:autoSpaceDE w:val="0"/>
                  <w:adjustRightInd w:val="0"/>
                  <w:jc w:val="right"/>
                </w:pPr>
                <w:r>
                  <w:rPr>
                    <w:rFonts w:ascii="Arial" w:hAnsi="Arial" w:cs="Arial"/>
                    <w:sz w:val="16"/>
                    <w:szCs w:val="16"/>
                  </w:rPr>
                  <w:t xml:space="preserve">XVI - </w:t>
                </w:r>
                <w:sdt>
                  <w:sdtPr>
                    <w:rPr>
                      <w:rFonts w:ascii="Arial" w:hAnsi="Arial" w:cs="Arial"/>
                      <w:sz w:val="16"/>
                      <w:szCs w:val="16"/>
                    </w:rPr>
                    <w:id w:val="-1276326551"/>
                    <w:docPartObj>
                      <w:docPartGallery w:val="Page Numbers (Top of Page)"/>
                      <w:docPartUnique/>
                    </w:docPartObj>
                  </w:sdtPr>
                  <w:sdtContent>
                    <w:r>
                      <w:rPr>
                        <w:rFonts w:ascii="Arial" w:hAnsi="Arial" w:cs="Arial"/>
                        <w:sz w:val="16"/>
                        <w:szCs w:val="16"/>
                      </w:rPr>
                      <w:t xml:space="preserve">Strona </w:t>
                    </w:r>
                    <w:r>
                      <w:rPr>
                        <w:rFonts w:ascii="Arial" w:hAnsi="Arial" w:cs="Arial"/>
                        <w:sz w:val="16"/>
                        <w:szCs w:val="16"/>
                      </w:rPr>
                      <w:fldChar w:fldCharType="begin"/>
                    </w:r>
                    <w:r>
                      <w:rPr>
                        <w:rFonts w:ascii="Arial" w:hAnsi="Arial" w:cs="Arial"/>
                        <w:sz w:val="16"/>
                        <w:szCs w:val="16"/>
                      </w:rPr>
                      <w:instrText>PAGE</w:instrText>
                    </w:r>
                    <w:r>
                      <w:rPr>
                        <w:rFonts w:ascii="Arial" w:hAnsi="Arial" w:cs="Arial"/>
                        <w:sz w:val="16"/>
                        <w:szCs w:val="16"/>
                      </w:rPr>
                      <w:fldChar w:fldCharType="separate"/>
                    </w:r>
                    <w:r w:rsidR="00D175CC">
                      <w:rPr>
                        <w:rFonts w:ascii="Arial" w:hAnsi="Arial" w:cs="Arial"/>
                        <w:noProof/>
                        <w:sz w:val="16"/>
                        <w:szCs w:val="16"/>
                      </w:rPr>
                      <w:t>14</w:t>
                    </w:r>
                    <w:r>
                      <w:rPr>
                        <w:rFonts w:ascii="Arial" w:hAnsi="Arial" w:cs="Arial"/>
                        <w:sz w:val="16"/>
                        <w:szCs w:val="16"/>
                      </w:rPr>
                      <w:fldChar w:fldCharType="end"/>
                    </w:r>
                    <w:r>
                      <w:rPr>
                        <w:rFonts w:ascii="Arial" w:hAnsi="Arial" w:cs="Arial"/>
                        <w:sz w:val="16"/>
                        <w:szCs w:val="16"/>
                      </w:rPr>
                      <w:t xml:space="preserve"> z </w:t>
                    </w:r>
                    <w:r>
                      <w:rPr>
                        <w:rFonts w:ascii="Arial" w:hAnsi="Arial" w:cs="Arial"/>
                        <w:sz w:val="16"/>
                        <w:szCs w:val="16"/>
                      </w:rPr>
                      <w:fldChar w:fldCharType="begin"/>
                    </w:r>
                    <w:r>
                      <w:rPr>
                        <w:rFonts w:ascii="Arial" w:hAnsi="Arial" w:cs="Arial"/>
                        <w:sz w:val="16"/>
                        <w:szCs w:val="16"/>
                      </w:rPr>
                      <w:instrText>NUMPAGES</w:instrText>
                    </w:r>
                    <w:r>
                      <w:rPr>
                        <w:rFonts w:ascii="Arial" w:hAnsi="Arial" w:cs="Arial"/>
                        <w:sz w:val="16"/>
                        <w:szCs w:val="16"/>
                      </w:rPr>
                      <w:fldChar w:fldCharType="separate"/>
                    </w:r>
                    <w:r w:rsidR="00D175CC">
                      <w:rPr>
                        <w:rFonts w:ascii="Arial" w:hAnsi="Arial" w:cs="Arial"/>
                        <w:noProof/>
                        <w:sz w:val="16"/>
                        <w:szCs w:val="16"/>
                      </w:rPr>
                      <w:t>14</w:t>
                    </w:r>
                    <w:r>
                      <w:rPr>
                        <w:rFonts w:ascii="Arial" w:hAnsi="Arial" w:cs="Arial"/>
                        <w:sz w:val="16"/>
                        <w:szCs w:val="16"/>
                      </w:rPr>
                      <w:fldChar w:fldCharType="end"/>
                    </w:r>
                  </w:sdtContent>
                </w:sdt>
              </w:p>
            </w:sdtContent>
          </w:sdt>
        </w:sdtContent>
      </w:sdt>
      <w:p w14:paraId="0D5BA3DC" w14:textId="77777777" w:rsidR="001752FA" w:rsidRDefault="005D3332">
        <w:pPr>
          <w:autoSpaceDE w:val="0"/>
          <w:adjustRightInd w:val="0"/>
          <w:jc w:val="right"/>
          <w:rPr>
            <w:rFonts w:ascii="Verdana" w:eastAsia="Calibri" w:hAnsi="Verdana"/>
            <w:sz w:val="16"/>
            <w:szCs w:val="16"/>
          </w:rPr>
        </w:pPr>
        <w:r>
          <w:rPr>
            <w:rFonts w:ascii="Verdana" w:hAnsi="Verdana"/>
            <w:sz w:val="18"/>
            <w:szCs w:val="18"/>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779173" w14:textId="77777777" w:rsidR="005D66DA" w:rsidRDefault="005D66DA">
      <w:r>
        <w:separator/>
      </w:r>
    </w:p>
  </w:footnote>
  <w:footnote w:type="continuationSeparator" w:id="0">
    <w:p w14:paraId="38D10A9A" w14:textId="77777777" w:rsidR="005D66DA" w:rsidRDefault="005D66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517C51" w14:textId="77777777" w:rsidR="001752FA" w:rsidRDefault="001752FA">
    <w:pPr>
      <w:pStyle w:val="Nagwek"/>
      <w:framePr w:wrap="around" w:vAnchor="text" w:hAnchor="margin" w:xAlign="outside" w:y="1"/>
      <w:rPr>
        <w:rStyle w:val="Numerstrony"/>
      </w:rPr>
    </w:pPr>
  </w:p>
  <w:p w14:paraId="601B0B5C" w14:textId="77777777" w:rsidR="001752FA" w:rsidRDefault="005D3332">
    <w:pPr>
      <w:pStyle w:val="Nagwek"/>
      <w:jc w:val="center"/>
      <w:rPr>
        <w:i/>
        <w:sz w:val="16"/>
      </w:rPr>
    </w:pPr>
    <w:r>
      <w:rPr>
        <w:noProof/>
      </w:rPr>
      <mc:AlternateContent>
        <mc:Choice Requires="wps">
          <w:drawing>
            <wp:anchor distT="4294967295" distB="4294967295" distL="114300" distR="114300" simplePos="0" relativeHeight="251658240" behindDoc="0" locked="0" layoutInCell="1" allowOverlap="1" wp14:anchorId="0C1D184F" wp14:editId="533A38CF">
              <wp:simplePos x="0" y="0"/>
              <wp:positionH relativeFrom="column">
                <wp:posOffset>-31750</wp:posOffset>
              </wp:positionH>
              <wp:positionV relativeFrom="paragraph">
                <wp:posOffset>31114</wp:posOffset>
              </wp:positionV>
              <wp:extent cx="6515100" cy="0"/>
              <wp:effectExtent l="0" t="0" r="19050"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31A2CF6" id="Line 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5pt,2.45pt" to="510.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"/>
          </w:pict>
        </mc:Fallback>
      </mc:AlternateContent>
    </w:r>
  </w:p>
  <w:p w14:paraId="088FC3C2" w14:textId="77777777" w:rsidR="001752FA" w:rsidRDefault="001752FA">
    <w:pPr>
      <w:pStyle w:val="Nagwek"/>
      <w:rPr>
        <w:rFonts w:ascii="Verdana" w:hAnsi="Verdana"/>
        <w:sz w:val="2"/>
        <w:szCs w:val="2"/>
      </w:rPr>
    </w:pPr>
  </w:p>
  <w:p w14:paraId="0E559C35" w14:textId="77777777" w:rsidR="001752FA" w:rsidRDefault="001752F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8C98B" w14:textId="77777777" w:rsidR="001752FA" w:rsidRDefault="005D3332">
    <w:pPr>
      <w:jc w:val="center"/>
      <w:rPr>
        <w:rFonts w:ascii="Verdana" w:hAnsi="Verdana"/>
        <w:bCs/>
        <w:iCs/>
      </w:rPr>
    </w:pPr>
    <w:r>
      <w:rPr>
        <w:rFonts w:ascii="Verdana" w:hAnsi="Verdana"/>
        <w:bCs/>
        <w:i/>
        <w:iCs/>
        <w:sz w:val="11"/>
        <w:szCs w:val="11"/>
      </w:rPr>
      <w:t xml:space="preserve">  </w:t>
    </w:r>
    <w:r>
      <w:rPr>
        <w:rFonts w:ascii="Verdana" w:hAnsi="Verdana"/>
        <w:bCs/>
        <w:iCs/>
      </w:rPr>
      <w:t xml:space="preserve">    </w:t>
    </w:r>
  </w:p>
  <w:p w14:paraId="2C98CA57" w14:textId="77777777" w:rsidR="001752FA" w:rsidRDefault="001752FA">
    <w:pPr>
      <w:jc w:val="right"/>
      <w:rPr>
        <w:rFonts w:ascii="Arial" w:hAnsi="Arial" w:cs="Arial"/>
        <w:sz w:val="14"/>
        <w:szCs w:val="14"/>
      </w:rPr>
    </w:pPr>
  </w:p>
  <w:p w14:paraId="7C973435" w14:textId="77777777" w:rsidR="001752FA" w:rsidRDefault="001752FA">
    <w:pPr>
      <w:jc w:val="right"/>
      <w:rPr>
        <w:rFonts w:ascii="Arial" w:hAnsi="Arial" w:cs="Arial"/>
        <w:sz w:val="16"/>
        <w:szCs w:val="16"/>
      </w:rPr>
    </w:pPr>
  </w:p>
  <w:p w14:paraId="4FBAD5D5" w14:textId="77777777" w:rsidR="001752FA" w:rsidRDefault="005D3332">
    <w:pPr>
      <w:jc w:val="right"/>
      <w:rPr>
        <w:rFonts w:ascii="Arial" w:hAnsi="Arial" w:cs="Arial"/>
        <w:b/>
        <w:sz w:val="16"/>
        <w:szCs w:val="16"/>
      </w:rPr>
    </w:pPr>
    <w:r>
      <w:rPr>
        <w:rFonts w:ascii="Arial" w:hAnsi="Arial" w:cs="Arial"/>
        <w:sz w:val="16"/>
        <w:szCs w:val="16"/>
      </w:rPr>
      <w:t xml:space="preserve">D-05.03.05.b. Nawierzchnia z betonu asfaltowego. Warstwa wiążąca. </w:t>
    </w:r>
  </w:p>
  <w:p w14:paraId="4DAA1A87" w14:textId="77777777" w:rsidR="001752FA" w:rsidRDefault="005D3332">
    <w:pPr>
      <w:pStyle w:val="Nagwek"/>
      <w:jc w:val="center"/>
      <w:rPr>
        <w:i/>
        <w:sz w:val="16"/>
      </w:rPr>
    </w:pPr>
    <w:r>
      <w:rPr>
        <w:noProof/>
      </w:rPr>
      <mc:AlternateContent>
        <mc:Choice Requires="wps">
          <w:drawing>
            <wp:anchor distT="4294967295" distB="4294967295" distL="114300" distR="114300" simplePos="0" relativeHeight="251657216" behindDoc="0" locked="0" layoutInCell="1" allowOverlap="1" wp14:anchorId="7BA23A2F" wp14:editId="199F06E0">
              <wp:simplePos x="0" y="0"/>
              <wp:positionH relativeFrom="column">
                <wp:posOffset>-33020</wp:posOffset>
              </wp:positionH>
              <wp:positionV relativeFrom="paragraph">
                <wp:posOffset>31750</wp:posOffset>
              </wp:positionV>
              <wp:extent cx="5838825" cy="0"/>
              <wp:effectExtent l="0" t="0" r="28575"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882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5FDD6A5" id="Line 1"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pt,2.5pt" to="457.1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"/>
          </w:pict>
        </mc:Fallback>
      </mc:AlternateContent>
    </w:r>
  </w:p>
  <w:p w14:paraId="11C89832" w14:textId="77777777" w:rsidR="001752FA" w:rsidRDefault="001752F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 id="_x0000_i1032" style="width:6.75pt;height:2.25pt" coordsize="" o:spt="100" o:bullet="t" adj="0,,0" path="" stroked="f">
        <v:stroke joinstyle="miter"/>
        <v:imagedata r:id="rId1" o:title="image26"/>
        <v:formulas/>
        <v:path o:connecttype="segments"/>
      </v:shape>
    </w:pict>
  </w:numPicBullet>
  <w:numPicBullet w:numPicBulletId="1">
    <w:pict>
      <v:shape id="_x0000_i1033" style="width:6.75pt;height:2.25pt" coordsize="" o:spt="100" o:bullet="t" adj="0,,0" path="" stroked="f">
        <v:stroke joinstyle="miter"/>
        <v:imagedata r:id="rId2" o:title="image27"/>
        <v:formulas/>
        <v:path o:connecttype="segments"/>
      </v:shape>
    </w:pict>
  </w:numPicBullet>
  <w:abstractNum w:abstractNumId="0"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FE"/>
    <w:multiLevelType w:val="singleLevel"/>
    <w:tmpl w:val="C578381A"/>
    <w:lvl w:ilvl="0">
      <w:numFmt w:val="decimal"/>
      <w:lvlText w:val="*"/>
      <w:lvlJc w:val="left"/>
      <w:pPr>
        <w:ind w:left="0" w:firstLine="0"/>
      </w:pPr>
    </w:lvl>
  </w:abstractNum>
  <w:abstractNum w:abstractNumId="5"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sz w:val="18"/>
      </w:rPr>
    </w:lvl>
  </w:abstractNum>
  <w:abstractNum w:abstractNumId="6" w15:restartNumberingAfterBreak="0">
    <w:nsid w:val="004929F5"/>
    <w:multiLevelType w:val="hybridMultilevel"/>
    <w:tmpl w:val="9F68E422"/>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6D555C2"/>
    <w:multiLevelType w:val="hybridMultilevel"/>
    <w:tmpl w:val="76E83A28"/>
    <w:lvl w:ilvl="0" w:tplc="85EC16BE">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E9211D"/>
    <w:multiLevelType w:val="hybridMultilevel"/>
    <w:tmpl w:val="386872A8"/>
    <w:lvl w:ilvl="0" w:tplc="2D30D30A">
      <w:start w:val="1"/>
      <w:numFmt w:val="bullet"/>
      <w:lvlText w:val="•"/>
      <w:lvlPicBulletId w:val="0"/>
      <w:lvlJc w:val="left"/>
      <w:pPr>
        <w:ind w:left="7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FDA44AE">
      <w:start w:val="1"/>
      <w:numFmt w:val="bullet"/>
      <w:lvlText w:val="o"/>
      <w:lvlJc w:val="left"/>
      <w:pPr>
        <w:ind w:left="16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F16FE8E">
      <w:start w:val="1"/>
      <w:numFmt w:val="bullet"/>
      <w:lvlText w:val="▪"/>
      <w:lvlJc w:val="left"/>
      <w:pPr>
        <w:ind w:left="23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108F1D4">
      <w:start w:val="1"/>
      <w:numFmt w:val="bullet"/>
      <w:lvlText w:val="•"/>
      <w:lvlJc w:val="left"/>
      <w:pPr>
        <w:ind w:left="31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720A80C">
      <w:start w:val="1"/>
      <w:numFmt w:val="bullet"/>
      <w:lvlText w:val="o"/>
      <w:lvlJc w:val="left"/>
      <w:pPr>
        <w:ind w:left="38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3085CFC">
      <w:start w:val="1"/>
      <w:numFmt w:val="bullet"/>
      <w:lvlText w:val="▪"/>
      <w:lvlJc w:val="left"/>
      <w:pPr>
        <w:ind w:left="45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7CCF41C">
      <w:start w:val="1"/>
      <w:numFmt w:val="bullet"/>
      <w:lvlText w:val="•"/>
      <w:lvlJc w:val="left"/>
      <w:pPr>
        <w:ind w:left="52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C6A3C94">
      <w:start w:val="1"/>
      <w:numFmt w:val="bullet"/>
      <w:lvlText w:val="o"/>
      <w:lvlJc w:val="left"/>
      <w:pPr>
        <w:ind w:left="59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6F0F816">
      <w:start w:val="1"/>
      <w:numFmt w:val="bullet"/>
      <w:lvlText w:val="▪"/>
      <w:lvlJc w:val="left"/>
      <w:pPr>
        <w:ind w:left="67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18F45A7"/>
    <w:multiLevelType w:val="hybridMultilevel"/>
    <w:tmpl w:val="8FC4B622"/>
    <w:lvl w:ilvl="0" w:tplc="A714485A">
      <w:start w:val="1"/>
      <w:numFmt w:val="bullet"/>
      <w:lvlText w:val="•"/>
      <w:lvlPicBulletId w:val="1"/>
      <w:lvlJc w:val="left"/>
      <w:pPr>
        <w:ind w:left="5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9E1C88">
      <w:start w:val="1"/>
      <w:numFmt w:val="bullet"/>
      <w:lvlText w:val="o"/>
      <w:lvlJc w:val="left"/>
      <w:pPr>
        <w:ind w:left="16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7148EFC">
      <w:start w:val="1"/>
      <w:numFmt w:val="bullet"/>
      <w:lvlText w:val="▪"/>
      <w:lvlJc w:val="left"/>
      <w:pPr>
        <w:ind w:left="23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60090D4">
      <w:start w:val="1"/>
      <w:numFmt w:val="bullet"/>
      <w:lvlText w:val="•"/>
      <w:lvlJc w:val="left"/>
      <w:pPr>
        <w:ind w:left="31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81CD4A4">
      <w:start w:val="1"/>
      <w:numFmt w:val="bullet"/>
      <w:lvlText w:val="o"/>
      <w:lvlJc w:val="left"/>
      <w:pPr>
        <w:ind w:left="38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15C4052">
      <w:start w:val="1"/>
      <w:numFmt w:val="bullet"/>
      <w:lvlText w:val="▪"/>
      <w:lvlJc w:val="left"/>
      <w:pPr>
        <w:ind w:left="45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2802D4A">
      <w:start w:val="1"/>
      <w:numFmt w:val="bullet"/>
      <w:lvlText w:val="•"/>
      <w:lvlJc w:val="left"/>
      <w:pPr>
        <w:ind w:left="52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4E8A3D0">
      <w:start w:val="1"/>
      <w:numFmt w:val="bullet"/>
      <w:lvlText w:val="o"/>
      <w:lvlJc w:val="left"/>
      <w:pPr>
        <w:ind w:left="59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D903176">
      <w:start w:val="1"/>
      <w:numFmt w:val="bullet"/>
      <w:lvlText w:val="▪"/>
      <w:lvlJc w:val="left"/>
      <w:pPr>
        <w:ind w:left="67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5C264E2"/>
    <w:multiLevelType w:val="hybridMultilevel"/>
    <w:tmpl w:val="E1809F6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4F2B30"/>
    <w:multiLevelType w:val="hybridMultilevel"/>
    <w:tmpl w:val="14D69658"/>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9B616A9"/>
    <w:multiLevelType w:val="hybridMultilevel"/>
    <w:tmpl w:val="BA98F3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C092D81"/>
    <w:multiLevelType w:val="hybridMultilevel"/>
    <w:tmpl w:val="F760E174"/>
    <w:lvl w:ilvl="0" w:tplc="04150001">
      <w:start w:val="1"/>
      <w:numFmt w:val="bullet"/>
      <w:lvlText w:val=""/>
      <w:lvlJc w:val="left"/>
      <w:pPr>
        <w:ind w:left="360" w:hanging="360"/>
      </w:pPr>
      <w:rPr>
        <w:rFonts w:ascii="Symbol" w:hAnsi="Symbol"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1FC32FD3"/>
    <w:multiLevelType w:val="hybridMultilevel"/>
    <w:tmpl w:val="D3EA32A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1C36336"/>
    <w:multiLevelType w:val="hybridMultilevel"/>
    <w:tmpl w:val="D17873A4"/>
    <w:lvl w:ilvl="0" w:tplc="77427BC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6147AB2"/>
    <w:multiLevelType w:val="hybridMultilevel"/>
    <w:tmpl w:val="A8B21DEE"/>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8D80F8E"/>
    <w:multiLevelType w:val="hybridMultilevel"/>
    <w:tmpl w:val="E48A3A86"/>
    <w:name w:val="WW8Num12"/>
    <w:lvl w:ilvl="0" w:tplc="848EB2D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B0801B4"/>
    <w:multiLevelType w:val="hybridMultilevel"/>
    <w:tmpl w:val="0A0022A6"/>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BC14406"/>
    <w:multiLevelType w:val="hybridMultilevel"/>
    <w:tmpl w:val="CA38754E"/>
    <w:lvl w:ilvl="0" w:tplc="F2FEA3D6">
      <w:start w:val="1"/>
      <w:numFmt w:val="bullet"/>
      <w:lvlText w:val=""/>
      <w:lvlJc w:val="left"/>
      <w:pPr>
        <w:tabs>
          <w:tab w:val="num" w:pos="720"/>
        </w:tabs>
        <w:ind w:left="720" w:hanging="360"/>
      </w:pPr>
      <w:rPr>
        <w:rFonts w:ascii="Symbol" w:hAnsi="Symbol" w:hint="default"/>
        <w:sz w:val="16"/>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BFA4BE8"/>
    <w:multiLevelType w:val="hybridMultilevel"/>
    <w:tmpl w:val="96B4E502"/>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0114BC6"/>
    <w:multiLevelType w:val="hybridMultilevel"/>
    <w:tmpl w:val="55B8FF72"/>
    <w:lvl w:ilvl="0" w:tplc="F2FEA3D6">
      <w:start w:val="1"/>
      <w:numFmt w:val="bullet"/>
      <w:lvlText w:val=""/>
      <w:lvlJc w:val="left"/>
      <w:pPr>
        <w:tabs>
          <w:tab w:val="num" w:pos="360"/>
        </w:tabs>
        <w:ind w:left="360" w:hanging="360"/>
      </w:pPr>
      <w:rPr>
        <w:rFonts w:ascii="Symbol" w:hAnsi="Symbol" w:hint="default"/>
        <w:sz w:val="16"/>
      </w:rPr>
    </w:lvl>
    <w:lvl w:ilvl="1" w:tplc="848EB2D0">
      <w:start w:val="1"/>
      <w:numFmt w:val="bullet"/>
      <w:lvlText w:val=""/>
      <w:lvlJc w:val="left"/>
      <w:pPr>
        <w:tabs>
          <w:tab w:val="num" w:pos="1080"/>
        </w:tabs>
        <w:ind w:left="1080" w:hanging="360"/>
      </w:pPr>
      <w:rPr>
        <w:rFonts w:ascii="Symbol" w:hAnsi="Symbol"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decimal"/>
      <w:lvlText w:val="%6."/>
      <w:lvlJc w:val="left"/>
      <w:pPr>
        <w:tabs>
          <w:tab w:val="num" w:pos="3960"/>
        </w:tabs>
        <w:ind w:left="3960" w:hanging="360"/>
      </w:pPr>
    </w:lvl>
    <w:lvl w:ilvl="6" w:tplc="04150001">
      <w:start w:val="1"/>
      <w:numFmt w:val="decimal"/>
      <w:lvlText w:val="%7."/>
      <w:lvlJc w:val="left"/>
      <w:pPr>
        <w:tabs>
          <w:tab w:val="num" w:pos="4680"/>
        </w:tabs>
        <w:ind w:left="4680" w:hanging="360"/>
      </w:pPr>
    </w:lvl>
    <w:lvl w:ilvl="7" w:tplc="04150003">
      <w:start w:val="1"/>
      <w:numFmt w:val="decimal"/>
      <w:lvlText w:val="%8."/>
      <w:lvlJc w:val="left"/>
      <w:pPr>
        <w:tabs>
          <w:tab w:val="num" w:pos="5400"/>
        </w:tabs>
        <w:ind w:left="5400" w:hanging="360"/>
      </w:pPr>
    </w:lvl>
    <w:lvl w:ilvl="8" w:tplc="04150005">
      <w:start w:val="1"/>
      <w:numFmt w:val="decimal"/>
      <w:lvlText w:val="%9."/>
      <w:lvlJc w:val="left"/>
      <w:pPr>
        <w:tabs>
          <w:tab w:val="num" w:pos="6120"/>
        </w:tabs>
        <w:ind w:left="6120" w:hanging="360"/>
      </w:pPr>
    </w:lvl>
  </w:abstractNum>
  <w:abstractNum w:abstractNumId="22" w15:restartNumberingAfterBreak="0">
    <w:nsid w:val="3B1134A9"/>
    <w:multiLevelType w:val="hybridMultilevel"/>
    <w:tmpl w:val="FC4A4F4C"/>
    <w:lvl w:ilvl="0" w:tplc="F2FEA3D6">
      <w:start w:val="1"/>
      <w:numFmt w:val="bullet"/>
      <w:lvlText w:val=""/>
      <w:lvlJc w:val="left"/>
      <w:pPr>
        <w:tabs>
          <w:tab w:val="num" w:pos="720"/>
        </w:tabs>
        <w:ind w:left="720" w:hanging="360"/>
      </w:pPr>
      <w:rPr>
        <w:rFonts w:ascii="Symbol" w:hAnsi="Symbol" w:hint="default"/>
        <w:sz w:val="16"/>
      </w:rPr>
    </w:lvl>
    <w:lvl w:ilvl="1" w:tplc="848EB2D0">
      <w:start w:val="1"/>
      <w:numFmt w:val="bullet"/>
      <w:lvlText w:val=""/>
      <w:lvlJc w:val="left"/>
      <w:pPr>
        <w:tabs>
          <w:tab w:val="num" w:pos="1440"/>
        </w:tabs>
        <w:ind w:left="1440" w:hanging="360"/>
      </w:pPr>
      <w:rPr>
        <w:rFonts w:ascii="Symbol" w:hAnsi="Symbol"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3" w15:restartNumberingAfterBreak="0">
    <w:nsid w:val="3C764DBA"/>
    <w:multiLevelType w:val="hybridMultilevel"/>
    <w:tmpl w:val="3ED4CBB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0041BF0"/>
    <w:multiLevelType w:val="hybridMultilevel"/>
    <w:tmpl w:val="DEAC2D1E"/>
    <w:lvl w:ilvl="0" w:tplc="F2FEA3D6">
      <w:start w:val="1"/>
      <w:numFmt w:val="bullet"/>
      <w:lvlText w:val=""/>
      <w:lvlJc w:val="left"/>
      <w:pPr>
        <w:tabs>
          <w:tab w:val="num" w:pos="720"/>
        </w:tabs>
        <w:ind w:left="720" w:hanging="360"/>
      </w:pPr>
      <w:rPr>
        <w:rFonts w:ascii="Symbol" w:hAnsi="Symbol" w:hint="default"/>
        <w:sz w:val="16"/>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087353A"/>
    <w:multiLevelType w:val="hybridMultilevel"/>
    <w:tmpl w:val="5426B8D0"/>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48D1DBB"/>
    <w:multiLevelType w:val="hybridMultilevel"/>
    <w:tmpl w:val="6F08068A"/>
    <w:lvl w:ilvl="0" w:tplc="A4503200">
      <w:start w:val="1"/>
      <w:numFmt w:val="bullet"/>
      <w:lvlText w:val=""/>
      <w:lvlJc w:val="left"/>
      <w:pPr>
        <w:tabs>
          <w:tab w:val="num" w:pos="720"/>
        </w:tabs>
        <w:ind w:left="720" w:hanging="360"/>
      </w:pPr>
      <w:rPr>
        <w:rFonts w:ascii="Symbol" w:hAnsi="Symbol" w:hint="default"/>
      </w:rPr>
    </w:lvl>
    <w:lvl w:ilvl="1" w:tplc="848EB2D0">
      <w:start w:val="1"/>
      <w:numFmt w:val="bullet"/>
      <w:lvlText w:val=""/>
      <w:lvlJc w:val="left"/>
      <w:pPr>
        <w:tabs>
          <w:tab w:val="num" w:pos="1440"/>
        </w:tabs>
        <w:ind w:left="1440" w:hanging="360"/>
      </w:pPr>
      <w:rPr>
        <w:rFonts w:ascii="Symbol" w:hAnsi="Symbol"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7" w15:restartNumberingAfterBreak="0">
    <w:nsid w:val="46ED250D"/>
    <w:multiLevelType w:val="hybridMultilevel"/>
    <w:tmpl w:val="3B02342E"/>
    <w:lvl w:ilvl="0" w:tplc="77427BC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E607B13"/>
    <w:multiLevelType w:val="hybridMultilevel"/>
    <w:tmpl w:val="AA5E7BC8"/>
    <w:lvl w:ilvl="0" w:tplc="F2FEA3D6">
      <w:start w:val="1"/>
      <w:numFmt w:val="bullet"/>
      <w:lvlText w:val=""/>
      <w:lvlJc w:val="left"/>
      <w:pPr>
        <w:ind w:left="1080" w:hanging="360"/>
      </w:pPr>
      <w:rPr>
        <w:rFonts w:ascii="Symbol" w:hAnsi="Symbol" w:hint="default"/>
        <w:sz w:val="16"/>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50BC7858"/>
    <w:multiLevelType w:val="hybridMultilevel"/>
    <w:tmpl w:val="4BEAA266"/>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3913326"/>
    <w:multiLevelType w:val="hybridMultilevel"/>
    <w:tmpl w:val="FD0C7B68"/>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4E355A3"/>
    <w:multiLevelType w:val="multilevel"/>
    <w:tmpl w:val="11BCBB22"/>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2" w15:restartNumberingAfterBreak="0">
    <w:nsid w:val="56386C1C"/>
    <w:multiLevelType w:val="hybridMultilevel"/>
    <w:tmpl w:val="928EEBA2"/>
    <w:lvl w:ilvl="0" w:tplc="A4503200">
      <w:start w:val="1"/>
      <w:numFmt w:val="bullet"/>
      <w:lvlText w:val=""/>
      <w:lvlJc w:val="left"/>
      <w:pPr>
        <w:tabs>
          <w:tab w:val="num" w:pos="360"/>
        </w:tabs>
        <w:ind w:left="360" w:hanging="360"/>
      </w:pPr>
      <w:rPr>
        <w:rFonts w:ascii="Symbol" w:hAnsi="Symbol" w:hint="default"/>
      </w:rPr>
    </w:lvl>
    <w:lvl w:ilvl="1" w:tplc="848EB2D0">
      <w:start w:val="1"/>
      <w:numFmt w:val="bullet"/>
      <w:lvlText w:val=""/>
      <w:lvlJc w:val="left"/>
      <w:pPr>
        <w:tabs>
          <w:tab w:val="num" w:pos="1080"/>
        </w:tabs>
        <w:ind w:left="1080" w:hanging="360"/>
      </w:pPr>
      <w:rPr>
        <w:rFonts w:ascii="Symbol" w:hAnsi="Symbol"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decimal"/>
      <w:lvlText w:val="%6."/>
      <w:lvlJc w:val="left"/>
      <w:pPr>
        <w:tabs>
          <w:tab w:val="num" w:pos="3960"/>
        </w:tabs>
        <w:ind w:left="3960" w:hanging="360"/>
      </w:pPr>
    </w:lvl>
    <w:lvl w:ilvl="6" w:tplc="04150001">
      <w:start w:val="1"/>
      <w:numFmt w:val="decimal"/>
      <w:lvlText w:val="%7."/>
      <w:lvlJc w:val="left"/>
      <w:pPr>
        <w:tabs>
          <w:tab w:val="num" w:pos="4680"/>
        </w:tabs>
        <w:ind w:left="4680" w:hanging="360"/>
      </w:pPr>
    </w:lvl>
    <w:lvl w:ilvl="7" w:tplc="04150003">
      <w:start w:val="1"/>
      <w:numFmt w:val="decimal"/>
      <w:lvlText w:val="%8."/>
      <w:lvlJc w:val="left"/>
      <w:pPr>
        <w:tabs>
          <w:tab w:val="num" w:pos="5400"/>
        </w:tabs>
        <w:ind w:left="5400" w:hanging="360"/>
      </w:pPr>
    </w:lvl>
    <w:lvl w:ilvl="8" w:tplc="04150005">
      <w:start w:val="1"/>
      <w:numFmt w:val="decimal"/>
      <w:lvlText w:val="%9."/>
      <w:lvlJc w:val="left"/>
      <w:pPr>
        <w:tabs>
          <w:tab w:val="num" w:pos="6120"/>
        </w:tabs>
        <w:ind w:left="6120" w:hanging="360"/>
      </w:pPr>
    </w:lvl>
  </w:abstractNum>
  <w:abstractNum w:abstractNumId="33" w15:restartNumberingAfterBreak="0">
    <w:nsid w:val="591C5C0C"/>
    <w:multiLevelType w:val="hybridMultilevel"/>
    <w:tmpl w:val="FF1465C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1E97AB0"/>
    <w:multiLevelType w:val="hybridMultilevel"/>
    <w:tmpl w:val="0D2465D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1567034676">
    <w:abstractNumId w:val="4"/>
    <w:lvlOverride w:ilvl="0">
      <w:lvl w:ilvl="0">
        <w:numFmt w:val="bullet"/>
        <w:lvlText w:val=""/>
        <w:legacy w:legacy="1" w:legacySpace="0" w:legacyIndent="283"/>
        <w:lvlJc w:val="left"/>
        <w:pPr>
          <w:ind w:left="283" w:hanging="283"/>
        </w:pPr>
        <w:rPr>
          <w:rFonts w:ascii="Symbol" w:hAnsi="Symbol" w:hint="default"/>
          <w:sz w:val="20"/>
        </w:rPr>
      </w:lvl>
    </w:lvlOverride>
  </w:num>
  <w:num w:numId="2" w16cid:durableId="1009992302">
    <w:abstractNumId w:val="3"/>
  </w:num>
  <w:num w:numId="3" w16cid:durableId="1681085529">
    <w:abstractNumId w:val="2"/>
  </w:num>
  <w:num w:numId="4" w16cid:durableId="473988194">
    <w:abstractNumId w:val="1"/>
  </w:num>
  <w:num w:numId="5" w16cid:durableId="1902709258">
    <w:abstractNumId w:val="0"/>
  </w:num>
  <w:num w:numId="6" w16cid:durableId="113641054">
    <w:abstractNumId w:val="10"/>
  </w:num>
  <w:num w:numId="7" w16cid:durableId="1603344439">
    <w:abstractNumId w:val="14"/>
  </w:num>
  <w:num w:numId="8" w16cid:durableId="1085030387">
    <w:abstractNumId w:val="34"/>
  </w:num>
  <w:num w:numId="9" w16cid:durableId="1901014103">
    <w:abstractNumId w:val="29"/>
  </w:num>
  <w:num w:numId="10" w16cid:durableId="1552696047">
    <w:abstractNumId w:val="23"/>
  </w:num>
  <w:num w:numId="11" w16cid:durableId="1973361852">
    <w:abstractNumId w:val="33"/>
  </w:num>
  <w:num w:numId="12" w16cid:durableId="735666717">
    <w:abstractNumId w:val="7"/>
  </w:num>
  <w:num w:numId="13" w16cid:durableId="1886217336">
    <w:abstractNumId w:val="26"/>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14" w16cid:durableId="1501043605">
    <w:abstractNumId w:val="32"/>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15" w16cid:durableId="1724480187">
    <w:abstractNumId w:val="13"/>
  </w:num>
  <w:num w:numId="16" w16cid:durableId="1483349104">
    <w:abstractNumId w:val="12"/>
  </w:num>
  <w:num w:numId="17" w16cid:durableId="718555731">
    <w:abstractNumId w:val="5"/>
  </w:num>
  <w:num w:numId="18" w16cid:durableId="119880555">
    <w:abstractNumId w:val="8"/>
  </w:num>
  <w:num w:numId="19" w16cid:durableId="1954244883">
    <w:abstractNumId w:val="27"/>
  </w:num>
  <w:num w:numId="20" w16cid:durableId="59014409">
    <w:abstractNumId w:val="9"/>
  </w:num>
  <w:num w:numId="21" w16cid:durableId="756439382">
    <w:abstractNumId w:val="15"/>
  </w:num>
  <w:num w:numId="22" w16cid:durableId="1531146474">
    <w:abstractNumId w:val="30"/>
  </w:num>
  <w:num w:numId="23" w16cid:durableId="1356343083">
    <w:abstractNumId w:val="19"/>
  </w:num>
  <w:num w:numId="24" w16cid:durableId="939139651">
    <w:abstractNumId w:val="16"/>
  </w:num>
  <w:num w:numId="25" w16cid:durableId="421729030">
    <w:abstractNumId w:val="28"/>
  </w:num>
  <w:num w:numId="26" w16cid:durableId="1734236507">
    <w:abstractNumId w:val="24"/>
  </w:num>
  <w:num w:numId="27" w16cid:durableId="1668509477">
    <w:abstractNumId w:val="25"/>
  </w:num>
  <w:num w:numId="28" w16cid:durableId="773283589">
    <w:abstractNumId w:val="26"/>
  </w:num>
  <w:num w:numId="29" w16cid:durableId="1741322836">
    <w:abstractNumId w:val="22"/>
  </w:num>
  <w:num w:numId="30" w16cid:durableId="834732061">
    <w:abstractNumId w:val="21"/>
  </w:num>
  <w:num w:numId="31" w16cid:durableId="215705210">
    <w:abstractNumId w:val="20"/>
  </w:num>
  <w:num w:numId="32" w16cid:durableId="281545965">
    <w:abstractNumId w:val="18"/>
  </w:num>
  <w:num w:numId="33" w16cid:durableId="334571224">
    <w:abstractNumId w:val="6"/>
  </w:num>
  <w:num w:numId="34" w16cid:durableId="1010983125">
    <w:abstractNumId w:val="11"/>
  </w:num>
  <w:num w:numId="35" w16cid:durableId="15043153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52FA"/>
    <w:rsid w:val="0009557E"/>
    <w:rsid w:val="000B39F1"/>
    <w:rsid w:val="000C7468"/>
    <w:rsid w:val="001752FA"/>
    <w:rsid w:val="00231C69"/>
    <w:rsid w:val="002B4090"/>
    <w:rsid w:val="002D15A4"/>
    <w:rsid w:val="00503DDF"/>
    <w:rsid w:val="005233DA"/>
    <w:rsid w:val="005C004D"/>
    <w:rsid w:val="005D3332"/>
    <w:rsid w:val="005D66DA"/>
    <w:rsid w:val="006D6DAC"/>
    <w:rsid w:val="007A4BE9"/>
    <w:rsid w:val="007D2F54"/>
    <w:rsid w:val="00831432"/>
    <w:rsid w:val="00AB705C"/>
    <w:rsid w:val="00BF2937"/>
    <w:rsid w:val="00D175CC"/>
    <w:rsid w:val="00EE447B"/>
    <w:rsid w:val="00F41E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FC0EB5"/>
  <w15:docId w15:val="{24DE1CA9-BCE6-4767-985F-1510305C7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Standardowytekst"/>
    <w:next w:val="Standardowytekst"/>
    <w:link w:val="Nagwek1Znak"/>
    <w:qFormat/>
    <w:pPr>
      <w:keepNext/>
      <w:keepLines/>
      <w:suppressAutoHyphens/>
      <w:spacing w:before="120" w:after="120"/>
      <w:outlineLvl w:val="0"/>
    </w:pPr>
    <w:rPr>
      <w:b/>
      <w:caps/>
      <w:kern w:val="28"/>
    </w:rPr>
  </w:style>
  <w:style w:type="paragraph" w:styleId="Nagwek2">
    <w:name w:val="heading 2"/>
    <w:basedOn w:val="Standardowytekst"/>
    <w:next w:val="Standardowytekst"/>
    <w:link w:val="Nagwek2Znak"/>
    <w:qFormat/>
    <w:pPr>
      <w:keepNext/>
      <w:spacing w:before="120" w:after="120"/>
      <w:outlineLvl w:val="1"/>
    </w:pPr>
    <w:rPr>
      <w:b/>
    </w:rPr>
  </w:style>
  <w:style w:type="paragraph" w:styleId="Nagwek3">
    <w:name w:val="heading 3"/>
    <w:basedOn w:val="Normalny"/>
    <w:next w:val="Normalny"/>
    <w:link w:val="Nagwek3Znak"/>
    <w:qFormat/>
    <w:pPr>
      <w:keepNext/>
      <w:ind w:left="-709"/>
      <w:outlineLvl w:val="2"/>
    </w:pPr>
    <w:rPr>
      <w:sz w:val="24"/>
    </w:rPr>
  </w:style>
  <w:style w:type="paragraph" w:styleId="Nagwek4">
    <w:name w:val="heading 4"/>
    <w:basedOn w:val="Normalny"/>
    <w:next w:val="Normalny"/>
    <w:link w:val="Nagwek4Znak"/>
    <w:unhideWhenUsed/>
    <w:qFormat/>
    <w:pPr>
      <w:keepNext/>
      <w:spacing w:before="240" w:after="60"/>
      <w:ind w:left="1985" w:hanging="567"/>
      <w:jc w:val="both"/>
      <w:outlineLvl w:val="3"/>
    </w:pPr>
    <w:rPr>
      <w:b/>
      <w:i/>
    </w:rPr>
  </w:style>
  <w:style w:type="paragraph" w:styleId="Nagwek5">
    <w:name w:val="heading 5"/>
    <w:basedOn w:val="Normalny"/>
    <w:next w:val="Normalny"/>
    <w:link w:val="Nagwek5Znak"/>
    <w:unhideWhenUsed/>
    <w:qFormat/>
    <w:pPr>
      <w:tabs>
        <w:tab w:val="num" w:pos="0"/>
      </w:tabs>
      <w:spacing w:before="60" w:after="60"/>
      <w:ind w:left="2693" w:hanging="708"/>
      <w:jc w:val="both"/>
      <w:outlineLvl w:val="4"/>
    </w:pPr>
  </w:style>
  <w:style w:type="paragraph" w:styleId="Nagwek6">
    <w:name w:val="heading 6"/>
    <w:basedOn w:val="Normalny"/>
    <w:next w:val="Normalny"/>
    <w:link w:val="Nagwek6Znak"/>
    <w:unhideWhenUsed/>
    <w:qFormat/>
    <w:pPr>
      <w:tabs>
        <w:tab w:val="num" w:pos="0"/>
      </w:tabs>
      <w:spacing w:before="240" w:after="60"/>
      <w:ind w:left="3401" w:hanging="708"/>
      <w:jc w:val="both"/>
      <w:outlineLvl w:val="5"/>
    </w:pPr>
    <w:rPr>
      <w:i/>
      <w:sz w:val="22"/>
    </w:rPr>
  </w:style>
  <w:style w:type="paragraph" w:styleId="Nagwek7">
    <w:name w:val="heading 7"/>
    <w:basedOn w:val="Normalny"/>
    <w:next w:val="Normalny"/>
    <w:link w:val="Nagwek7Znak"/>
    <w:unhideWhenUsed/>
    <w:qFormat/>
    <w:pPr>
      <w:tabs>
        <w:tab w:val="num" w:pos="0"/>
      </w:tabs>
      <w:spacing w:before="240" w:after="60"/>
      <w:ind w:left="4109" w:hanging="708"/>
      <w:jc w:val="both"/>
      <w:outlineLvl w:val="6"/>
    </w:pPr>
    <w:rPr>
      <w:rFonts w:ascii="Arial" w:hAnsi="Arial"/>
    </w:rPr>
  </w:style>
  <w:style w:type="paragraph" w:styleId="Nagwek8">
    <w:name w:val="heading 8"/>
    <w:basedOn w:val="Normalny"/>
    <w:next w:val="Normalny"/>
    <w:link w:val="Nagwek8Znak"/>
    <w:unhideWhenUsed/>
    <w:qFormat/>
    <w:pPr>
      <w:tabs>
        <w:tab w:val="num" w:pos="0"/>
      </w:tabs>
      <w:spacing w:before="240" w:after="60"/>
      <w:ind w:left="4817" w:hanging="708"/>
      <w:jc w:val="both"/>
      <w:outlineLvl w:val="7"/>
    </w:pPr>
    <w:rPr>
      <w:rFonts w:ascii="Arial" w:hAnsi="Arial"/>
      <w:i/>
    </w:rPr>
  </w:style>
  <w:style w:type="paragraph" w:styleId="Nagwek9">
    <w:name w:val="heading 9"/>
    <w:basedOn w:val="Normalny"/>
    <w:next w:val="Normalny"/>
    <w:link w:val="Nagwek9Znak"/>
    <w:unhideWhenUsed/>
    <w:qFormat/>
    <w:pPr>
      <w:tabs>
        <w:tab w:val="num" w:pos="0"/>
      </w:tabs>
      <w:spacing w:before="240" w:after="60"/>
      <w:ind w:left="5525" w:hanging="708"/>
      <w:jc w:val="both"/>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owytekst">
    <w:name w:val="Standardowy.tekst"/>
    <w:pPr>
      <w:jc w:val="both"/>
    </w:pPr>
  </w:style>
  <w:style w:type="paragraph" w:customStyle="1" w:styleId="StylIwony">
    <w:name w:val="Styl Iwony"/>
    <w:basedOn w:val="Standardowytekst"/>
    <w:pPr>
      <w:spacing w:before="120" w:after="120"/>
    </w:pPr>
    <w:rPr>
      <w:rFonts w:ascii="Bookman Old Style" w:hAnsi="Bookman Old Style"/>
      <w:sz w:val="24"/>
    </w:rPr>
  </w:style>
  <w:style w:type="paragraph" w:styleId="Nagwek">
    <w:name w:val="header"/>
    <w:basedOn w:val="Normalny"/>
    <w:pPr>
      <w:tabs>
        <w:tab w:val="center" w:pos="4536"/>
        <w:tab w:val="right" w:pos="9072"/>
      </w:tabs>
    </w:pPr>
  </w:style>
  <w:style w:type="paragraph" w:styleId="Stopka">
    <w:name w:val="footer"/>
    <w:basedOn w:val="Normalny"/>
    <w:uiPriority w:val="99"/>
    <w:pPr>
      <w:tabs>
        <w:tab w:val="center" w:pos="4536"/>
        <w:tab w:val="right" w:pos="9072"/>
      </w:tabs>
    </w:pPr>
  </w:style>
  <w:style w:type="character" w:styleId="Numerstrony">
    <w:name w:val="page number"/>
    <w:basedOn w:val="Domylnaczcionkaakapitu"/>
    <w:uiPriority w:val="99"/>
  </w:style>
  <w:style w:type="paragraph" w:customStyle="1" w:styleId="Tekstpodstawowy21">
    <w:name w:val="Tekst podstawowy 21"/>
    <w:basedOn w:val="Normalny"/>
    <w:pPr>
      <w:widowControl w:val="0"/>
      <w:tabs>
        <w:tab w:val="left" w:pos="-1440"/>
        <w:tab w:val="right" w:pos="-802"/>
      </w:tabs>
      <w:spacing w:before="144"/>
      <w:ind w:left="284" w:hanging="284"/>
    </w:pPr>
    <w:rPr>
      <w:rFonts w:ascii="Arial" w:hAnsi="Arial"/>
      <w:sz w:val="18"/>
    </w:rPr>
  </w:style>
  <w:style w:type="paragraph" w:customStyle="1" w:styleId="Plandokumentu1">
    <w:name w:val="Plan dokumentu1"/>
    <w:basedOn w:val="Normalny"/>
    <w:semiHidden/>
    <w:pPr>
      <w:shd w:val="clear" w:color="auto" w:fill="000080"/>
    </w:pPr>
    <w:rPr>
      <w:rFonts w:ascii="Tahoma" w:hAnsi="Tahoma"/>
    </w:rPr>
  </w:style>
  <w:style w:type="paragraph" w:customStyle="1" w:styleId="Tekstpodstawowywcity21">
    <w:name w:val="Tekst podstawowy wcięty 21"/>
    <w:basedOn w:val="Normalny"/>
    <w:pPr>
      <w:widowControl w:val="0"/>
      <w:tabs>
        <w:tab w:val="left" w:pos="-1440"/>
        <w:tab w:val="right" w:pos="-1368"/>
        <w:tab w:val="left" w:pos="720"/>
      </w:tabs>
      <w:ind w:left="709"/>
      <w:jc w:val="both"/>
    </w:pPr>
    <w:rPr>
      <w:sz w:val="24"/>
    </w:rPr>
  </w:style>
  <w:style w:type="paragraph" w:customStyle="1" w:styleId="Tekstpodstawowywcity31">
    <w:name w:val="Tekst podstawowy wcięty 31"/>
    <w:basedOn w:val="Normalny"/>
    <w:pPr>
      <w:widowControl w:val="0"/>
      <w:tabs>
        <w:tab w:val="right" w:pos="-1368"/>
        <w:tab w:val="left" w:pos="-677"/>
      </w:tabs>
      <w:ind w:left="709"/>
    </w:pPr>
    <w:rPr>
      <w:sz w:val="24"/>
    </w:rPr>
  </w:style>
  <w:style w:type="paragraph" w:customStyle="1" w:styleId="BodyText21">
    <w:name w:val="Body Text 21"/>
    <w:basedOn w:val="Normalny"/>
    <w:pPr>
      <w:widowControl w:val="0"/>
      <w:jc w:val="both"/>
    </w:pPr>
    <w:rPr>
      <w:b/>
      <w:sz w:val="24"/>
    </w:rPr>
  </w:style>
  <w:style w:type="paragraph" w:styleId="Tekstpodstawowywcity">
    <w:name w:val="Body Text Indent"/>
    <w:basedOn w:val="Normalny"/>
    <w:link w:val="TekstpodstawowywcityZnak"/>
    <w:pPr>
      <w:numPr>
        <w:ilvl w:val="12"/>
      </w:numPr>
      <w:ind w:left="-709"/>
      <w:jc w:val="both"/>
    </w:pPr>
    <w:rPr>
      <w:sz w:val="24"/>
    </w:rPr>
  </w:style>
  <w:style w:type="paragraph" w:styleId="Tekstpodstawowy">
    <w:name w:val="Body Text"/>
    <w:basedOn w:val="Normalny"/>
    <w:rPr>
      <w:sz w:val="24"/>
    </w:rPr>
  </w:style>
  <w:style w:type="paragraph" w:styleId="Tekstpodstawowywcity2">
    <w:name w:val="Body Text Indent 2"/>
    <w:basedOn w:val="Normalny"/>
    <w:link w:val="Tekstpodstawowywcity2Znak"/>
    <w:pPr>
      <w:tabs>
        <w:tab w:val="left" w:pos="-895"/>
        <w:tab w:val="left" w:pos="-175"/>
        <w:tab w:val="left" w:pos="545"/>
        <w:tab w:val="left" w:pos="1055"/>
        <w:tab w:val="left" w:pos="1265"/>
        <w:tab w:val="left" w:pos="1463"/>
        <w:tab w:val="left" w:pos="1667"/>
        <w:tab w:val="left" w:pos="1871"/>
        <w:tab w:val="left" w:pos="2075"/>
        <w:tab w:val="left" w:pos="2279"/>
        <w:tab w:val="left" w:pos="2483"/>
        <w:tab w:val="left" w:pos="2705"/>
        <w:tab w:val="left" w:pos="2891"/>
        <w:tab w:val="left" w:pos="3095"/>
        <w:tab w:val="left" w:pos="3299"/>
        <w:tab w:val="left" w:pos="3503"/>
        <w:tab w:val="left" w:pos="5033"/>
        <w:tab w:val="left" w:pos="5339"/>
        <w:tab w:val="left" w:pos="5645"/>
        <w:tab w:val="left" w:pos="5849"/>
        <w:tab w:val="left" w:pos="6053"/>
        <w:tab w:val="left" w:pos="6305"/>
        <w:tab w:val="left" w:pos="7025"/>
        <w:tab w:val="left" w:pos="7745"/>
        <w:tab w:val="left" w:pos="8465"/>
        <w:tab w:val="left" w:pos="9185"/>
        <w:tab w:val="left" w:pos="9905"/>
        <w:tab w:val="left" w:pos="10625"/>
        <w:tab w:val="left" w:pos="11345"/>
        <w:tab w:val="left" w:pos="12065"/>
        <w:tab w:val="left" w:pos="12785"/>
        <w:tab w:val="left" w:pos="13505"/>
        <w:tab w:val="left" w:pos="14225"/>
        <w:tab w:val="left" w:pos="14945"/>
        <w:tab w:val="left" w:pos="15665"/>
        <w:tab w:val="left" w:pos="16385"/>
        <w:tab w:val="left" w:pos="17105"/>
        <w:tab w:val="left" w:pos="17825"/>
        <w:tab w:val="left" w:pos="18545"/>
        <w:tab w:val="left" w:pos="19265"/>
      </w:tabs>
      <w:suppressAutoHyphens/>
      <w:spacing w:line="288" w:lineRule="auto"/>
      <w:ind w:left="2700" w:hanging="2700"/>
    </w:pPr>
    <w:rPr>
      <w:noProof/>
      <w:sz w:val="24"/>
    </w:rPr>
  </w:style>
  <w:style w:type="paragraph" w:styleId="Tekstpodstawowywcity3">
    <w:name w:val="Body Text Indent 3"/>
    <w:basedOn w:val="Normalny"/>
    <w:link w:val="Tekstpodstawowywcity3Znak"/>
    <w:pPr>
      <w:tabs>
        <w:tab w:val="left" w:pos="-895"/>
        <w:tab w:val="left" w:pos="-175"/>
        <w:tab w:val="left" w:pos="545"/>
        <w:tab w:val="left" w:pos="1055"/>
        <w:tab w:val="left" w:pos="1265"/>
        <w:tab w:val="left" w:pos="1463"/>
        <w:tab w:val="left" w:pos="1667"/>
        <w:tab w:val="left" w:pos="1871"/>
        <w:tab w:val="left" w:pos="2075"/>
        <w:tab w:val="left" w:pos="2279"/>
        <w:tab w:val="left" w:pos="2483"/>
        <w:tab w:val="left" w:pos="2705"/>
        <w:tab w:val="left" w:pos="2891"/>
        <w:tab w:val="left" w:pos="3095"/>
        <w:tab w:val="left" w:pos="3299"/>
        <w:tab w:val="left" w:pos="3503"/>
        <w:tab w:val="left" w:pos="5033"/>
        <w:tab w:val="left" w:pos="5339"/>
        <w:tab w:val="left" w:pos="5645"/>
        <w:tab w:val="left" w:pos="5849"/>
        <w:tab w:val="left" w:pos="6053"/>
        <w:tab w:val="left" w:pos="6305"/>
        <w:tab w:val="left" w:pos="7025"/>
        <w:tab w:val="left" w:pos="7745"/>
        <w:tab w:val="left" w:pos="8465"/>
        <w:tab w:val="left" w:pos="9185"/>
        <w:tab w:val="left" w:pos="9905"/>
        <w:tab w:val="left" w:pos="10625"/>
        <w:tab w:val="left" w:pos="11345"/>
        <w:tab w:val="left" w:pos="12065"/>
        <w:tab w:val="left" w:pos="12785"/>
        <w:tab w:val="left" w:pos="13505"/>
        <w:tab w:val="left" w:pos="14225"/>
        <w:tab w:val="left" w:pos="14945"/>
        <w:tab w:val="left" w:pos="15665"/>
        <w:tab w:val="left" w:pos="16385"/>
        <w:tab w:val="left" w:pos="17105"/>
        <w:tab w:val="left" w:pos="17825"/>
        <w:tab w:val="left" w:pos="18545"/>
        <w:tab w:val="left" w:pos="19265"/>
      </w:tabs>
      <w:suppressAutoHyphens/>
      <w:ind w:left="2958" w:hanging="2958"/>
    </w:pPr>
    <w:rPr>
      <w:noProof/>
      <w:sz w:val="24"/>
    </w:rPr>
  </w:style>
  <w:style w:type="paragraph" w:styleId="Tekstkomentarza">
    <w:name w:val="annotation text"/>
    <w:basedOn w:val="Normalny"/>
    <w:link w:val="TekstkomentarzaZnak"/>
    <w:semiHidden/>
  </w:style>
  <w:style w:type="paragraph" w:styleId="Tekstpodstawowy2">
    <w:name w:val="Body Text 2"/>
    <w:basedOn w:val="Normalny"/>
    <w:link w:val="Tekstpodstawowy2Znak"/>
    <w:rPr>
      <w:sz w:val="24"/>
    </w:rPr>
  </w:style>
  <w:style w:type="paragraph" w:customStyle="1" w:styleId="RightPar3">
    <w:name w:val="Right Par 3"/>
    <w:pPr>
      <w:tabs>
        <w:tab w:val="left" w:pos="-720"/>
        <w:tab w:val="left" w:pos="0"/>
        <w:tab w:val="left" w:pos="720"/>
        <w:tab w:val="left" w:pos="1440"/>
        <w:tab w:val="decimal" w:pos="2160"/>
      </w:tabs>
      <w:suppressAutoHyphens/>
      <w:ind w:left="2160" w:hanging="432"/>
    </w:pPr>
    <w:rPr>
      <w:rFonts w:ascii="Courier" w:hAnsi="Courier"/>
      <w:sz w:val="24"/>
      <w:lang w:val="en-US"/>
    </w:rPr>
  </w:style>
  <w:style w:type="paragraph" w:styleId="Tekstdymka">
    <w:name w:val="Balloon Text"/>
    <w:basedOn w:val="Normalny"/>
    <w:link w:val="TekstdymkaZnak"/>
    <w:rPr>
      <w:rFonts w:ascii="Tahoma" w:hAnsi="Tahoma" w:cs="Tahoma"/>
      <w:sz w:val="16"/>
      <w:szCs w:val="16"/>
    </w:rPr>
  </w:style>
  <w:style w:type="paragraph" w:styleId="Listapunktowana">
    <w:name w:val="List Bullet"/>
    <w:basedOn w:val="Normalny"/>
    <w:pPr>
      <w:spacing w:line="360" w:lineRule="auto"/>
      <w:ind w:left="360" w:hanging="360"/>
    </w:pPr>
    <w:rPr>
      <w:sz w:val="24"/>
    </w:rPr>
  </w:style>
  <w:style w:type="paragraph" w:customStyle="1" w:styleId="tekstost">
    <w:name w:val="tekst ost"/>
    <w:basedOn w:val="Normalny"/>
    <w:pPr>
      <w:overflowPunct w:val="0"/>
      <w:autoSpaceDE w:val="0"/>
      <w:autoSpaceDN w:val="0"/>
      <w:adjustRightInd w:val="0"/>
      <w:jc w:val="both"/>
      <w:textAlignment w:val="baseline"/>
    </w:pPr>
  </w:style>
  <w:style w:type="character" w:customStyle="1" w:styleId="Nagwek4Znak">
    <w:name w:val="Nagłówek 4 Znak"/>
    <w:link w:val="Nagwek4"/>
    <w:rPr>
      <w:b/>
      <w:i/>
    </w:rPr>
  </w:style>
  <w:style w:type="character" w:styleId="Odwoaniedokomentarza">
    <w:name w:val="annotation reference"/>
    <w:semiHidden/>
    <w:rPr>
      <w:sz w:val="16"/>
      <w:szCs w:val="16"/>
    </w:rPr>
  </w:style>
  <w:style w:type="paragraph" w:styleId="Tematkomentarza">
    <w:name w:val="annotation subject"/>
    <w:basedOn w:val="Tekstkomentarza"/>
    <w:next w:val="Tekstkomentarza"/>
    <w:semiHidden/>
    <w:rPr>
      <w:b/>
      <w:bCs/>
    </w:rPr>
  </w:style>
  <w:style w:type="paragraph" w:styleId="Legenda">
    <w:name w:val="caption"/>
    <w:basedOn w:val="Normalny"/>
    <w:next w:val="Normalny"/>
    <w:qFormat/>
    <w:rPr>
      <w:b/>
      <w:bCs/>
    </w:rPr>
  </w:style>
  <w:style w:type="character" w:customStyle="1" w:styleId="LegendaZnak">
    <w:name w:val="Legenda Znak"/>
    <w:rPr>
      <w:b/>
      <w:bCs/>
      <w:lang w:val="pl-PL" w:eastAsia="pl-PL" w:bidi="ar-SA"/>
    </w:rPr>
  </w:style>
  <w:style w:type="character" w:customStyle="1" w:styleId="NagwekZnak">
    <w:name w:val="Nagłówek Znak"/>
    <w:basedOn w:val="Domylnaczcionkaakapitu"/>
  </w:style>
  <w:style w:type="character" w:customStyle="1" w:styleId="StopkaZnak">
    <w:name w:val="Stopka Znak"/>
    <w:basedOn w:val="Domylnaczcionkaakapitu"/>
    <w:uiPriority w:val="99"/>
  </w:style>
  <w:style w:type="character" w:customStyle="1" w:styleId="TekstpodstawowyZnak">
    <w:name w:val="Tekst podstawowy Znak"/>
    <w:rPr>
      <w:sz w:val="24"/>
    </w:rPr>
  </w:style>
  <w:style w:type="character" w:customStyle="1" w:styleId="Nagwek5Znak">
    <w:name w:val="Nagłówek 5 Znak"/>
    <w:basedOn w:val="Domylnaczcionkaakapitu"/>
    <w:link w:val="Nagwek5"/>
  </w:style>
  <w:style w:type="character" w:customStyle="1" w:styleId="Nagwek6Znak">
    <w:name w:val="Nagłówek 6 Znak"/>
    <w:link w:val="Nagwek6"/>
    <w:rPr>
      <w:i/>
      <w:sz w:val="22"/>
    </w:rPr>
  </w:style>
  <w:style w:type="character" w:customStyle="1" w:styleId="Nagwek7Znak">
    <w:name w:val="Nagłówek 7 Znak"/>
    <w:link w:val="Nagwek7"/>
    <w:rPr>
      <w:rFonts w:ascii="Arial" w:hAnsi="Arial"/>
    </w:rPr>
  </w:style>
  <w:style w:type="character" w:customStyle="1" w:styleId="Nagwek8Znak">
    <w:name w:val="Nagłówek 8 Znak"/>
    <w:link w:val="Nagwek8"/>
    <w:rPr>
      <w:rFonts w:ascii="Arial" w:hAnsi="Arial"/>
      <w:i/>
    </w:rPr>
  </w:style>
  <w:style w:type="character" w:customStyle="1" w:styleId="Nagwek9Znak">
    <w:name w:val="Nagłówek 9 Znak"/>
    <w:link w:val="Nagwek9"/>
    <w:rPr>
      <w:rFonts w:ascii="Arial" w:hAnsi="Arial"/>
      <w:b/>
      <w:i/>
      <w:sz w:val="18"/>
    </w:rPr>
  </w:style>
  <w:style w:type="table" w:customStyle="1" w:styleId="Tabela-Siatka1">
    <w:name w:val="Tabela - Siatka1"/>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nhideWhenUsed/>
    <w:pPr>
      <w:spacing w:after="120"/>
    </w:pPr>
    <w:rPr>
      <w:sz w:val="16"/>
      <w:szCs w:val="16"/>
    </w:rPr>
  </w:style>
  <w:style w:type="character" w:customStyle="1" w:styleId="Tekstpodstawowy3Znak">
    <w:name w:val="Tekst podstawowy 3 Znak"/>
    <w:link w:val="Tekstpodstawowy3"/>
    <w:rPr>
      <w:sz w:val="16"/>
      <w:szCs w:val="16"/>
    </w:rPr>
  </w:style>
  <w:style w:type="table" w:customStyle="1" w:styleId="Tabela-Siatka11">
    <w:name w:val="Tabela - Siatka11"/>
    <w:basedOn w:val="Standardowy"/>
    <w:next w:val="Tabela-Siatka"/>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semiHidden/>
  </w:style>
  <w:style w:type="paragraph" w:styleId="Listapunktowana2">
    <w:name w:val="List Bullet 2"/>
    <w:basedOn w:val="Normalny"/>
    <w:autoRedefine/>
    <w:pPr>
      <w:numPr>
        <w:numId w:val="2"/>
      </w:numPr>
    </w:pPr>
  </w:style>
  <w:style w:type="paragraph" w:styleId="Listapunktowana3">
    <w:name w:val="List Bullet 3"/>
    <w:basedOn w:val="Normalny"/>
    <w:autoRedefine/>
    <w:pPr>
      <w:numPr>
        <w:numId w:val="3"/>
      </w:numPr>
    </w:pPr>
  </w:style>
  <w:style w:type="paragraph" w:styleId="Listapunktowana4">
    <w:name w:val="List Bullet 4"/>
    <w:basedOn w:val="Normalny"/>
    <w:autoRedefine/>
    <w:pPr>
      <w:numPr>
        <w:numId w:val="4"/>
      </w:numPr>
    </w:pPr>
  </w:style>
  <w:style w:type="paragraph" w:styleId="Listapunktowana5">
    <w:name w:val="List Bullet 5"/>
    <w:basedOn w:val="Normalny"/>
    <w:autoRedefine/>
    <w:pPr>
      <w:numPr>
        <w:numId w:val="5"/>
      </w:numPr>
    </w:pPr>
  </w:style>
  <w:style w:type="paragraph" w:customStyle="1" w:styleId="StandardowytekstZnakZnakZnakZnak">
    <w:name w:val="Standardowy.tekst Znak Znak Znak Znak"/>
    <w:pPr>
      <w:overflowPunct w:val="0"/>
      <w:autoSpaceDE w:val="0"/>
      <w:autoSpaceDN w:val="0"/>
      <w:adjustRightInd w:val="0"/>
      <w:jc w:val="both"/>
      <w:textAlignment w:val="baseline"/>
    </w:pPr>
  </w:style>
  <w:style w:type="paragraph" w:customStyle="1" w:styleId="Punktowanie">
    <w:name w:val="Punktowanie"/>
    <w:basedOn w:val="Normalny"/>
    <w:pPr>
      <w:tabs>
        <w:tab w:val="num" w:pos="397"/>
      </w:tabs>
      <w:ind w:left="397" w:hanging="397"/>
    </w:pPr>
    <w:rPr>
      <w:rFonts w:ascii="Arial" w:hAnsi="Arial"/>
      <w:sz w:val="24"/>
    </w:rPr>
  </w:style>
  <w:style w:type="paragraph" w:styleId="Zwykytekst">
    <w:name w:val="Plain Text"/>
    <w:basedOn w:val="Normalny"/>
    <w:link w:val="ZwykytekstZnak"/>
    <w:rPr>
      <w:rFonts w:ascii="Courier New" w:hAnsi="Courier New"/>
    </w:rPr>
  </w:style>
  <w:style w:type="character" w:customStyle="1" w:styleId="ZwykytekstZnak">
    <w:name w:val="Zwykły tekst Znak"/>
    <w:link w:val="Zwykytekst"/>
    <w:rPr>
      <w:rFonts w:ascii="Courier New" w:hAnsi="Courier New"/>
    </w:rPr>
  </w:style>
  <w:style w:type="paragraph" w:customStyle="1" w:styleId="Standardowytekst1">
    <w:name w:val="Standardowy.tekst1"/>
    <w:pPr>
      <w:overflowPunct w:val="0"/>
      <w:autoSpaceDE w:val="0"/>
      <w:autoSpaceDN w:val="0"/>
      <w:adjustRightInd w:val="0"/>
      <w:jc w:val="both"/>
      <w:textAlignment w:val="baseline"/>
    </w:pPr>
  </w:style>
  <w:style w:type="paragraph" w:styleId="Tytu">
    <w:name w:val="Title"/>
    <w:basedOn w:val="Normalny"/>
    <w:link w:val="TytuZnak"/>
    <w:qFormat/>
    <w:pPr>
      <w:tabs>
        <w:tab w:val="left" w:pos="0"/>
        <w:tab w:val="right" w:pos="8953"/>
      </w:tabs>
      <w:jc w:val="center"/>
    </w:pPr>
    <w:rPr>
      <w:b/>
      <w:sz w:val="24"/>
    </w:rPr>
  </w:style>
  <w:style w:type="character" w:customStyle="1" w:styleId="TytuZnak">
    <w:name w:val="Tytuł Znak"/>
    <w:link w:val="Tytu"/>
    <w:rPr>
      <w:b/>
      <w:sz w:val="24"/>
    </w:rPr>
  </w:style>
  <w:style w:type="paragraph" w:styleId="Spistreci1">
    <w:name w:val="toc 1"/>
    <w:basedOn w:val="Normalny"/>
    <w:next w:val="Normalny"/>
    <w:autoRedefine/>
    <w:semiHidden/>
    <w:pPr>
      <w:tabs>
        <w:tab w:val="right" w:leader="dot" w:pos="9060"/>
      </w:tabs>
    </w:pPr>
    <w:rPr>
      <w:noProof/>
      <w:szCs w:val="24"/>
    </w:rPr>
  </w:style>
  <w:style w:type="paragraph" w:styleId="Spistreci2">
    <w:name w:val="toc 2"/>
    <w:basedOn w:val="Normalny"/>
    <w:next w:val="Normalny"/>
    <w:autoRedefine/>
    <w:semiHidden/>
    <w:pPr>
      <w:tabs>
        <w:tab w:val="right" w:leader="dot" w:pos="9060"/>
      </w:tabs>
      <w:ind w:left="240"/>
    </w:pPr>
    <w:rPr>
      <w:noProof/>
      <w:szCs w:val="24"/>
    </w:rPr>
  </w:style>
  <w:style w:type="paragraph" w:styleId="Spistreci3">
    <w:name w:val="toc 3"/>
    <w:basedOn w:val="Normalny"/>
    <w:next w:val="Normalny"/>
    <w:autoRedefine/>
    <w:semiHidden/>
    <w:pPr>
      <w:ind w:left="480"/>
    </w:pPr>
    <w:rPr>
      <w:sz w:val="24"/>
      <w:szCs w:val="24"/>
    </w:rPr>
  </w:style>
  <w:style w:type="paragraph" w:styleId="Spistreci4">
    <w:name w:val="toc 4"/>
    <w:basedOn w:val="Normalny"/>
    <w:next w:val="Normalny"/>
    <w:autoRedefine/>
    <w:semiHidden/>
    <w:pPr>
      <w:ind w:left="720"/>
    </w:pPr>
    <w:rPr>
      <w:sz w:val="24"/>
      <w:szCs w:val="24"/>
    </w:rPr>
  </w:style>
  <w:style w:type="paragraph" w:styleId="Spistreci5">
    <w:name w:val="toc 5"/>
    <w:basedOn w:val="Normalny"/>
    <w:next w:val="Normalny"/>
    <w:autoRedefine/>
    <w:semiHidden/>
    <w:pPr>
      <w:ind w:left="960"/>
    </w:pPr>
    <w:rPr>
      <w:sz w:val="24"/>
      <w:szCs w:val="24"/>
    </w:rPr>
  </w:style>
  <w:style w:type="paragraph" w:styleId="Spistreci6">
    <w:name w:val="toc 6"/>
    <w:basedOn w:val="Normalny"/>
    <w:next w:val="Normalny"/>
    <w:autoRedefine/>
    <w:semiHidden/>
    <w:pPr>
      <w:ind w:left="1200"/>
    </w:pPr>
    <w:rPr>
      <w:sz w:val="24"/>
      <w:szCs w:val="24"/>
    </w:rPr>
  </w:style>
  <w:style w:type="paragraph" w:styleId="Spistreci7">
    <w:name w:val="toc 7"/>
    <w:basedOn w:val="Normalny"/>
    <w:next w:val="Normalny"/>
    <w:autoRedefine/>
    <w:semiHidden/>
    <w:pPr>
      <w:ind w:left="1440"/>
    </w:pPr>
    <w:rPr>
      <w:sz w:val="24"/>
      <w:szCs w:val="24"/>
    </w:rPr>
  </w:style>
  <w:style w:type="paragraph" w:styleId="Spistreci8">
    <w:name w:val="toc 8"/>
    <w:basedOn w:val="Normalny"/>
    <w:next w:val="Normalny"/>
    <w:autoRedefine/>
    <w:semiHidden/>
    <w:pPr>
      <w:ind w:left="1680"/>
    </w:pPr>
    <w:rPr>
      <w:sz w:val="24"/>
      <w:szCs w:val="24"/>
    </w:rPr>
  </w:style>
  <w:style w:type="paragraph" w:styleId="Spistreci9">
    <w:name w:val="toc 9"/>
    <w:basedOn w:val="Normalny"/>
    <w:next w:val="Normalny"/>
    <w:autoRedefine/>
    <w:semiHidden/>
    <w:pPr>
      <w:jc w:val="center"/>
    </w:pPr>
    <w:rPr>
      <w:b/>
      <w:snapToGrid w:val="0"/>
      <w:color w:val="000000"/>
      <w:sz w:val="24"/>
      <w:szCs w:val="24"/>
    </w:rPr>
  </w:style>
  <w:style w:type="character" w:styleId="Hipercze">
    <w:name w:val="Hyperlink"/>
    <w:rPr>
      <w:color w:val="0000FF"/>
      <w:u w:val="single"/>
    </w:rPr>
  </w:style>
  <w:style w:type="character" w:styleId="UyteHipercze">
    <w:name w:val="FollowedHyperlink"/>
    <w:rPr>
      <w:color w:val="800080"/>
      <w:u w:val="single"/>
    </w:rPr>
  </w:style>
  <w:style w:type="character" w:styleId="Odwoanieprzypisudolnego">
    <w:name w:val="footnote reference"/>
    <w:semiHidden/>
    <w:rPr>
      <w:vertAlign w:val="superscript"/>
    </w:rPr>
  </w:style>
  <w:style w:type="paragraph" w:styleId="Tekstprzypisudolnego">
    <w:name w:val="footnote text"/>
    <w:basedOn w:val="Normalny"/>
    <w:link w:val="TekstprzypisudolnegoZnak"/>
    <w:semiHidden/>
    <w:pPr>
      <w:overflowPunct w:val="0"/>
      <w:autoSpaceDE w:val="0"/>
      <w:autoSpaceDN w:val="0"/>
      <w:adjustRightInd w:val="0"/>
      <w:jc w:val="both"/>
      <w:textAlignment w:val="baseline"/>
    </w:pPr>
  </w:style>
  <w:style w:type="character" w:customStyle="1" w:styleId="TekstprzypisudolnegoZnak">
    <w:name w:val="Tekst przypisu dolnego Znak"/>
    <w:basedOn w:val="Domylnaczcionkaakapitu"/>
    <w:link w:val="Tekstprzypisudolnego"/>
    <w:semiHidden/>
  </w:style>
  <w:style w:type="character" w:customStyle="1" w:styleId="StandardowytekstZnakZnakZnakZnakZnak">
    <w:name w:val="Standardowy.tekst Znak Znak Znak Znak Znak"/>
    <w:rPr>
      <w:noProof w:val="0"/>
      <w:lang w:val="pl-PL" w:eastAsia="pl-PL" w:bidi="ar-SA"/>
    </w:rPr>
  </w:style>
  <w:style w:type="paragraph" w:customStyle="1" w:styleId="StandardowytekstZnak">
    <w:name w:val="Standardowy.tekst Znak"/>
    <w:pPr>
      <w:overflowPunct w:val="0"/>
      <w:autoSpaceDE w:val="0"/>
      <w:autoSpaceDN w:val="0"/>
      <w:adjustRightInd w:val="0"/>
      <w:jc w:val="both"/>
      <w:textAlignment w:val="baseline"/>
    </w:pPr>
  </w:style>
  <w:style w:type="paragraph" w:customStyle="1" w:styleId="StandardowytekstZnakZnak">
    <w:name w:val="Standardowy.tekst Znak Znak"/>
    <w:pPr>
      <w:overflowPunct w:val="0"/>
      <w:autoSpaceDE w:val="0"/>
      <w:autoSpaceDN w:val="0"/>
      <w:adjustRightInd w:val="0"/>
      <w:jc w:val="both"/>
      <w:textAlignment w:val="baseline"/>
    </w:pPr>
  </w:style>
  <w:style w:type="paragraph" w:customStyle="1" w:styleId="StandardowytekstZnakZnakZnak">
    <w:name w:val="Standardowy.tekst Znak Znak Znak"/>
    <w:pPr>
      <w:overflowPunct w:val="0"/>
      <w:autoSpaceDE w:val="0"/>
      <w:autoSpaceDN w:val="0"/>
      <w:adjustRightInd w:val="0"/>
      <w:jc w:val="both"/>
      <w:textAlignment w:val="baseline"/>
    </w:pPr>
  </w:style>
  <w:style w:type="paragraph" w:customStyle="1" w:styleId="Zwykytekst1">
    <w:name w:val="Zwykły tekst1"/>
    <w:basedOn w:val="Normalny"/>
    <w:pPr>
      <w:suppressAutoHyphens/>
    </w:pPr>
    <w:rPr>
      <w:rFonts w:ascii="Courier New" w:hAnsi="Courier New"/>
      <w:lang w:eastAsia="ar-SA"/>
    </w:rPr>
  </w:style>
  <w:style w:type="paragraph" w:customStyle="1" w:styleId="Rysunek">
    <w:name w:val="Rysunek"/>
    <w:basedOn w:val="Normalny"/>
    <w:next w:val="Tekstpodstawowy"/>
    <w:pPr>
      <w:keepLines/>
      <w:tabs>
        <w:tab w:val="left" w:pos="-720"/>
      </w:tabs>
      <w:suppressAutoHyphens/>
      <w:overflowPunct w:val="0"/>
      <w:autoSpaceDE w:val="0"/>
      <w:autoSpaceDN w:val="0"/>
      <w:adjustRightInd w:val="0"/>
      <w:spacing w:before="260"/>
      <w:jc w:val="center"/>
      <w:textAlignment w:val="baseline"/>
    </w:pPr>
    <w:rPr>
      <w:b/>
      <w:noProof/>
      <w:sz w:val="24"/>
    </w:rPr>
  </w:style>
  <w:style w:type="character" w:customStyle="1" w:styleId="TekstdymkaZnak">
    <w:name w:val="Tekst dymka Znak"/>
    <w:link w:val="Tekstdymka"/>
    <w:rPr>
      <w:rFonts w:ascii="Tahoma" w:hAnsi="Tahoma" w:cs="Tahoma"/>
      <w:sz w:val="16"/>
      <w:szCs w:val="16"/>
    </w:rPr>
  </w:style>
  <w:style w:type="character" w:customStyle="1" w:styleId="Nagwek1Znak">
    <w:name w:val="Nagłówek 1 Znak"/>
    <w:link w:val="Nagwek1"/>
    <w:rPr>
      <w:b/>
      <w:caps/>
      <w:kern w:val="28"/>
    </w:rPr>
  </w:style>
  <w:style w:type="character" w:customStyle="1" w:styleId="Nagwek2Znak">
    <w:name w:val="Nagłówek 2 Znak"/>
    <w:link w:val="Nagwek2"/>
    <w:rPr>
      <w:b/>
    </w:rPr>
  </w:style>
  <w:style w:type="character" w:customStyle="1" w:styleId="Nagwek3Znak">
    <w:name w:val="Nagłówek 3 Znak"/>
    <w:link w:val="Nagwek3"/>
    <w:rPr>
      <w:sz w:val="24"/>
    </w:rPr>
  </w:style>
  <w:style w:type="character" w:customStyle="1" w:styleId="TekstpodstawowywcityZnak">
    <w:name w:val="Tekst podstawowy wcięty Znak"/>
    <w:link w:val="Tekstpodstawowywcity"/>
    <w:rPr>
      <w:sz w:val="24"/>
    </w:rPr>
  </w:style>
  <w:style w:type="character" w:customStyle="1" w:styleId="Tekstpodstawowywcity2Znak">
    <w:name w:val="Tekst podstawowy wcięty 2 Znak"/>
    <w:link w:val="Tekstpodstawowywcity2"/>
    <w:rPr>
      <w:noProof/>
      <w:sz w:val="24"/>
    </w:rPr>
  </w:style>
  <w:style w:type="character" w:customStyle="1" w:styleId="Tekstpodstawowy2Znak">
    <w:name w:val="Tekst podstawowy 2 Znak"/>
    <w:link w:val="Tekstpodstawowy2"/>
    <w:rPr>
      <w:sz w:val="24"/>
    </w:rPr>
  </w:style>
  <w:style w:type="character" w:customStyle="1" w:styleId="Tekstpodstawowywcity3Znak">
    <w:name w:val="Tekst podstawowy wcięty 3 Znak"/>
    <w:link w:val="Tekstpodstawowywcity3"/>
    <w:rPr>
      <w:noProof/>
      <w:sz w:val="24"/>
    </w:rPr>
  </w:style>
  <w:style w:type="character" w:customStyle="1" w:styleId="TekstkomentarzaZnak">
    <w:name w:val="Tekst komentarza Znak"/>
    <w:link w:val="Tekstkomentarza"/>
    <w:semiHidden/>
  </w:style>
  <w:style w:type="table" w:customStyle="1" w:styleId="Tabela-Siatka12">
    <w:name w:val="Tabela - Siatka12"/>
    <w:basedOn w:val="Standardowy"/>
    <w:next w:val="Tabela-Siatka"/>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64780">
      <w:bodyDiv w:val="1"/>
      <w:marLeft w:val="0"/>
      <w:marRight w:val="0"/>
      <w:marTop w:val="0"/>
      <w:marBottom w:val="0"/>
      <w:divBdr>
        <w:top w:val="none" w:sz="0" w:space="0" w:color="auto"/>
        <w:left w:val="none" w:sz="0" w:space="0" w:color="auto"/>
        <w:bottom w:val="none" w:sz="0" w:space="0" w:color="auto"/>
        <w:right w:val="none" w:sz="0" w:space="0" w:color="auto"/>
      </w:divBdr>
    </w:div>
    <w:div w:id="154339664">
      <w:bodyDiv w:val="1"/>
      <w:marLeft w:val="0"/>
      <w:marRight w:val="0"/>
      <w:marTop w:val="0"/>
      <w:marBottom w:val="0"/>
      <w:divBdr>
        <w:top w:val="none" w:sz="0" w:space="0" w:color="auto"/>
        <w:left w:val="none" w:sz="0" w:space="0" w:color="auto"/>
        <w:bottom w:val="none" w:sz="0" w:space="0" w:color="auto"/>
        <w:right w:val="none" w:sz="0" w:space="0" w:color="auto"/>
      </w:divBdr>
    </w:div>
    <w:div w:id="199123778">
      <w:bodyDiv w:val="1"/>
      <w:marLeft w:val="0"/>
      <w:marRight w:val="0"/>
      <w:marTop w:val="0"/>
      <w:marBottom w:val="0"/>
      <w:divBdr>
        <w:top w:val="none" w:sz="0" w:space="0" w:color="auto"/>
        <w:left w:val="none" w:sz="0" w:space="0" w:color="auto"/>
        <w:bottom w:val="none" w:sz="0" w:space="0" w:color="auto"/>
        <w:right w:val="none" w:sz="0" w:space="0" w:color="auto"/>
      </w:divBdr>
    </w:div>
    <w:div w:id="330959964">
      <w:bodyDiv w:val="1"/>
      <w:marLeft w:val="0"/>
      <w:marRight w:val="0"/>
      <w:marTop w:val="0"/>
      <w:marBottom w:val="0"/>
      <w:divBdr>
        <w:top w:val="none" w:sz="0" w:space="0" w:color="auto"/>
        <w:left w:val="none" w:sz="0" w:space="0" w:color="auto"/>
        <w:bottom w:val="none" w:sz="0" w:space="0" w:color="auto"/>
        <w:right w:val="none" w:sz="0" w:space="0" w:color="auto"/>
      </w:divBdr>
    </w:div>
    <w:div w:id="436340386">
      <w:bodyDiv w:val="1"/>
      <w:marLeft w:val="0"/>
      <w:marRight w:val="0"/>
      <w:marTop w:val="0"/>
      <w:marBottom w:val="0"/>
      <w:divBdr>
        <w:top w:val="none" w:sz="0" w:space="0" w:color="auto"/>
        <w:left w:val="none" w:sz="0" w:space="0" w:color="auto"/>
        <w:bottom w:val="none" w:sz="0" w:space="0" w:color="auto"/>
        <w:right w:val="none" w:sz="0" w:space="0" w:color="auto"/>
      </w:divBdr>
    </w:div>
    <w:div w:id="1031689416">
      <w:bodyDiv w:val="1"/>
      <w:marLeft w:val="0"/>
      <w:marRight w:val="0"/>
      <w:marTop w:val="0"/>
      <w:marBottom w:val="0"/>
      <w:divBdr>
        <w:top w:val="none" w:sz="0" w:space="0" w:color="auto"/>
        <w:left w:val="none" w:sz="0" w:space="0" w:color="auto"/>
        <w:bottom w:val="none" w:sz="0" w:space="0" w:color="auto"/>
        <w:right w:val="none" w:sz="0" w:space="0" w:color="auto"/>
      </w:divBdr>
    </w:div>
    <w:div w:id="1184707176">
      <w:bodyDiv w:val="1"/>
      <w:marLeft w:val="0"/>
      <w:marRight w:val="0"/>
      <w:marTop w:val="0"/>
      <w:marBottom w:val="0"/>
      <w:divBdr>
        <w:top w:val="none" w:sz="0" w:space="0" w:color="auto"/>
        <w:left w:val="none" w:sz="0" w:space="0" w:color="auto"/>
        <w:bottom w:val="none" w:sz="0" w:space="0" w:color="auto"/>
        <w:right w:val="none" w:sz="0" w:space="0" w:color="auto"/>
      </w:divBdr>
    </w:div>
    <w:div w:id="2066709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kn.pl/?a=show&amp;m=katalog&amp;id=513185&amp;page=1" TargetMode="External"/><Relationship Id="rId13" Type="http://schemas.openxmlformats.org/officeDocument/2006/relationships/hyperlink" Target="http://www.pkn.pl/?a=show&amp;m=katalog&amp;id=488674&amp;page=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kn.pl/?a=show&amp;m=katalog&amp;id=488674&amp;page=1"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kn.pl/?a=show&amp;m=katalog&amp;id=488673&amp;page=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pkn.pl/?a=show&amp;m=katalog&amp;id=488673&amp;page=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kn.pl/?a=show&amp;m=katalog&amp;id=513185&amp;page=1" TargetMode="Externa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88CE5D-1C3B-4BE0-9A05-291294118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6934</Words>
  <Characters>41609</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1</vt:lpstr>
    </vt:vector>
  </TitlesOfParts>
  <Company>Arcadis</Company>
  <LinksUpToDate>false</LinksUpToDate>
  <CharactersWithSpaces>48447</CharactersWithSpaces>
  <SharedDoc>false</SharedDoc>
  <HLinks>
    <vt:vector size="36" baseType="variant">
      <vt:variant>
        <vt:i4>589913</vt:i4>
      </vt:variant>
      <vt:variant>
        <vt:i4>15</vt:i4>
      </vt:variant>
      <vt:variant>
        <vt:i4>0</vt:i4>
      </vt:variant>
      <vt:variant>
        <vt:i4>5</vt:i4>
      </vt:variant>
      <vt:variant>
        <vt:lpwstr>http://www.pkn.pl/?a=show&amp;m=katalog&amp;id=488674&amp;page=1</vt:lpwstr>
      </vt:variant>
      <vt:variant>
        <vt:lpwstr/>
      </vt:variant>
      <vt:variant>
        <vt:i4>589913</vt:i4>
      </vt:variant>
      <vt:variant>
        <vt:i4>12</vt:i4>
      </vt:variant>
      <vt:variant>
        <vt:i4>0</vt:i4>
      </vt:variant>
      <vt:variant>
        <vt:i4>5</vt:i4>
      </vt:variant>
      <vt:variant>
        <vt:lpwstr>http://www.pkn.pl/?a=show&amp;m=katalog&amp;id=488674&amp;page=1</vt:lpwstr>
      </vt:variant>
      <vt:variant>
        <vt:lpwstr/>
      </vt:variant>
      <vt:variant>
        <vt:i4>589918</vt:i4>
      </vt:variant>
      <vt:variant>
        <vt:i4>9</vt:i4>
      </vt:variant>
      <vt:variant>
        <vt:i4>0</vt:i4>
      </vt:variant>
      <vt:variant>
        <vt:i4>5</vt:i4>
      </vt:variant>
      <vt:variant>
        <vt:lpwstr>http://www.pkn.pl/?a=show&amp;m=katalog&amp;id=488673&amp;page=1</vt:lpwstr>
      </vt:variant>
      <vt:variant>
        <vt:lpwstr/>
      </vt:variant>
      <vt:variant>
        <vt:i4>589918</vt:i4>
      </vt:variant>
      <vt:variant>
        <vt:i4>6</vt:i4>
      </vt:variant>
      <vt:variant>
        <vt:i4>0</vt:i4>
      </vt:variant>
      <vt:variant>
        <vt:i4>5</vt:i4>
      </vt:variant>
      <vt:variant>
        <vt:lpwstr>http://www.pkn.pl/?a=show&amp;m=katalog&amp;id=488673&amp;page=1</vt:lpwstr>
      </vt:variant>
      <vt:variant>
        <vt:lpwstr/>
      </vt:variant>
      <vt:variant>
        <vt:i4>786518</vt:i4>
      </vt:variant>
      <vt:variant>
        <vt:i4>3</vt:i4>
      </vt:variant>
      <vt:variant>
        <vt:i4>0</vt:i4>
      </vt:variant>
      <vt:variant>
        <vt:i4>5</vt:i4>
      </vt:variant>
      <vt:variant>
        <vt:lpwstr>http://www.pkn.pl/?a=show&amp;m=katalog&amp;id=513185&amp;page=1</vt:lpwstr>
      </vt:variant>
      <vt:variant>
        <vt:lpwstr/>
      </vt:variant>
      <vt:variant>
        <vt:i4>786518</vt:i4>
      </vt:variant>
      <vt:variant>
        <vt:i4>0</vt:i4>
      </vt:variant>
      <vt:variant>
        <vt:i4>0</vt:i4>
      </vt:variant>
      <vt:variant>
        <vt:i4>5</vt:i4>
      </vt:variant>
      <vt:variant>
        <vt:lpwstr>http://www.pkn.pl/?a=show&amp;m=katalog&amp;id=513185&amp;page=1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Hanna Radecka</dc:creator>
  <cp:lastModifiedBy>Sławomir Sabaj</cp:lastModifiedBy>
  <cp:revision>17</cp:revision>
  <cp:lastPrinted>2023-01-31T09:07:00Z</cp:lastPrinted>
  <dcterms:created xsi:type="dcterms:W3CDTF">2021-09-10T06:42:00Z</dcterms:created>
  <dcterms:modified xsi:type="dcterms:W3CDTF">2024-04-04T10:34:00Z</dcterms:modified>
</cp:coreProperties>
</file>