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71BBC" w14:textId="77777777" w:rsidR="005E0BE2" w:rsidRDefault="006A6BD4">
      <w:pPr>
        <w:suppressAutoHyphens/>
        <w:spacing w:after="120"/>
        <w:jc w:val="center"/>
        <w:rPr>
          <w:rFonts w:ascii="Arial" w:hAnsi="Arial" w:cs="Arial"/>
          <w:b/>
          <w:lang w:eastAsia="ar-SA"/>
        </w:rPr>
      </w:pPr>
      <w:r>
        <w:rPr>
          <w:rFonts w:ascii="Arial" w:hAnsi="Arial" w:cs="Arial"/>
          <w:b/>
          <w:lang w:eastAsia="ar-SA"/>
        </w:rPr>
        <w:t>1. WSTĘP</w:t>
      </w:r>
    </w:p>
    <w:p w14:paraId="296FCF9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1.1. Przedmiot STWiORB</w:t>
      </w:r>
    </w:p>
    <w:p w14:paraId="417BBAF5" w14:textId="77777777" w:rsidR="005E0BE2" w:rsidRDefault="006A6BD4">
      <w:pPr>
        <w:suppressAutoHyphens/>
        <w:overflowPunct w:val="0"/>
        <w:autoSpaceDE w:val="0"/>
        <w:ind w:firstLine="567"/>
        <w:jc w:val="both"/>
        <w:rPr>
          <w:rFonts w:ascii="Arial" w:hAnsi="Arial" w:cs="Arial"/>
          <w:sz w:val="18"/>
          <w:szCs w:val="18"/>
          <w:lang w:eastAsia="ar-SA"/>
        </w:rPr>
      </w:pPr>
      <w:r>
        <w:rPr>
          <w:rFonts w:ascii="Arial" w:hAnsi="Arial" w:cs="Arial"/>
          <w:sz w:val="18"/>
          <w:szCs w:val="18"/>
          <w:lang w:eastAsia="ar-SA"/>
        </w:rPr>
        <w:t>Przedmiotem niniejszej Specyfikacji Technicznej Wykonania i Odbioru Robót Budowlanych (STWiORB) są wymagania techniczne dotyczące wykonania i odbioru warstwy ścieralnej z betonu asfaltowego w ramach zadania:</w:t>
      </w:r>
    </w:p>
    <w:p w14:paraId="2EC610AA" w14:textId="77777777" w:rsidR="007F07E2" w:rsidRDefault="007F07E2">
      <w:pPr>
        <w:suppressAutoHyphens/>
        <w:overflowPunct w:val="0"/>
        <w:autoSpaceDE w:val="0"/>
        <w:ind w:firstLine="567"/>
        <w:jc w:val="both"/>
        <w:rPr>
          <w:rFonts w:ascii="Arial" w:hAnsi="Arial" w:cs="Arial"/>
          <w:b/>
          <w:sz w:val="18"/>
          <w:szCs w:val="18"/>
          <w:lang w:eastAsia="ar-SA"/>
        </w:rPr>
      </w:pPr>
    </w:p>
    <w:p w14:paraId="5FA98E47" w14:textId="3D99AD3E" w:rsidR="005E0BE2" w:rsidRDefault="001D5F44">
      <w:pPr>
        <w:suppressAutoHyphens/>
        <w:jc w:val="center"/>
        <w:rPr>
          <w:rFonts w:ascii="Arial" w:hAnsi="Arial" w:cs="Arial"/>
          <w:b/>
          <w:sz w:val="18"/>
          <w:szCs w:val="18"/>
        </w:rPr>
      </w:pPr>
      <w:r w:rsidRPr="001D5F44">
        <w:rPr>
          <w:rFonts w:ascii="Arial" w:hAnsi="Arial" w:cs="Arial"/>
          <w:b/>
          <w:sz w:val="18"/>
          <w:szCs w:val="18"/>
        </w:rPr>
        <w:t xml:space="preserve">Remont nawierzchni asfaltowej </w:t>
      </w:r>
      <w:proofErr w:type="spellStart"/>
      <w:r w:rsidRPr="001D5F44">
        <w:rPr>
          <w:rFonts w:ascii="Arial" w:hAnsi="Arial" w:cs="Arial"/>
          <w:b/>
          <w:sz w:val="18"/>
          <w:szCs w:val="18"/>
        </w:rPr>
        <w:t>drogI</w:t>
      </w:r>
      <w:proofErr w:type="spellEnd"/>
      <w:r w:rsidRPr="001D5F44">
        <w:rPr>
          <w:rFonts w:ascii="Arial" w:hAnsi="Arial" w:cs="Arial"/>
          <w:b/>
          <w:sz w:val="18"/>
          <w:szCs w:val="18"/>
        </w:rPr>
        <w:t xml:space="preserve"> gminnej nr 103 584R w Rudzie w km 0+10 do 0+160, w km 0+310 do 0+420, w km 0+815 do 1+120, w km 1+390 do 1+ 700</w:t>
      </w:r>
    </w:p>
    <w:p w14:paraId="1D4D9396" w14:textId="77777777" w:rsidR="001D5F44" w:rsidRDefault="001D5F44">
      <w:pPr>
        <w:suppressAutoHyphens/>
        <w:jc w:val="center"/>
        <w:rPr>
          <w:rFonts w:ascii="Arial" w:hAnsi="Arial" w:cs="Arial"/>
          <w:b/>
          <w:sz w:val="18"/>
          <w:szCs w:val="18"/>
          <w:highlight w:val="yellow"/>
          <w:lang w:eastAsia="ar-SA"/>
        </w:rPr>
      </w:pPr>
    </w:p>
    <w:p w14:paraId="06C423F8" w14:textId="77777777" w:rsidR="005E0BE2" w:rsidRDefault="006A6BD4">
      <w:pPr>
        <w:suppressAutoHyphens/>
        <w:overflowPunct w:val="0"/>
        <w:autoSpaceDE w:val="0"/>
        <w:spacing w:after="60"/>
        <w:jc w:val="both"/>
        <w:rPr>
          <w:rFonts w:ascii="Arial" w:hAnsi="Arial" w:cs="Arial"/>
          <w:b/>
          <w:sz w:val="18"/>
          <w:szCs w:val="18"/>
          <w:lang w:eastAsia="ar-SA"/>
        </w:rPr>
      </w:pPr>
      <w:r>
        <w:rPr>
          <w:rFonts w:ascii="Arial" w:hAnsi="Arial" w:cs="Arial"/>
          <w:b/>
          <w:sz w:val="18"/>
          <w:szCs w:val="18"/>
          <w:lang w:eastAsia="ar-SA"/>
        </w:rPr>
        <w:t>1.2. Zakres stosowania STWiORB</w:t>
      </w:r>
    </w:p>
    <w:p w14:paraId="2DA4A3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Specyfikacja Techniczna Wykonania i Odbioru Robót Budowlanych jest stosowana jako dokument przetargowy i kontraktowy przy  zlecaniu i realizacji robót wymienionych w punkcie 1.1.</w:t>
      </w:r>
    </w:p>
    <w:p w14:paraId="201ABD3C" w14:textId="77777777" w:rsidR="005E0BE2" w:rsidRDefault="005E0BE2">
      <w:pPr>
        <w:suppressAutoHyphens/>
        <w:rPr>
          <w:rFonts w:ascii="Arial" w:hAnsi="Arial" w:cs="Arial"/>
          <w:sz w:val="18"/>
          <w:szCs w:val="18"/>
          <w:lang w:eastAsia="ar-SA"/>
        </w:rPr>
      </w:pPr>
    </w:p>
    <w:p w14:paraId="3CDA79F8"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1.3. Zakres robót objętych STWiORB</w:t>
      </w:r>
    </w:p>
    <w:p w14:paraId="2485EA66" w14:textId="77777777" w:rsidR="005E0BE2" w:rsidRDefault="006A6BD4">
      <w:pPr>
        <w:ind w:firstLine="567"/>
        <w:jc w:val="both"/>
        <w:rPr>
          <w:rFonts w:ascii="Arial" w:hAnsi="Arial" w:cs="Arial"/>
          <w:sz w:val="18"/>
          <w:szCs w:val="18"/>
        </w:rPr>
      </w:pPr>
      <w:r>
        <w:rPr>
          <w:rFonts w:ascii="Arial" w:hAnsi="Arial" w:cs="Arial"/>
          <w:sz w:val="18"/>
          <w:szCs w:val="18"/>
        </w:rPr>
        <w:t xml:space="preserve">Ustalenia zawarte w niniejszej STWiORB dotyczą robót wymienionych w pkt. 1.1. i obejmują wykonanie warstwy nawierzchni z betonu asfaltowego wg normy PN-EN 13108-1 oraz Wymagań Technicznych. WT-2 2014 część I. Mieszanki mineralno-asfaltowe. i WT-2 2016 część II. Wykonanie warstw nawierzchni asfaltowych. </w:t>
      </w:r>
    </w:p>
    <w:p w14:paraId="407E1396" w14:textId="77777777" w:rsidR="005E0BE2" w:rsidRDefault="006A6BD4">
      <w:pPr>
        <w:suppressAutoHyphens/>
        <w:ind w:firstLine="567"/>
        <w:jc w:val="both"/>
        <w:rPr>
          <w:rFonts w:ascii="Arial" w:hAnsi="Arial" w:cs="Arial"/>
          <w:sz w:val="18"/>
          <w:szCs w:val="18"/>
          <w:lang w:eastAsia="ar-SA"/>
        </w:rPr>
      </w:pPr>
      <w:r>
        <w:rPr>
          <w:rFonts w:ascii="Arial" w:hAnsi="Arial" w:cs="Arial"/>
          <w:color w:val="00000A"/>
          <w:sz w:val="18"/>
          <w:szCs w:val="18"/>
          <w:lang w:eastAsia="ar-SA"/>
        </w:rPr>
        <w:t>Warstwa ścieralna ma być wykonana</w:t>
      </w:r>
      <w:r>
        <w:rPr>
          <w:rFonts w:ascii="Arial" w:hAnsi="Arial" w:cs="Arial"/>
          <w:sz w:val="18"/>
          <w:szCs w:val="18"/>
          <w:lang w:eastAsia="ar-SA"/>
        </w:rPr>
        <w:t xml:space="preserve"> </w:t>
      </w:r>
      <w:r>
        <w:rPr>
          <w:rFonts w:ascii="Arial" w:hAnsi="Arial" w:cs="Arial"/>
          <w:color w:val="00000A"/>
          <w:sz w:val="18"/>
          <w:szCs w:val="18"/>
          <w:lang w:eastAsia="ar-SA"/>
        </w:rPr>
        <w:t>z mieszanki betonu asfaltowego AC 11 S dla ruchu KR 2 o grubości zgodnej z dokumentacją techniczną.</w:t>
      </w:r>
    </w:p>
    <w:p w14:paraId="3FC234BD" w14:textId="77777777" w:rsidR="005E0BE2" w:rsidRDefault="006A6BD4">
      <w:pPr>
        <w:suppressAutoHyphens/>
        <w:ind w:firstLine="567"/>
        <w:jc w:val="both"/>
        <w:rPr>
          <w:rFonts w:ascii="Arial" w:hAnsi="Arial" w:cs="Arial"/>
          <w:color w:val="00000A"/>
          <w:sz w:val="18"/>
          <w:szCs w:val="18"/>
          <w:lang w:eastAsia="ar-SA"/>
        </w:rPr>
      </w:pPr>
      <w:r>
        <w:rPr>
          <w:rFonts w:ascii="Arial" w:hAnsi="Arial" w:cs="Arial"/>
          <w:sz w:val="18"/>
          <w:szCs w:val="18"/>
          <w:lang w:eastAsia="ar-SA"/>
        </w:rPr>
        <w:t xml:space="preserve">Dokładne informacje dotyczące zakresu wykonania robót znajdują się w Dokumentacji Technicznej. </w:t>
      </w:r>
    </w:p>
    <w:p w14:paraId="186E08E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Robót zobowiązany jest prowadzić Zakładową Kontrolę Produkcji (ZKP) zgodnie z normą PN-EN 13108-21.</w:t>
      </w:r>
    </w:p>
    <w:p w14:paraId="50597D3C" w14:textId="77777777" w:rsidR="005E0BE2" w:rsidRDefault="005E0BE2">
      <w:pPr>
        <w:suppressAutoHyphens/>
        <w:autoSpaceDE w:val="0"/>
        <w:jc w:val="both"/>
        <w:rPr>
          <w:rFonts w:ascii="Arial" w:eastAsia="Arial Unicode MS" w:hAnsi="Arial" w:cs="Arial"/>
          <w:sz w:val="18"/>
          <w:szCs w:val="18"/>
          <w:lang w:eastAsia="ar-SA"/>
        </w:rPr>
      </w:pPr>
    </w:p>
    <w:p w14:paraId="14263A6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1.4. Określenia podstawowe</w:t>
      </w:r>
    </w:p>
    <w:p w14:paraId="199BE9A0" w14:textId="77777777" w:rsidR="005E0BE2" w:rsidRDefault="006A6BD4">
      <w:pPr>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1.4.1.</w:t>
      </w:r>
      <w:r>
        <w:rPr>
          <w:rFonts w:ascii="Arial" w:hAnsi="Arial" w:cs="Arial"/>
          <w:b/>
          <w:spacing w:val="-3"/>
          <w:sz w:val="18"/>
          <w:szCs w:val="18"/>
          <w:lang w:eastAsia="ar-SA"/>
        </w:rPr>
        <w:tab/>
        <w:t>Mieszanka mineralna</w:t>
      </w:r>
      <w:r>
        <w:rPr>
          <w:rFonts w:ascii="Arial" w:hAnsi="Arial" w:cs="Arial"/>
          <w:spacing w:val="-3"/>
          <w:sz w:val="18"/>
          <w:szCs w:val="18"/>
          <w:lang w:eastAsia="ar-SA"/>
        </w:rPr>
        <w:t xml:space="preserve"> - mieszanka kruszywa i wypełniacza o określonym składzie i uziarnieniu.</w:t>
      </w:r>
    </w:p>
    <w:p w14:paraId="0D5E4EEF"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Mieszanka mineralno-asfaltowa</w:t>
      </w:r>
      <w:r>
        <w:rPr>
          <w:rFonts w:ascii="Arial" w:hAnsi="Arial" w:cs="Arial"/>
          <w:spacing w:val="-3"/>
          <w:sz w:val="18"/>
          <w:szCs w:val="18"/>
          <w:lang w:eastAsia="ar-SA"/>
        </w:rPr>
        <w:t xml:space="preserve"> - mieszanka mineralna z odpowiednią ilością asfaltu, wytworzona w określony sposób, spełniająca określone wymagania.</w:t>
      </w:r>
    </w:p>
    <w:p w14:paraId="7606D5F3" w14:textId="77777777" w:rsidR="005E0BE2" w:rsidRDefault="006A6BD4">
      <w:pPr>
        <w:numPr>
          <w:ilvl w:val="2"/>
          <w:numId w:val="18"/>
        </w:numPr>
        <w:tabs>
          <w:tab w:val="clear" w:pos="855"/>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 xml:space="preserve">Typ mieszanki mineralno-asfaltowej </w:t>
      </w:r>
      <w:r>
        <w:rPr>
          <w:rFonts w:ascii="Arial" w:hAnsi="Arial" w:cs="Arial"/>
          <w:spacing w:val="-3"/>
          <w:sz w:val="18"/>
          <w:szCs w:val="18"/>
          <w:lang w:eastAsia="ar-SA"/>
        </w:rPr>
        <w:t>– określenie mieszanki mineralno-asfaltowej wyróżniające tę mieszankę spośród zbioru wszystkich innych mieszanek mineralno-asfaltowych. Wyróżnienie to może wynikać ze względu na metodę wyboru krzywej uziarnienia lub zawartości wolnych przestrzeni, lub proporcji składników, lub technologii wytwarzania i wbudowania.</w:t>
      </w:r>
    </w:p>
    <w:p w14:paraId="7F4AD524" w14:textId="77777777" w:rsidR="005E0BE2" w:rsidRDefault="006A6BD4">
      <w:pPr>
        <w:numPr>
          <w:ilvl w:val="2"/>
          <w:numId w:val="18"/>
        </w:numPr>
        <w:tabs>
          <w:tab w:val="clear" w:pos="855"/>
          <w:tab w:val="left" w:pos="-720"/>
          <w:tab w:val="num" w:pos="709"/>
        </w:tabs>
        <w:suppressAutoHyphens/>
        <w:ind w:left="709" w:hanging="709"/>
        <w:jc w:val="both"/>
        <w:rPr>
          <w:rFonts w:ascii="Arial" w:hAnsi="Arial" w:cs="Arial"/>
          <w:spacing w:val="-3"/>
          <w:sz w:val="18"/>
          <w:szCs w:val="18"/>
          <w:lang w:eastAsia="ar-SA"/>
        </w:rPr>
      </w:pPr>
      <w:r>
        <w:rPr>
          <w:rFonts w:ascii="Arial" w:hAnsi="Arial" w:cs="Arial"/>
          <w:b/>
          <w:spacing w:val="-3"/>
          <w:sz w:val="18"/>
          <w:szCs w:val="18"/>
          <w:lang w:eastAsia="ar-SA"/>
        </w:rPr>
        <w:t>Beton asfaltowy</w:t>
      </w:r>
      <w:r>
        <w:rPr>
          <w:rFonts w:ascii="Arial" w:hAnsi="Arial" w:cs="Arial"/>
          <w:spacing w:val="-3"/>
          <w:sz w:val="18"/>
          <w:szCs w:val="18"/>
          <w:lang w:eastAsia="ar-SA"/>
        </w:rPr>
        <w:t xml:space="preserve"> - mieszanka mineralno-asfaltowa o uziarnieniu równomiernie stopniowanym, ułożona i zagęszczona.</w:t>
      </w:r>
    </w:p>
    <w:p w14:paraId="74DFCEAB" w14:textId="77777777" w:rsidR="005E0BE2" w:rsidRDefault="006A6BD4">
      <w:pPr>
        <w:suppressAutoHyphens/>
        <w:ind w:left="709" w:hanging="709"/>
        <w:jc w:val="both"/>
        <w:rPr>
          <w:rFonts w:ascii="Arial" w:hAnsi="Arial" w:cs="Arial"/>
          <w:sz w:val="18"/>
          <w:szCs w:val="18"/>
          <w:lang w:eastAsia="ar-SA"/>
        </w:rPr>
      </w:pPr>
      <w:r>
        <w:rPr>
          <w:rFonts w:ascii="Arial" w:hAnsi="Arial" w:cs="Arial"/>
          <w:b/>
          <w:sz w:val="18"/>
          <w:szCs w:val="18"/>
          <w:lang w:eastAsia="ar-SA"/>
        </w:rPr>
        <w:t>1.4.5.</w:t>
      </w:r>
      <w:r>
        <w:rPr>
          <w:rFonts w:ascii="Arial" w:hAnsi="Arial" w:cs="Arial"/>
          <w:b/>
          <w:sz w:val="18"/>
          <w:szCs w:val="18"/>
          <w:lang w:eastAsia="ar-SA"/>
        </w:rPr>
        <w:tab/>
      </w:r>
      <w:r>
        <w:rPr>
          <w:rFonts w:ascii="Arial" w:hAnsi="Arial" w:cs="Arial"/>
          <w:sz w:val="18"/>
          <w:szCs w:val="18"/>
          <w:lang w:eastAsia="ar-SA"/>
        </w:rPr>
        <w:t>Pozostałe określenia podane w niniejszej STWiORB są zgodne z definicjami podanymi w STWiORB D-M.00.00.00 „Wymagania ogólne” p. 1.4. oraz w odpowiednich Polskich Normach.</w:t>
      </w:r>
    </w:p>
    <w:p w14:paraId="49087B6B" w14:textId="77777777" w:rsidR="005E0BE2" w:rsidRDefault="005E0BE2">
      <w:pPr>
        <w:suppressAutoHyphens/>
        <w:jc w:val="both"/>
        <w:rPr>
          <w:rFonts w:ascii="Arial" w:hAnsi="Arial" w:cs="Arial"/>
          <w:sz w:val="18"/>
          <w:szCs w:val="18"/>
          <w:lang w:eastAsia="ar-SA"/>
        </w:rPr>
      </w:pPr>
    </w:p>
    <w:p w14:paraId="6573971A"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1.5. Ogólne wymagania dotyczące Robót</w:t>
      </w:r>
    </w:p>
    <w:p w14:paraId="1E78BB7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robót podano w STWiORB D-00.00.00 „Wymagania ogólne” punkt 1.5.</w:t>
      </w:r>
    </w:p>
    <w:p w14:paraId="18BD1AE7" w14:textId="77777777" w:rsidR="005E0BE2" w:rsidRDefault="005E0BE2">
      <w:pPr>
        <w:suppressAutoHyphens/>
        <w:jc w:val="both"/>
        <w:rPr>
          <w:rFonts w:ascii="Arial" w:hAnsi="Arial" w:cs="Arial"/>
          <w:b/>
          <w:sz w:val="18"/>
          <w:szCs w:val="18"/>
          <w:lang w:eastAsia="ar-SA"/>
        </w:rPr>
      </w:pPr>
    </w:p>
    <w:p w14:paraId="29BDD2C1" w14:textId="77777777" w:rsidR="005E0BE2" w:rsidRDefault="005E0BE2">
      <w:pPr>
        <w:suppressAutoHyphens/>
        <w:jc w:val="both"/>
        <w:rPr>
          <w:rFonts w:ascii="Arial" w:hAnsi="Arial" w:cs="Arial"/>
          <w:b/>
          <w:sz w:val="18"/>
          <w:szCs w:val="18"/>
          <w:lang w:eastAsia="ar-SA"/>
        </w:rPr>
      </w:pPr>
    </w:p>
    <w:p w14:paraId="724B10D9" w14:textId="77777777" w:rsidR="005E0BE2" w:rsidRDefault="006A6BD4">
      <w:pPr>
        <w:suppressAutoHyphens/>
        <w:spacing w:after="120"/>
        <w:jc w:val="both"/>
        <w:rPr>
          <w:rFonts w:ascii="Arial" w:hAnsi="Arial" w:cs="Arial"/>
          <w:b/>
          <w:sz w:val="18"/>
          <w:szCs w:val="18"/>
          <w:lang w:eastAsia="ar-SA"/>
        </w:rPr>
      </w:pPr>
      <w:r>
        <w:rPr>
          <w:rFonts w:ascii="Arial" w:hAnsi="Arial" w:cs="Arial"/>
          <w:b/>
          <w:sz w:val="18"/>
          <w:szCs w:val="18"/>
          <w:lang w:eastAsia="ar-SA"/>
        </w:rPr>
        <w:t>2. MATERIAŁY</w:t>
      </w:r>
    </w:p>
    <w:p w14:paraId="44D253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Ogólne wymagania dotyczące materiałów, ich pozyskiwania i składowania, podano w STWiORB </w:t>
      </w:r>
      <w:r>
        <w:rPr>
          <w:rFonts w:ascii="Arial" w:hAnsi="Arial" w:cs="Arial"/>
          <w:sz w:val="18"/>
          <w:szCs w:val="18"/>
          <w:lang w:eastAsia="ar-SA"/>
        </w:rPr>
        <w:br/>
        <w:t>D-00.00.00 „Wymagania ogólne” pkt. 2.</w:t>
      </w:r>
    </w:p>
    <w:p w14:paraId="53E42E4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rodzaje materiałów powinny pochodzić ze źródeł zatwierdzonych przez Inspektora Nadzoru. Należy dążyć do zaopatrzenia się w materiały z jednego źródła. W przypadku zmiany pochodzenia materiału należy, po wykonaniu odpowiednich badań, opracować skorygowaną receptę.</w:t>
      </w:r>
    </w:p>
    <w:p w14:paraId="73D0AD8A" w14:textId="77777777" w:rsidR="005E0BE2" w:rsidRDefault="005E0BE2">
      <w:pPr>
        <w:suppressAutoHyphens/>
        <w:jc w:val="both"/>
        <w:rPr>
          <w:rFonts w:ascii="Arial" w:hAnsi="Arial" w:cs="Arial"/>
          <w:b/>
          <w:sz w:val="18"/>
          <w:szCs w:val="18"/>
          <w:lang w:eastAsia="ar-SA"/>
        </w:rPr>
      </w:pPr>
    </w:p>
    <w:p w14:paraId="279E6D1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2.1. Materiały do wykonania warstwy ścieralnej z AC</w:t>
      </w:r>
    </w:p>
    <w:p w14:paraId="03CCAD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produkcji mieszanki mineralno-asfaltowej do warstwy ścieralnej z AC dla ruchu KR 2, należy stosować materiały podane  w Tablicy 1.</w:t>
      </w:r>
    </w:p>
    <w:p w14:paraId="5E1F6789" w14:textId="77777777" w:rsidR="005E0BE2" w:rsidRDefault="005E0BE2">
      <w:pPr>
        <w:suppressAutoHyphens/>
        <w:jc w:val="both"/>
        <w:rPr>
          <w:rFonts w:ascii="Arial" w:hAnsi="Arial" w:cs="Arial"/>
          <w:sz w:val="18"/>
          <w:szCs w:val="18"/>
          <w:lang w:eastAsia="ar-SA"/>
        </w:rPr>
      </w:pPr>
    </w:p>
    <w:p w14:paraId="75D3D333"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1. Materiały do wykonania warstwy ścieralnej z AC dla ruchu KR 2.</w:t>
      </w:r>
    </w:p>
    <w:p w14:paraId="5A5A42F6" w14:textId="77777777" w:rsidR="005E0BE2" w:rsidRDefault="005E0BE2">
      <w:pPr>
        <w:suppressAutoHyphens/>
        <w:jc w:val="both"/>
        <w:rPr>
          <w:rFonts w:ascii="Arial" w:hAnsi="Arial" w:cs="Arial"/>
          <w:sz w:val="18"/>
          <w:szCs w:val="18"/>
          <w:lang w:eastAsia="ar-SA"/>
        </w:rPr>
      </w:pPr>
    </w:p>
    <w:tbl>
      <w:tblPr>
        <w:tblW w:w="7655" w:type="dxa"/>
        <w:jc w:val="center"/>
        <w:tblLayout w:type="fixed"/>
        <w:tblLook w:val="0000" w:firstRow="0" w:lastRow="0" w:firstColumn="0" w:lastColumn="0" w:noHBand="0" w:noVBand="0"/>
      </w:tblPr>
      <w:tblGrid>
        <w:gridCol w:w="523"/>
        <w:gridCol w:w="2596"/>
        <w:gridCol w:w="4536"/>
      </w:tblGrid>
      <w:tr w:rsidR="005E0BE2" w14:paraId="147A919A" w14:textId="77777777">
        <w:trPr>
          <w:jc w:val="center"/>
        </w:trPr>
        <w:tc>
          <w:tcPr>
            <w:tcW w:w="523" w:type="dxa"/>
            <w:tcBorders>
              <w:top w:val="single" w:sz="4" w:space="0" w:color="000000"/>
              <w:left w:val="single" w:sz="4" w:space="0" w:color="000000"/>
              <w:bottom w:val="single" w:sz="4" w:space="0" w:color="000000"/>
            </w:tcBorders>
          </w:tcPr>
          <w:p w14:paraId="53C7C5E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2596" w:type="dxa"/>
            <w:tcBorders>
              <w:top w:val="single" w:sz="4" w:space="0" w:color="000000"/>
              <w:left w:val="single" w:sz="4" w:space="0" w:color="000000"/>
              <w:bottom w:val="single" w:sz="4" w:space="0" w:color="000000"/>
            </w:tcBorders>
          </w:tcPr>
          <w:p w14:paraId="31FF6C3C"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Materiał</w:t>
            </w:r>
          </w:p>
        </w:tc>
        <w:tc>
          <w:tcPr>
            <w:tcW w:w="4536" w:type="dxa"/>
            <w:tcBorders>
              <w:top w:val="single" w:sz="4" w:space="0" w:color="000000"/>
              <w:left w:val="single" w:sz="4" w:space="0" w:color="000000"/>
              <w:bottom w:val="single" w:sz="4" w:space="0" w:color="000000"/>
              <w:right w:val="single" w:sz="4" w:space="0" w:color="000000"/>
            </w:tcBorders>
          </w:tcPr>
          <w:p w14:paraId="2EE7FA5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 wg:</w:t>
            </w:r>
          </w:p>
        </w:tc>
      </w:tr>
      <w:tr w:rsidR="005E0BE2" w14:paraId="5D678087" w14:textId="77777777">
        <w:trPr>
          <w:jc w:val="center"/>
        </w:trPr>
        <w:tc>
          <w:tcPr>
            <w:tcW w:w="523" w:type="dxa"/>
            <w:tcBorders>
              <w:top w:val="single" w:sz="4" w:space="0" w:color="000000"/>
              <w:left w:val="single" w:sz="4" w:space="0" w:color="000000"/>
              <w:bottom w:val="single" w:sz="4" w:space="0" w:color="000000"/>
            </w:tcBorders>
          </w:tcPr>
          <w:p w14:paraId="3D307FD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tc>
        <w:tc>
          <w:tcPr>
            <w:tcW w:w="2596" w:type="dxa"/>
            <w:tcBorders>
              <w:top w:val="single" w:sz="4" w:space="0" w:color="000000"/>
              <w:left w:val="single" w:sz="4" w:space="0" w:color="000000"/>
              <w:bottom w:val="single" w:sz="4" w:space="0" w:color="000000"/>
            </w:tcBorders>
          </w:tcPr>
          <w:p w14:paraId="08A41141"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grube</w:t>
            </w:r>
          </w:p>
        </w:tc>
        <w:tc>
          <w:tcPr>
            <w:tcW w:w="4536" w:type="dxa"/>
            <w:tcBorders>
              <w:top w:val="single" w:sz="4" w:space="0" w:color="000000"/>
              <w:left w:val="single" w:sz="4" w:space="0" w:color="000000"/>
              <w:bottom w:val="single" w:sz="4" w:space="0" w:color="000000"/>
              <w:right w:val="single" w:sz="4" w:space="0" w:color="000000"/>
            </w:tcBorders>
          </w:tcPr>
          <w:p w14:paraId="1936910E"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12  WT-1 2014</w:t>
            </w:r>
          </w:p>
        </w:tc>
      </w:tr>
      <w:tr w:rsidR="005E0BE2" w14:paraId="6625BA93" w14:textId="77777777">
        <w:trPr>
          <w:jc w:val="center"/>
        </w:trPr>
        <w:tc>
          <w:tcPr>
            <w:tcW w:w="523" w:type="dxa"/>
            <w:tcBorders>
              <w:top w:val="single" w:sz="4" w:space="0" w:color="000000"/>
              <w:left w:val="single" w:sz="4" w:space="0" w:color="000000"/>
              <w:bottom w:val="single" w:sz="4" w:space="0" w:color="000000"/>
            </w:tcBorders>
          </w:tcPr>
          <w:p w14:paraId="66BAAEF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596" w:type="dxa"/>
            <w:tcBorders>
              <w:top w:val="single" w:sz="4" w:space="0" w:color="000000"/>
              <w:left w:val="single" w:sz="4" w:space="0" w:color="000000"/>
              <w:bottom w:val="single" w:sz="4" w:space="0" w:color="000000"/>
            </w:tcBorders>
          </w:tcPr>
          <w:p w14:paraId="22D6C6C5"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Kruszywo drobne</w:t>
            </w:r>
          </w:p>
        </w:tc>
        <w:tc>
          <w:tcPr>
            <w:tcW w:w="4536" w:type="dxa"/>
            <w:tcBorders>
              <w:top w:val="single" w:sz="4" w:space="0" w:color="000000"/>
              <w:left w:val="single" w:sz="4" w:space="0" w:color="000000"/>
              <w:bottom w:val="single" w:sz="4" w:space="0" w:color="000000"/>
              <w:right w:val="single" w:sz="4" w:space="0" w:color="000000"/>
            </w:tcBorders>
          </w:tcPr>
          <w:p w14:paraId="24943E4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13 i 14 WT-1 2014</w:t>
            </w:r>
          </w:p>
        </w:tc>
      </w:tr>
      <w:tr w:rsidR="005E0BE2" w14:paraId="077F3343" w14:textId="77777777">
        <w:trPr>
          <w:jc w:val="center"/>
        </w:trPr>
        <w:tc>
          <w:tcPr>
            <w:tcW w:w="523" w:type="dxa"/>
            <w:tcBorders>
              <w:top w:val="single" w:sz="4" w:space="0" w:color="000000"/>
              <w:left w:val="single" w:sz="4" w:space="0" w:color="000000"/>
              <w:bottom w:val="single" w:sz="4" w:space="0" w:color="000000"/>
            </w:tcBorders>
          </w:tcPr>
          <w:p w14:paraId="50738D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w:t>
            </w:r>
          </w:p>
        </w:tc>
        <w:tc>
          <w:tcPr>
            <w:tcW w:w="2596" w:type="dxa"/>
            <w:tcBorders>
              <w:top w:val="single" w:sz="4" w:space="0" w:color="000000"/>
              <w:left w:val="single" w:sz="4" w:space="0" w:color="000000"/>
              <w:bottom w:val="single" w:sz="4" w:space="0" w:color="000000"/>
            </w:tcBorders>
          </w:tcPr>
          <w:p w14:paraId="7C0CB5AB"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Wypełniacz</w:t>
            </w:r>
          </w:p>
        </w:tc>
        <w:tc>
          <w:tcPr>
            <w:tcW w:w="4536" w:type="dxa"/>
            <w:tcBorders>
              <w:top w:val="single" w:sz="4" w:space="0" w:color="000000"/>
              <w:left w:val="single" w:sz="4" w:space="0" w:color="000000"/>
              <w:bottom w:val="single" w:sz="4" w:space="0" w:color="000000"/>
              <w:right w:val="single" w:sz="4" w:space="0" w:color="000000"/>
            </w:tcBorders>
          </w:tcPr>
          <w:p w14:paraId="0EA26812"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Tablica 15 WT-1 2014, uziarnienie wypełniacza wg Tablicy 2 niniejszej STWiORB</w:t>
            </w:r>
          </w:p>
        </w:tc>
      </w:tr>
      <w:tr w:rsidR="005E0BE2" w14:paraId="5D275FCB" w14:textId="77777777">
        <w:trPr>
          <w:jc w:val="center"/>
        </w:trPr>
        <w:tc>
          <w:tcPr>
            <w:tcW w:w="523" w:type="dxa"/>
            <w:tcBorders>
              <w:top w:val="single" w:sz="4" w:space="0" w:color="000000"/>
              <w:left w:val="single" w:sz="4" w:space="0" w:color="000000"/>
              <w:bottom w:val="single" w:sz="4" w:space="0" w:color="000000"/>
            </w:tcBorders>
          </w:tcPr>
          <w:p w14:paraId="35DE581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4</w:t>
            </w:r>
          </w:p>
        </w:tc>
        <w:tc>
          <w:tcPr>
            <w:tcW w:w="2596" w:type="dxa"/>
            <w:tcBorders>
              <w:top w:val="single" w:sz="4" w:space="0" w:color="000000"/>
              <w:left w:val="single" w:sz="4" w:space="0" w:color="000000"/>
              <w:bottom w:val="single" w:sz="4" w:space="0" w:color="000000"/>
            </w:tcBorders>
          </w:tcPr>
          <w:p w14:paraId="2DE5965D" w14:textId="77777777" w:rsidR="005E0BE2" w:rsidRDefault="006A6BD4">
            <w:pPr>
              <w:suppressAutoHyphens/>
              <w:snapToGrid w:val="0"/>
              <w:jc w:val="both"/>
              <w:rPr>
                <w:rFonts w:ascii="Arial" w:hAnsi="Arial" w:cs="Arial"/>
                <w:sz w:val="18"/>
                <w:szCs w:val="18"/>
                <w:lang w:eastAsia="ar-SA"/>
              </w:rPr>
            </w:pPr>
            <w:r>
              <w:rPr>
                <w:rFonts w:ascii="Arial" w:hAnsi="Arial" w:cs="Arial"/>
                <w:sz w:val="18"/>
                <w:szCs w:val="18"/>
                <w:lang w:eastAsia="ar-SA"/>
              </w:rPr>
              <w:t xml:space="preserve">Asfalt  </w:t>
            </w:r>
          </w:p>
        </w:tc>
        <w:tc>
          <w:tcPr>
            <w:tcW w:w="4536" w:type="dxa"/>
            <w:tcBorders>
              <w:top w:val="single" w:sz="4" w:space="0" w:color="000000"/>
              <w:left w:val="single" w:sz="4" w:space="0" w:color="000000"/>
              <w:bottom w:val="single" w:sz="4" w:space="0" w:color="000000"/>
              <w:right w:val="single" w:sz="4" w:space="0" w:color="000000"/>
            </w:tcBorders>
          </w:tcPr>
          <w:p w14:paraId="5BC62FDF" w14:textId="77777777" w:rsidR="005E0BE2" w:rsidRDefault="006A6BD4">
            <w:pPr>
              <w:suppressAutoHyphens/>
              <w:snapToGrid w:val="0"/>
              <w:rPr>
                <w:rFonts w:ascii="Arial" w:hAnsi="Arial" w:cs="Arial"/>
                <w:sz w:val="18"/>
                <w:szCs w:val="18"/>
                <w:lang w:val="en-US" w:eastAsia="ar-SA"/>
              </w:rPr>
            </w:pPr>
            <w:r>
              <w:rPr>
                <w:rFonts w:ascii="Arial" w:hAnsi="Arial" w:cs="Arial"/>
                <w:sz w:val="18"/>
                <w:szCs w:val="18"/>
                <w:lang w:val="en-US" w:eastAsia="ar-SA"/>
              </w:rPr>
              <w:t xml:space="preserve">50/70 </w:t>
            </w:r>
            <w:r>
              <w:rPr>
                <w:rFonts w:ascii="Arial" w:hAnsi="Arial" w:cs="Arial"/>
                <w:sz w:val="18"/>
                <w:szCs w:val="18"/>
                <w:lang w:eastAsia="ar-SA"/>
              </w:rPr>
              <w:t xml:space="preserve"> wg PN-EN 12591</w:t>
            </w:r>
          </w:p>
        </w:tc>
      </w:tr>
      <w:tr w:rsidR="005E0BE2" w14:paraId="18A4EAF1" w14:textId="77777777">
        <w:trPr>
          <w:jc w:val="center"/>
        </w:trPr>
        <w:tc>
          <w:tcPr>
            <w:tcW w:w="523" w:type="dxa"/>
            <w:tcBorders>
              <w:top w:val="single" w:sz="4" w:space="0" w:color="000000"/>
              <w:left w:val="single" w:sz="4" w:space="0" w:color="000000"/>
              <w:bottom w:val="single" w:sz="4" w:space="0" w:color="000000"/>
            </w:tcBorders>
          </w:tcPr>
          <w:p w14:paraId="4A92CA2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w:t>
            </w:r>
          </w:p>
        </w:tc>
        <w:tc>
          <w:tcPr>
            <w:tcW w:w="2596" w:type="dxa"/>
            <w:tcBorders>
              <w:top w:val="single" w:sz="4" w:space="0" w:color="000000"/>
              <w:left w:val="single" w:sz="4" w:space="0" w:color="000000"/>
              <w:bottom w:val="single" w:sz="4" w:space="0" w:color="000000"/>
            </w:tcBorders>
          </w:tcPr>
          <w:p w14:paraId="7C625172" w14:textId="77777777" w:rsidR="005E0BE2" w:rsidRDefault="006A6BD4">
            <w:pPr>
              <w:suppressAutoHyphens/>
              <w:snapToGrid w:val="0"/>
              <w:jc w:val="both"/>
              <w:rPr>
                <w:rFonts w:ascii="Arial" w:hAnsi="Arial" w:cs="Arial"/>
                <w:sz w:val="18"/>
                <w:szCs w:val="18"/>
                <w:lang w:val="en-US" w:eastAsia="ar-SA"/>
              </w:rPr>
            </w:pPr>
            <w:proofErr w:type="spellStart"/>
            <w:r>
              <w:rPr>
                <w:rFonts w:ascii="Arial" w:hAnsi="Arial" w:cs="Arial"/>
                <w:sz w:val="18"/>
                <w:szCs w:val="18"/>
                <w:lang w:val="en-US" w:eastAsia="ar-SA"/>
              </w:rPr>
              <w:t>Środek</w:t>
            </w:r>
            <w:proofErr w:type="spellEnd"/>
            <w:r>
              <w:rPr>
                <w:rFonts w:ascii="Arial" w:hAnsi="Arial" w:cs="Arial"/>
                <w:sz w:val="18"/>
                <w:szCs w:val="18"/>
                <w:lang w:val="en-US" w:eastAsia="ar-SA"/>
              </w:rPr>
              <w:t xml:space="preserve"> </w:t>
            </w:r>
            <w:proofErr w:type="spellStart"/>
            <w:r>
              <w:rPr>
                <w:rFonts w:ascii="Arial" w:hAnsi="Arial" w:cs="Arial"/>
                <w:sz w:val="18"/>
                <w:szCs w:val="18"/>
                <w:lang w:val="en-US" w:eastAsia="ar-SA"/>
              </w:rPr>
              <w:t>adhezyjny</w:t>
            </w:r>
            <w:proofErr w:type="spellEnd"/>
          </w:p>
        </w:tc>
        <w:tc>
          <w:tcPr>
            <w:tcW w:w="4536" w:type="dxa"/>
            <w:tcBorders>
              <w:top w:val="single" w:sz="4" w:space="0" w:color="000000"/>
              <w:left w:val="single" w:sz="4" w:space="0" w:color="000000"/>
              <w:bottom w:val="single" w:sz="4" w:space="0" w:color="000000"/>
              <w:right w:val="single" w:sz="4" w:space="0" w:color="000000"/>
            </w:tcBorders>
          </w:tcPr>
          <w:p w14:paraId="62DB7859"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pkt. 2.2.</w:t>
            </w:r>
          </w:p>
        </w:tc>
      </w:tr>
    </w:tbl>
    <w:p w14:paraId="09D5D5A7" w14:textId="77777777" w:rsidR="005E0BE2" w:rsidRDefault="005E0BE2">
      <w:pPr>
        <w:jc w:val="both"/>
        <w:rPr>
          <w:rFonts w:ascii="Arial" w:hAnsi="Arial" w:cs="Arial"/>
          <w:spacing w:val="-3"/>
          <w:sz w:val="18"/>
          <w:szCs w:val="18"/>
        </w:rPr>
      </w:pPr>
    </w:p>
    <w:p w14:paraId="6B7220B0" w14:textId="77777777" w:rsidR="005E0BE2" w:rsidRDefault="006A6BD4">
      <w:pPr>
        <w:jc w:val="both"/>
        <w:rPr>
          <w:rFonts w:ascii="Arial" w:hAnsi="Arial" w:cs="Arial"/>
          <w:sz w:val="18"/>
          <w:szCs w:val="18"/>
        </w:rPr>
      </w:pPr>
      <w:r>
        <w:rPr>
          <w:rFonts w:ascii="Arial" w:hAnsi="Arial" w:cs="Arial"/>
          <w:spacing w:val="-3"/>
          <w:sz w:val="18"/>
          <w:szCs w:val="18"/>
        </w:rPr>
        <w:t xml:space="preserve">W mieszance mineralnej jako kruszywo drobne należy stosować kruszywo łamane lub mieszankę kruszywa łamanego i niełamanego. Jeżeli będzie stosowana mieszanka kruszywa drobnego niełamanego i łamanego, to należy przyjąć proporcję </w:t>
      </w:r>
      <w:r>
        <w:rPr>
          <w:rFonts w:ascii="Arial" w:hAnsi="Arial" w:cs="Arial"/>
          <w:sz w:val="18"/>
          <w:szCs w:val="18"/>
        </w:rPr>
        <w:t>kruszywa łamanego do niełamanego co najmniej 50/50.</w:t>
      </w:r>
    </w:p>
    <w:p w14:paraId="145CE28C" w14:textId="77777777" w:rsidR="005E0BE2" w:rsidRDefault="005E0BE2">
      <w:pPr>
        <w:suppressAutoHyphens/>
        <w:rPr>
          <w:rFonts w:ascii="Arial" w:hAnsi="Arial" w:cs="Arial"/>
          <w:sz w:val="18"/>
          <w:szCs w:val="18"/>
          <w:lang w:eastAsia="ar-SA"/>
        </w:rPr>
      </w:pPr>
    </w:p>
    <w:p w14:paraId="4A6BC9D5"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br w:type="page"/>
      </w:r>
    </w:p>
    <w:p w14:paraId="242ADA5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lastRenderedPageBreak/>
        <w:t>Tablica 2. Uziarnienie wypełniacza dodanego oznaczone wg PN-EN 933-10.</w:t>
      </w:r>
    </w:p>
    <w:p w14:paraId="1B069C37" w14:textId="77777777" w:rsidR="005E0BE2" w:rsidRDefault="005E0BE2">
      <w:pPr>
        <w:suppressAutoHyphens/>
        <w:rPr>
          <w:rFonts w:ascii="Arial" w:hAnsi="Arial" w:cs="Arial"/>
          <w:sz w:val="18"/>
          <w:szCs w:val="18"/>
          <w:lang w:eastAsia="ar-SA"/>
        </w:rPr>
      </w:pPr>
    </w:p>
    <w:tbl>
      <w:tblPr>
        <w:tblW w:w="0" w:type="auto"/>
        <w:jc w:val="center"/>
        <w:tblLayout w:type="fixed"/>
        <w:tblLook w:val="0000" w:firstRow="0" w:lastRow="0" w:firstColumn="0" w:lastColumn="0" w:noHBand="0" w:noVBand="0"/>
      </w:tblPr>
      <w:tblGrid>
        <w:gridCol w:w="1548"/>
        <w:gridCol w:w="2793"/>
        <w:gridCol w:w="3379"/>
      </w:tblGrid>
      <w:tr w:rsidR="005E0BE2" w14:paraId="12B4CEC1" w14:textId="77777777">
        <w:trPr>
          <w:cantSplit/>
          <w:trHeight w:val="136"/>
          <w:jc w:val="center"/>
        </w:trPr>
        <w:tc>
          <w:tcPr>
            <w:tcW w:w="1548" w:type="dxa"/>
            <w:vMerge w:val="restart"/>
            <w:tcBorders>
              <w:top w:val="single" w:sz="4" w:space="0" w:color="000000"/>
              <w:left w:val="single" w:sz="4" w:space="0" w:color="000000"/>
              <w:bottom w:val="single" w:sz="4" w:space="0" w:color="000000"/>
            </w:tcBorders>
          </w:tcPr>
          <w:p w14:paraId="67A3995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Sito # [mm]</w:t>
            </w:r>
          </w:p>
        </w:tc>
        <w:tc>
          <w:tcPr>
            <w:tcW w:w="6172" w:type="dxa"/>
            <w:gridSpan w:val="2"/>
            <w:tcBorders>
              <w:top w:val="single" w:sz="4" w:space="0" w:color="000000"/>
              <w:left w:val="single" w:sz="4" w:space="0" w:color="000000"/>
              <w:bottom w:val="single" w:sz="4" w:space="0" w:color="000000"/>
              <w:right w:val="single" w:sz="4" w:space="0" w:color="000000"/>
            </w:tcBorders>
          </w:tcPr>
          <w:p w14:paraId="0A3E4A4B"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5310302D" w14:textId="77777777">
        <w:trPr>
          <w:cantSplit/>
          <w:trHeight w:val="136"/>
          <w:jc w:val="center"/>
        </w:trPr>
        <w:tc>
          <w:tcPr>
            <w:tcW w:w="1548" w:type="dxa"/>
            <w:vMerge/>
            <w:tcBorders>
              <w:top w:val="single" w:sz="4" w:space="0" w:color="000000"/>
              <w:left w:val="single" w:sz="4" w:space="0" w:color="000000"/>
              <w:bottom w:val="single" w:sz="4" w:space="0" w:color="000000"/>
            </w:tcBorders>
          </w:tcPr>
          <w:p w14:paraId="3D6C7BBC" w14:textId="77777777" w:rsidR="005E0BE2" w:rsidRDefault="005E0BE2">
            <w:pPr>
              <w:suppressAutoHyphens/>
              <w:snapToGrid w:val="0"/>
              <w:jc w:val="center"/>
              <w:rPr>
                <w:rFonts w:ascii="Arial" w:hAnsi="Arial" w:cs="Arial"/>
                <w:sz w:val="18"/>
                <w:szCs w:val="18"/>
                <w:lang w:eastAsia="ar-SA"/>
              </w:rPr>
            </w:pPr>
          </w:p>
        </w:tc>
        <w:tc>
          <w:tcPr>
            <w:tcW w:w="2793" w:type="dxa"/>
            <w:tcBorders>
              <w:top w:val="single" w:sz="4" w:space="0" w:color="000000"/>
              <w:left w:val="single" w:sz="4" w:space="0" w:color="000000"/>
              <w:bottom w:val="single" w:sz="4" w:space="0" w:color="000000"/>
            </w:tcBorders>
          </w:tcPr>
          <w:p w14:paraId="05D3A8E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Ogólny zakres dla poszczególnych wyników</w:t>
            </w:r>
          </w:p>
        </w:tc>
        <w:tc>
          <w:tcPr>
            <w:tcW w:w="3379" w:type="dxa"/>
            <w:tcBorders>
              <w:top w:val="single" w:sz="4" w:space="0" w:color="000000"/>
              <w:left w:val="single" w:sz="4" w:space="0" w:color="000000"/>
              <w:bottom w:val="single" w:sz="4" w:space="0" w:color="000000"/>
              <w:right w:val="single" w:sz="4" w:space="0" w:color="000000"/>
            </w:tcBorders>
          </w:tcPr>
          <w:p w14:paraId="24044678" w14:textId="77777777" w:rsidR="005E0BE2" w:rsidRDefault="006A6BD4">
            <w:pPr>
              <w:suppressAutoHyphens/>
              <w:snapToGrid w:val="0"/>
              <w:jc w:val="center"/>
              <w:rPr>
                <w:rFonts w:ascii="Arial" w:hAnsi="Arial" w:cs="Arial"/>
                <w:sz w:val="18"/>
                <w:szCs w:val="18"/>
                <w:vertAlign w:val="superscript"/>
                <w:lang w:eastAsia="ar-SA"/>
              </w:rPr>
            </w:pPr>
            <w:r>
              <w:rPr>
                <w:rFonts w:ascii="Arial" w:hAnsi="Arial" w:cs="Arial"/>
                <w:sz w:val="18"/>
                <w:szCs w:val="18"/>
                <w:lang w:eastAsia="ar-SA"/>
              </w:rPr>
              <w:t xml:space="preserve">Maksymalny zakres uziarnienia deklarowany przez </w:t>
            </w:r>
            <w:proofErr w:type="spellStart"/>
            <w:r>
              <w:rPr>
                <w:rFonts w:ascii="Arial" w:hAnsi="Arial" w:cs="Arial"/>
                <w:sz w:val="18"/>
                <w:szCs w:val="18"/>
                <w:lang w:eastAsia="ar-SA"/>
              </w:rPr>
              <w:t>producenta</w:t>
            </w:r>
            <w:r>
              <w:rPr>
                <w:rFonts w:ascii="Arial" w:hAnsi="Arial" w:cs="Arial"/>
                <w:sz w:val="18"/>
                <w:szCs w:val="18"/>
                <w:vertAlign w:val="superscript"/>
                <w:lang w:eastAsia="ar-SA"/>
              </w:rPr>
              <w:t>a</w:t>
            </w:r>
            <w:proofErr w:type="spellEnd"/>
            <w:r>
              <w:rPr>
                <w:rFonts w:ascii="Arial" w:hAnsi="Arial" w:cs="Arial"/>
                <w:sz w:val="18"/>
                <w:szCs w:val="18"/>
                <w:vertAlign w:val="superscript"/>
                <w:lang w:eastAsia="ar-SA"/>
              </w:rPr>
              <w:t>)</w:t>
            </w:r>
          </w:p>
        </w:tc>
      </w:tr>
      <w:tr w:rsidR="005E0BE2" w14:paraId="61A4CF7C" w14:textId="77777777">
        <w:trPr>
          <w:jc w:val="center"/>
        </w:trPr>
        <w:tc>
          <w:tcPr>
            <w:tcW w:w="1548" w:type="dxa"/>
            <w:tcBorders>
              <w:top w:val="single" w:sz="4" w:space="0" w:color="000000"/>
              <w:left w:val="single" w:sz="4" w:space="0" w:color="000000"/>
              <w:bottom w:val="single" w:sz="4" w:space="0" w:color="000000"/>
            </w:tcBorders>
          </w:tcPr>
          <w:p w14:paraId="2F150C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2793" w:type="dxa"/>
            <w:tcBorders>
              <w:top w:val="single" w:sz="4" w:space="0" w:color="000000"/>
              <w:left w:val="single" w:sz="4" w:space="0" w:color="000000"/>
              <w:bottom w:val="single" w:sz="4" w:space="0" w:color="000000"/>
            </w:tcBorders>
          </w:tcPr>
          <w:p w14:paraId="558324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3379" w:type="dxa"/>
            <w:tcBorders>
              <w:top w:val="single" w:sz="4" w:space="0" w:color="000000"/>
              <w:left w:val="single" w:sz="4" w:space="0" w:color="000000"/>
              <w:bottom w:val="single" w:sz="4" w:space="0" w:color="000000"/>
              <w:right w:val="single" w:sz="4" w:space="0" w:color="000000"/>
            </w:tcBorders>
          </w:tcPr>
          <w:p w14:paraId="230DC0A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517F2344" w14:textId="77777777">
        <w:trPr>
          <w:jc w:val="center"/>
        </w:trPr>
        <w:tc>
          <w:tcPr>
            <w:tcW w:w="1548" w:type="dxa"/>
            <w:tcBorders>
              <w:top w:val="single" w:sz="4" w:space="0" w:color="000000"/>
              <w:left w:val="single" w:sz="4" w:space="0" w:color="000000"/>
              <w:bottom w:val="single" w:sz="4" w:space="0" w:color="000000"/>
            </w:tcBorders>
          </w:tcPr>
          <w:p w14:paraId="0AB8BB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0,125</w:t>
            </w:r>
          </w:p>
        </w:tc>
        <w:tc>
          <w:tcPr>
            <w:tcW w:w="2793" w:type="dxa"/>
            <w:tcBorders>
              <w:top w:val="single" w:sz="4" w:space="0" w:color="000000"/>
              <w:left w:val="single" w:sz="4" w:space="0" w:color="000000"/>
              <w:bottom w:val="single" w:sz="4" w:space="0" w:color="000000"/>
            </w:tcBorders>
          </w:tcPr>
          <w:p w14:paraId="6C09E66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85 do 100</w:t>
            </w:r>
          </w:p>
        </w:tc>
        <w:tc>
          <w:tcPr>
            <w:tcW w:w="3379" w:type="dxa"/>
            <w:tcBorders>
              <w:top w:val="single" w:sz="4" w:space="0" w:color="000000"/>
              <w:left w:val="single" w:sz="4" w:space="0" w:color="000000"/>
              <w:bottom w:val="single" w:sz="4" w:space="0" w:color="000000"/>
              <w:right w:val="single" w:sz="4" w:space="0" w:color="000000"/>
            </w:tcBorders>
          </w:tcPr>
          <w:p w14:paraId="52D85D4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7B5B10C9" w14:textId="77777777">
        <w:trPr>
          <w:jc w:val="center"/>
        </w:trPr>
        <w:tc>
          <w:tcPr>
            <w:tcW w:w="1548" w:type="dxa"/>
            <w:tcBorders>
              <w:top w:val="single" w:sz="4" w:space="0" w:color="000000"/>
              <w:left w:val="single" w:sz="4" w:space="0" w:color="000000"/>
              <w:bottom w:val="single" w:sz="4" w:space="0" w:color="000000"/>
            </w:tcBorders>
          </w:tcPr>
          <w:p w14:paraId="1578C39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2793" w:type="dxa"/>
            <w:tcBorders>
              <w:top w:val="single" w:sz="4" w:space="0" w:color="000000"/>
              <w:left w:val="single" w:sz="4" w:space="0" w:color="000000"/>
              <w:bottom w:val="single" w:sz="4" w:space="0" w:color="000000"/>
            </w:tcBorders>
          </w:tcPr>
          <w:p w14:paraId="54F35FA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od 70 do 100</w:t>
            </w:r>
          </w:p>
        </w:tc>
        <w:tc>
          <w:tcPr>
            <w:tcW w:w="3379" w:type="dxa"/>
            <w:tcBorders>
              <w:top w:val="single" w:sz="4" w:space="0" w:color="000000"/>
              <w:left w:val="single" w:sz="4" w:space="0" w:color="000000"/>
              <w:bottom w:val="single" w:sz="4" w:space="0" w:color="000000"/>
              <w:right w:val="single" w:sz="4" w:space="0" w:color="000000"/>
            </w:tcBorders>
          </w:tcPr>
          <w:p w14:paraId="17AA4D1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w:t>
            </w:r>
          </w:p>
        </w:tc>
      </w:tr>
      <w:tr w:rsidR="005E0BE2" w14:paraId="668C454F" w14:textId="77777777">
        <w:trPr>
          <w:jc w:val="center"/>
        </w:trPr>
        <w:tc>
          <w:tcPr>
            <w:tcW w:w="7720" w:type="dxa"/>
            <w:gridSpan w:val="3"/>
            <w:tcBorders>
              <w:top w:val="single" w:sz="4" w:space="0" w:color="000000"/>
              <w:left w:val="single" w:sz="4" w:space="0" w:color="000000"/>
              <w:bottom w:val="single" w:sz="4" w:space="0" w:color="000000"/>
              <w:right w:val="single" w:sz="4" w:space="0" w:color="000000"/>
            </w:tcBorders>
          </w:tcPr>
          <w:p w14:paraId="6F9FF52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a) zakres uziarnienia powinien być deklarowany na podstawie ostatnich 20 wyników, z których 90% powinno mieścić się w tym zakresie, a wszystkie powinny mieścić się w ogólnym zakresie podanym w tablicy</w:t>
            </w:r>
          </w:p>
        </w:tc>
      </w:tr>
    </w:tbl>
    <w:p w14:paraId="2E4BE2CF" w14:textId="77777777" w:rsidR="005E0BE2" w:rsidRDefault="005E0BE2">
      <w:pPr>
        <w:suppressAutoHyphens/>
        <w:rPr>
          <w:rFonts w:ascii="Arial" w:hAnsi="Arial" w:cs="Arial"/>
          <w:sz w:val="18"/>
          <w:szCs w:val="18"/>
          <w:lang w:eastAsia="ar-SA"/>
        </w:rPr>
      </w:pPr>
    </w:p>
    <w:p w14:paraId="3048E363"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2.2. Środek adhezyjny</w:t>
      </w:r>
    </w:p>
    <w:p w14:paraId="77480BA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poprawy powinowactwa lepiszcza asfaltowego do kruszywa należy stosować środki poprawiające adhezję. Środek adhezyjny i jego ilość powinny być dostosowane do konkretnego zestawu kruszywo – lepiszcze.</w:t>
      </w:r>
    </w:p>
    <w:p w14:paraId="21F4E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Ocenę przyczepności należy określić na wybranej frakcji mieszanki mineralnej wg PN-EN 12697-11, metoda A po 6 godzinach obracania , stosując kruszywo 8/11 jako podstawowe (dopuszcza się inne wymiary w wypadku braku wymiaru podstawowego do tego badania). Wymagana przyczepność lepiszcza do kruszywa powinna wynosić co najmniej 80%.</w:t>
      </w:r>
    </w:p>
    <w:p w14:paraId="4C415E32" w14:textId="77777777" w:rsidR="005E0BE2" w:rsidRDefault="006A6BD4">
      <w:pPr>
        <w:suppressAutoHyphens/>
        <w:ind w:firstLine="567"/>
        <w:rPr>
          <w:rFonts w:ascii="Arial" w:hAnsi="Arial" w:cs="Arial"/>
          <w:spacing w:val="-3"/>
          <w:sz w:val="18"/>
          <w:szCs w:val="18"/>
          <w:lang w:eastAsia="ar-SA"/>
        </w:rPr>
      </w:pPr>
      <w:r>
        <w:rPr>
          <w:rFonts w:ascii="Arial" w:hAnsi="Arial" w:cs="Arial"/>
          <w:spacing w:val="-3"/>
          <w:sz w:val="18"/>
          <w:szCs w:val="18"/>
          <w:lang w:eastAsia="ar-SA"/>
        </w:rPr>
        <w:t>Należy stosować środki adhezyjne, dla których Wykonawca udokumentuje przydatność do stosowania w budownictwie drogowym. Pochodzenie, rodzaj i cechy środka adhezyjnego mają być deklarowane przez producenta.</w:t>
      </w:r>
    </w:p>
    <w:p w14:paraId="02C7843A" w14:textId="77777777" w:rsidR="005E0BE2" w:rsidRDefault="005E0BE2">
      <w:pPr>
        <w:suppressAutoHyphens/>
        <w:rPr>
          <w:rFonts w:ascii="Arial" w:hAnsi="Arial" w:cs="Arial"/>
          <w:spacing w:val="-3"/>
          <w:sz w:val="18"/>
          <w:szCs w:val="18"/>
          <w:lang w:eastAsia="ar-SA"/>
        </w:rPr>
      </w:pPr>
    </w:p>
    <w:p w14:paraId="3B28534D"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2.3. Materiały do uszczelnienia krawędzi i połączeń</w:t>
      </w:r>
    </w:p>
    <w:p w14:paraId="15108D97"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Do uszczelnienia krawędzi warstwy asfaltowej należy stosować gorący asfalt drogowy np. taki jak użyty do produkcji mieszanki mineralno-asfaltowej.</w:t>
      </w:r>
    </w:p>
    <w:p w14:paraId="37149174" w14:textId="77777777" w:rsidR="005E0BE2" w:rsidRDefault="006A6BD4">
      <w:pPr>
        <w:tabs>
          <w:tab w:val="left" w:pos="1134"/>
        </w:tabs>
        <w:ind w:firstLine="567"/>
        <w:rPr>
          <w:rFonts w:ascii="Arial" w:hAnsi="Arial" w:cs="Arial"/>
          <w:spacing w:val="-3"/>
          <w:sz w:val="18"/>
          <w:szCs w:val="18"/>
        </w:rPr>
      </w:pPr>
      <w:r>
        <w:rPr>
          <w:rFonts w:ascii="Arial" w:hAnsi="Arial" w:cs="Arial"/>
          <w:spacing w:val="-3"/>
          <w:sz w:val="18"/>
          <w:szCs w:val="18"/>
        </w:rPr>
        <w:t>Do uszczelnienia połączeń technologicznych (złącza podłużne i poprzeczne) należy stosować elastyczne taśmy bitumiczne lub pasty asfaltowe, spełniające wymagania WT-2 cz. II 2016 Tabela 10, 11 i 12.</w:t>
      </w:r>
    </w:p>
    <w:p w14:paraId="2B1CE070" w14:textId="77777777" w:rsidR="005E0BE2" w:rsidRDefault="006A6BD4">
      <w:pPr>
        <w:tabs>
          <w:tab w:val="left" w:pos="1134"/>
        </w:tabs>
        <w:ind w:firstLine="567"/>
        <w:jc w:val="both"/>
        <w:rPr>
          <w:rFonts w:ascii="Arial" w:hAnsi="Arial" w:cs="Arial"/>
          <w:spacing w:val="-3"/>
          <w:sz w:val="18"/>
          <w:szCs w:val="18"/>
        </w:rPr>
      </w:pPr>
      <w:r>
        <w:rPr>
          <w:rFonts w:ascii="Arial" w:hAnsi="Arial" w:cs="Arial"/>
          <w:spacing w:val="-3"/>
          <w:sz w:val="18"/>
          <w:szCs w:val="18"/>
        </w:rPr>
        <w:t>Wszystkie stosowane materiały powinny spełniać wymagania odpowiednich norm lub Aprobat Technicznych.</w:t>
      </w:r>
    </w:p>
    <w:p w14:paraId="0DDB059A" w14:textId="77777777" w:rsidR="005E0BE2" w:rsidRDefault="005E0BE2">
      <w:pPr>
        <w:suppressAutoHyphens/>
        <w:jc w:val="both"/>
        <w:rPr>
          <w:rFonts w:ascii="Arial" w:hAnsi="Arial" w:cs="Arial"/>
          <w:sz w:val="18"/>
          <w:szCs w:val="18"/>
          <w:lang w:eastAsia="ar-SA"/>
        </w:rPr>
      </w:pPr>
    </w:p>
    <w:p w14:paraId="2672A16A" w14:textId="77777777" w:rsidR="005E0BE2" w:rsidRDefault="006A6BD4">
      <w:pPr>
        <w:suppressAutoHyphens/>
        <w:spacing w:after="60"/>
        <w:jc w:val="both"/>
        <w:rPr>
          <w:rFonts w:ascii="Arial" w:hAnsi="Arial" w:cs="Arial"/>
          <w:b/>
          <w:spacing w:val="-3"/>
          <w:sz w:val="18"/>
          <w:szCs w:val="18"/>
          <w:lang w:eastAsia="ar-SA"/>
        </w:rPr>
      </w:pPr>
      <w:r>
        <w:rPr>
          <w:rFonts w:ascii="Arial" w:hAnsi="Arial" w:cs="Arial"/>
          <w:b/>
          <w:spacing w:val="-3"/>
          <w:sz w:val="18"/>
          <w:szCs w:val="18"/>
          <w:lang w:eastAsia="ar-SA"/>
        </w:rPr>
        <w:t xml:space="preserve">2.4. Materiały do skropienia podłoża </w:t>
      </w:r>
    </w:p>
    <w:p w14:paraId="16A72964" w14:textId="77777777" w:rsidR="005E0BE2" w:rsidRDefault="006A6BD4">
      <w:pPr>
        <w:suppressAutoHyphens/>
        <w:ind w:firstLine="567"/>
        <w:jc w:val="both"/>
        <w:rPr>
          <w:rFonts w:ascii="Arial" w:hAnsi="Arial" w:cs="Arial"/>
          <w:b/>
          <w:sz w:val="18"/>
          <w:szCs w:val="18"/>
          <w:lang w:eastAsia="ar-SA"/>
        </w:rPr>
      </w:pPr>
      <w:r>
        <w:rPr>
          <w:rFonts w:ascii="Arial" w:hAnsi="Arial" w:cs="Arial"/>
          <w:spacing w:val="-3"/>
          <w:sz w:val="18"/>
          <w:szCs w:val="18"/>
          <w:lang w:eastAsia="ar-SA"/>
        </w:rPr>
        <w:t>Podłoże pod warstwę ścieralną (warstwa wiążąca) należy skropić emulsją asfaltową zgodnie z STWiORB D.04.03.01.</w:t>
      </w:r>
    </w:p>
    <w:p w14:paraId="25EB988D" w14:textId="77777777" w:rsidR="005E0BE2" w:rsidRDefault="005E0BE2">
      <w:pPr>
        <w:suppressAutoHyphens/>
        <w:jc w:val="both"/>
        <w:rPr>
          <w:rFonts w:ascii="Arial" w:hAnsi="Arial" w:cs="Arial"/>
          <w:sz w:val="18"/>
          <w:szCs w:val="18"/>
          <w:lang w:eastAsia="ar-SA"/>
        </w:rPr>
      </w:pPr>
    </w:p>
    <w:p w14:paraId="5A482E0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2.5. Dostawy materiałów</w:t>
      </w:r>
    </w:p>
    <w:p w14:paraId="1E1B27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 dostawy materiałów odpowiedzialny jest Wykonawca Robót zgodnie z ustaleniami określonymi w STWiORB  D-00.00.00 „Wymagania ogólne”. </w:t>
      </w:r>
    </w:p>
    <w:p w14:paraId="12B9BDC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obowiązku Wykonawcy należy takie zorganizowanie dostaw materiałów do wytwarzania mieszanki betonu asfaltowego, aby zapewnić zapas materiałów kruszywowych.</w:t>
      </w:r>
    </w:p>
    <w:p w14:paraId="7AB1BD5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Każda dostawa asfaltu, kruszywa i wypełniacza musi być zaopatrzona w deklarację zgodności, potwierdzającą spełnienie wymagań podanych w pkt. 2, o treści według Rozporządzenia Ministra Infrastruktury z dn. 11 sierpnia 2004, wydaną przez dostawcę.</w:t>
      </w:r>
    </w:p>
    <w:p w14:paraId="0FB911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musi deklarować przydatność wszystkich materiałów budowlanych stosowanych do wykonania nawierzchni asfaltowej zgodnie z ZKP (Zakładowa Kontrola Produkcji)</w:t>
      </w:r>
    </w:p>
    <w:p w14:paraId="49CF781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wypadku zmiany rodzaju i właściwości materiałów budowlanych należy ponownie wykazać ich przydatność do przewidywanego celu.</w:t>
      </w:r>
    </w:p>
    <w:p w14:paraId="373EBA76" w14:textId="77777777" w:rsidR="005E0BE2" w:rsidRDefault="005E0BE2">
      <w:pPr>
        <w:suppressAutoHyphens/>
        <w:jc w:val="both"/>
        <w:rPr>
          <w:rFonts w:ascii="Arial" w:hAnsi="Arial" w:cs="Arial"/>
          <w:b/>
          <w:sz w:val="18"/>
          <w:szCs w:val="18"/>
          <w:lang w:eastAsia="ar-SA"/>
        </w:rPr>
      </w:pPr>
    </w:p>
    <w:p w14:paraId="7C840B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 Składowanie materiałów</w:t>
      </w:r>
    </w:p>
    <w:p w14:paraId="70C83D0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2.6.1. Składowanie kruszywa</w:t>
      </w:r>
    </w:p>
    <w:p w14:paraId="4CDA3F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powinno być składowane na utwardzonym placu, przygotowanym w taki sposób aby uniemożliwić mieszanie z gruntem lub materiałem, którym utwardzono podłoże. </w:t>
      </w:r>
    </w:p>
    <w:p w14:paraId="6BC8210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Poszczególne frakcje należy gromadzić w opisanych zasiekach lub w sposób uniemożliwiający mieszanie poszczególnych frakcji.</w:t>
      </w:r>
    </w:p>
    <w:p w14:paraId="77A93C46" w14:textId="77777777" w:rsidR="005E0BE2" w:rsidRDefault="005E0BE2">
      <w:pPr>
        <w:suppressAutoHyphens/>
        <w:jc w:val="both"/>
        <w:rPr>
          <w:rFonts w:ascii="Arial" w:hAnsi="Arial" w:cs="Arial"/>
          <w:sz w:val="18"/>
          <w:szCs w:val="18"/>
          <w:lang w:eastAsia="ar-SA"/>
        </w:rPr>
      </w:pPr>
    </w:p>
    <w:p w14:paraId="327A452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2.6.2. Składowanie wypełniacza</w:t>
      </w:r>
    </w:p>
    <w:p w14:paraId="17BB25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Wypełniacz należy składować w silosach wyposażonych w urządzenia do aeracji.</w:t>
      </w:r>
    </w:p>
    <w:p w14:paraId="01950581" w14:textId="77777777" w:rsidR="005E0BE2" w:rsidRDefault="005E0BE2">
      <w:pPr>
        <w:suppressAutoHyphens/>
        <w:jc w:val="both"/>
        <w:rPr>
          <w:rFonts w:ascii="Arial" w:hAnsi="Arial" w:cs="Arial"/>
          <w:sz w:val="18"/>
          <w:szCs w:val="18"/>
          <w:lang w:eastAsia="ar-SA"/>
        </w:rPr>
      </w:pPr>
    </w:p>
    <w:p w14:paraId="4D00D9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2.6.3. Składowanie asfaltu</w:t>
      </w:r>
    </w:p>
    <w:p w14:paraId="34A4700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Asfalt powinien być składowany w zbiornikach, których konstrukcja i użyte do ich wykonania materiały wykluczają możliwość zanieczyszczenia asfaltu. Zbiorniki powinny być wyposażone w automatycznie sterowane urządzenia grzewcze  - olejowe, parowe lub elektryczne. </w:t>
      </w:r>
    </w:p>
    <w:p w14:paraId="236A4C6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Nie dopuszcza się ogrzewania asfaltu otwartym ogniem. Zbiornik roboczy otaczarki powinien być izolowany termicznie, posiadać automatyczny system grzewczy zdolny do utrzymania zadanej temperatury z tolerancją ± 5</w:t>
      </w:r>
      <w:r>
        <w:rPr>
          <w:rFonts w:ascii="Arial" w:hAnsi="Arial" w:cs="Arial"/>
          <w:sz w:val="18"/>
          <w:szCs w:val="18"/>
          <w:vertAlign w:val="superscript"/>
          <w:lang w:eastAsia="ar-SA"/>
        </w:rPr>
        <w:t>o</w:t>
      </w:r>
      <w:r>
        <w:rPr>
          <w:rFonts w:ascii="Arial" w:hAnsi="Arial" w:cs="Arial"/>
          <w:sz w:val="18"/>
          <w:szCs w:val="18"/>
          <w:lang w:eastAsia="ar-SA"/>
        </w:rPr>
        <w:t>C oraz posiadać układ cyrkulacji asfaltu. Wylot rury powrotnej powinien znajdować się w zbiorniku poniżej zwierciadła gorącego asfaltu.</w:t>
      </w:r>
    </w:p>
    <w:p w14:paraId="4002D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zbiorniku magazynowym temperatura asfaltu nie może przekroczyć dla asfaltu 50/70    –   180</w:t>
      </w:r>
      <w:r>
        <w:rPr>
          <w:rFonts w:ascii="Arial" w:hAnsi="Arial" w:cs="Arial"/>
          <w:sz w:val="18"/>
          <w:szCs w:val="18"/>
          <w:vertAlign w:val="superscript"/>
          <w:lang w:eastAsia="ar-SA"/>
        </w:rPr>
        <w:t>0</w:t>
      </w:r>
      <w:r>
        <w:rPr>
          <w:rFonts w:ascii="Arial" w:hAnsi="Arial" w:cs="Arial"/>
          <w:sz w:val="18"/>
          <w:szCs w:val="18"/>
          <w:lang w:eastAsia="ar-SA"/>
        </w:rPr>
        <w:t>C.</w:t>
      </w:r>
    </w:p>
    <w:p w14:paraId="492EB7BC" w14:textId="77777777" w:rsidR="005E0BE2" w:rsidRDefault="005E0BE2">
      <w:pPr>
        <w:suppressAutoHyphens/>
        <w:ind w:firstLine="567"/>
        <w:jc w:val="both"/>
        <w:rPr>
          <w:rFonts w:ascii="Arial" w:hAnsi="Arial" w:cs="Arial"/>
          <w:sz w:val="18"/>
          <w:szCs w:val="18"/>
          <w:lang w:eastAsia="ar-SA"/>
        </w:rPr>
      </w:pPr>
    </w:p>
    <w:p w14:paraId="204B8363"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lastRenderedPageBreak/>
        <w:t>2.6.4. Składowanie emulsji</w:t>
      </w:r>
    </w:p>
    <w:p w14:paraId="0BFC2983"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Warunki przechowywania emulsji nie mogą powodować utraty jej cech i obniżenia jakości. Przechowywanie i transport emulsji powinien być zgodny z zaleceniami producenta. </w:t>
      </w:r>
    </w:p>
    <w:p w14:paraId="63D13113" w14:textId="77777777" w:rsidR="005E0BE2" w:rsidRDefault="005E0BE2">
      <w:pPr>
        <w:suppressAutoHyphens/>
        <w:jc w:val="both"/>
        <w:rPr>
          <w:rFonts w:ascii="Arial" w:hAnsi="Arial" w:cs="Arial"/>
          <w:b/>
          <w:sz w:val="18"/>
          <w:szCs w:val="18"/>
          <w:lang w:eastAsia="ar-SA"/>
        </w:rPr>
      </w:pPr>
    </w:p>
    <w:p w14:paraId="6B547F5D" w14:textId="77777777" w:rsidR="005E0BE2" w:rsidRDefault="005E0BE2">
      <w:pPr>
        <w:suppressAutoHyphens/>
        <w:jc w:val="both"/>
        <w:rPr>
          <w:rFonts w:ascii="Arial" w:hAnsi="Arial" w:cs="Arial"/>
          <w:b/>
          <w:sz w:val="18"/>
          <w:szCs w:val="18"/>
          <w:lang w:eastAsia="ar-SA"/>
        </w:rPr>
      </w:pPr>
    </w:p>
    <w:p w14:paraId="23A70E58" w14:textId="77777777" w:rsidR="005E0BE2" w:rsidRDefault="006A6BD4">
      <w:pPr>
        <w:suppressAutoHyphens/>
        <w:spacing w:after="120"/>
        <w:jc w:val="center"/>
        <w:rPr>
          <w:rFonts w:ascii="Arial" w:hAnsi="Arial" w:cs="Arial"/>
          <w:b/>
          <w:lang w:eastAsia="ar-SA"/>
        </w:rPr>
      </w:pPr>
      <w:r>
        <w:rPr>
          <w:rFonts w:ascii="Arial" w:hAnsi="Arial" w:cs="Arial"/>
          <w:b/>
          <w:lang w:eastAsia="ar-SA"/>
        </w:rPr>
        <w:t>3. SPRZĘT</w:t>
      </w:r>
    </w:p>
    <w:p w14:paraId="5ADE0DAC"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 xml:space="preserve">3.1.     Ogólne wymagania </w:t>
      </w:r>
    </w:p>
    <w:p w14:paraId="13BF792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sprzętu podano w STWiORB D-00.00.00 „Wymagania ogólne” pkt. 3.</w:t>
      </w:r>
    </w:p>
    <w:p w14:paraId="33983F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wykonania robót Inspektor Nadzoru sprawdzi zgodność przedstawionej przez Wykonawcę propozycji sprzętowej z wymaganiami STWiORB.  </w:t>
      </w:r>
    </w:p>
    <w:p w14:paraId="72D6C192" w14:textId="77777777" w:rsidR="005E0BE2" w:rsidRDefault="005E0BE2">
      <w:pPr>
        <w:suppressAutoHyphens/>
        <w:jc w:val="both"/>
        <w:rPr>
          <w:rFonts w:ascii="Arial" w:hAnsi="Arial" w:cs="Arial"/>
          <w:sz w:val="18"/>
          <w:szCs w:val="18"/>
          <w:lang w:eastAsia="ar-SA"/>
        </w:rPr>
      </w:pPr>
    </w:p>
    <w:p w14:paraId="33CCF86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3.2.     Sprzęt do wyprodukowania mieszanki mineralno-asfaltowej </w:t>
      </w:r>
    </w:p>
    <w:p w14:paraId="59622C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produkowana w wytwórni (otaczarce) o mieszaniu cyklicznym lub ciągłym, sterowanej komputerem, wyposażonej w izolowany termicznie silos gotowej mieszanki o pojemności nie mniejszej niż połowa wydajności godzinowej. </w:t>
      </w:r>
    </w:p>
    <w:p w14:paraId="264C8DF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Wydajność WMA powinna być dostosowana do wielkości robót. Na WMA musi być wdrożony certyfikowany system ZKP, zgodnie z wymaganiami PN-EN 13108-21.</w:t>
      </w:r>
    </w:p>
    <w:p w14:paraId="61EE9C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Dozowanie składników mieszanki mineralno-asfaltowej powinno być wagowe. Odchyłki masy dozowanych składników (w stosunku do masy poszczególnych składników </w:t>
      </w:r>
      <w:proofErr w:type="spellStart"/>
      <w:r>
        <w:rPr>
          <w:rFonts w:ascii="Arial" w:hAnsi="Arial" w:cs="Arial"/>
          <w:sz w:val="18"/>
          <w:szCs w:val="18"/>
          <w:lang w:eastAsia="ar-SA"/>
        </w:rPr>
        <w:t>zarobu</w:t>
      </w:r>
      <w:proofErr w:type="spellEnd"/>
      <w:r>
        <w:rPr>
          <w:rFonts w:ascii="Arial" w:hAnsi="Arial" w:cs="Arial"/>
          <w:sz w:val="18"/>
          <w:szCs w:val="18"/>
          <w:lang w:eastAsia="ar-SA"/>
        </w:rPr>
        <w:t>) nie powinny być większe od ± 2 %.</w:t>
      </w:r>
    </w:p>
    <w:p w14:paraId="1A0582B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Wytwórnia Mas Asfaltowych powinna być odebrana przez Inspektora Nadzoru.</w:t>
      </w:r>
    </w:p>
    <w:p w14:paraId="60755111" w14:textId="77777777" w:rsidR="005E0BE2" w:rsidRDefault="005E0BE2">
      <w:pPr>
        <w:suppressAutoHyphens/>
        <w:jc w:val="both"/>
        <w:rPr>
          <w:rFonts w:ascii="Arial" w:hAnsi="Arial" w:cs="Arial"/>
          <w:b/>
          <w:sz w:val="18"/>
          <w:szCs w:val="18"/>
          <w:lang w:eastAsia="ar-SA"/>
        </w:rPr>
      </w:pPr>
    </w:p>
    <w:p w14:paraId="0FB3F32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3.3.     Sprzęt do układania mieszanki mineralno-asfaltowej</w:t>
      </w:r>
    </w:p>
    <w:p w14:paraId="05843AA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Układanie mieszanki powinno odbywać się możliwie największą szerokością, przy użyciu mechanicznej układarki do układania mieszanki mineralno-asfaltowej typu zagęszczanego lub zespołem układarek pracujących równolegle z przesunięciem roboczym umożliwiającym ułożenie stykających się warstw asfaltowych na gorąco, posiadającej następujące urządzenia:</w:t>
      </w:r>
    </w:p>
    <w:p w14:paraId="3CCAA21C"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automatyczne sterowanie pozwalające na ułożenie warstwy zgodnie z założoną niweletą i grubością,</w:t>
      </w:r>
    </w:p>
    <w:p w14:paraId="44B9E1AA"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płytę wibracyjną do wstępnego zagęszczenia mieszanki,</w:t>
      </w:r>
    </w:p>
    <w:p w14:paraId="2A131A44" w14:textId="77777777" w:rsidR="005E0BE2" w:rsidRDefault="006A6BD4">
      <w:pPr>
        <w:numPr>
          <w:ilvl w:val="0"/>
          <w:numId w:val="29"/>
        </w:numPr>
        <w:tabs>
          <w:tab w:val="left" w:pos="284"/>
        </w:tabs>
        <w:suppressAutoHyphens/>
        <w:jc w:val="both"/>
        <w:rPr>
          <w:rFonts w:ascii="Arial" w:hAnsi="Arial" w:cs="Arial"/>
          <w:sz w:val="18"/>
          <w:szCs w:val="18"/>
          <w:lang w:eastAsia="ar-SA"/>
        </w:rPr>
      </w:pPr>
      <w:r>
        <w:rPr>
          <w:rFonts w:ascii="Arial" w:hAnsi="Arial" w:cs="Arial"/>
          <w:sz w:val="18"/>
          <w:szCs w:val="18"/>
          <w:lang w:eastAsia="ar-SA"/>
        </w:rPr>
        <w:t>urządzenia do podgrzewania płyty wibracyjnej.</w:t>
      </w:r>
    </w:p>
    <w:p w14:paraId="39E35E92" w14:textId="77777777" w:rsidR="005E0BE2" w:rsidRDefault="005E0BE2">
      <w:pPr>
        <w:suppressAutoHyphens/>
        <w:jc w:val="both"/>
        <w:rPr>
          <w:rFonts w:ascii="Arial" w:hAnsi="Arial" w:cs="Arial"/>
          <w:sz w:val="18"/>
          <w:szCs w:val="18"/>
          <w:lang w:eastAsia="ar-SA"/>
        </w:rPr>
      </w:pPr>
    </w:p>
    <w:p w14:paraId="62AFE5E6"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3.4.     Sprzęt do zagęszczania mieszanki mineralno-asfaltowej</w:t>
      </w:r>
    </w:p>
    <w:p w14:paraId="111380C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Należy stosować, właściwe do rodzaju mieszanki mineralno-asfaltowej, walce stalowe wibracyjne gładkie średnie i ciężkie, ogumione ciężkie o regulowanym ciśnieniu w oponach. </w:t>
      </w:r>
    </w:p>
    <w:p w14:paraId="343EF136" w14:textId="77777777" w:rsidR="005E0BE2" w:rsidRDefault="005E0BE2">
      <w:pPr>
        <w:suppressAutoHyphens/>
        <w:jc w:val="both"/>
        <w:rPr>
          <w:rFonts w:ascii="Arial" w:hAnsi="Arial" w:cs="Arial"/>
          <w:b/>
          <w:sz w:val="18"/>
          <w:szCs w:val="18"/>
          <w:lang w:eastAsia="ar-SA"/>
        </w:rPr>
      </w:pPr>
    </w:p>
    <w:p w14:paraId="6DB8659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3.5.</w:t>
      </w:r>
      <w:r>
        <w:rPr>
          <w:rFonts w:ascii="Arial" w:hAnsi="Arial" w:cs="Arial"/>
          <w:sz w:val="18"/>
          <w:szCs w:val="18"/>
          <w:lang w:eastAsia="ar-SA"/>
        </w:rPr>
        <w:t xml:space="preserve">     </w:t>
      </w:r>
      <w:r>
        <w:rPr>
          <w:rFonts w:ascii="Arial" w:hAnsi="Arial" w:cs="Arial"/>
          <w:b/>
          <w:sz w:val="18"/>
          <w:szCs w:val="18"/>
          <w:lang w:eastAsia="ar-SA"/>
        </w:rPr>
        <w:t>Sprzęt do oczyszczenia warstw nawierzchni</w:t>
      </w:r>
    </w:p>
    <w:p w14:paraId="561DCB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oczyszczania warstw nawierzchni należy stosować szczotki mechaniczne. Zaleca się użycie urządzeń dwuszczotkowych. </w:t>
      </w:r>
    </w:p>
    <w:p w14:paraId="5005E4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Pierwsza ze szczotek powinna być wykonana z twardych elementów czyszczących i służyć do zdrapywania oraz usuwania zanieczyszczeń przylegających do czyszczonej warstwy. </w:t>
      </w:r>
    </w:p>
    <w:p w14:paraId="0D0FD85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Druga szczotka powinna posiadać miękkie elementy czyszczące i służyć do zamiatania. </w:t>
      </w:r>
    </w:p>
    <w:p w14:paraId="33EA247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używanie szczotek wyposażonych w urządzenia odpylające.</w:t>
      </w:r>
    </w:p>
    <w:p w14:paraId="3886CEC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Sprzęt pomocniczy:</w:t>
      </w:r>
    </w:p>
    <w:p w14:paraId="26B7ED22"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sprężarki,</w:t>
      </w:r>
    </w:p>
    <w:p w14:paraId="7910EB58"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zbiorniki z wodą,</w:t>
      </w:r>
    </w:p>
    <w:p w14:paraId="19217F70" w14:textId="77777777" w:rsidR="005E0BE2" w:rsidRDefault="006A6BD4">
      <w:pPr>
        <w:pStyle w:val="Akapitzlist"/>
        <w:numPr>
          <w:ilvl w:val="0"/>
          <w:numId w:val="30"/>
        </w:numPr>
        <w:suppressAutoHyphens/>
        <w:ind w:left="284" w:hanging="284"/>
        <w:rPr>
          <w:rFonts w:ascii="Arial" w:hAnsi="Arial" w:cs="Arial"/>
          <w:sz w:val="18"/>
          <w:szCs w:val="18"/>
          <w:lang w:eastAsia="ar-SA"/>
        </w:rPr>
      </w:pPr>
      <w:r>
        <w:rPr>
          <w:rFonts w:ascii="Arial" w:hAnsi="Arial" w:cs="Arial"/>
          <w:sz w:val="18"/>
          <w:szCs w:val="18"/>
          <w:lang w:eastAsia="ar-SA"/>
        </w:rPr>
        <w:t>szczotki ręczne.</w:t>
      </w:r>
    </w:p>
    <w:p w14:paraId="3522B7E4" w14:textId="77777777" w:rsidR="005E0BE2" w:rsidRDefault="005E0BE2">
      <w:pPr>
        <w:suppressAutoHyphens/>
        <w:rPr>
          <w:rFonts w:ascii="Arial" w:hAnsi="Arial" w:cs="Arial"/>
          <w:sz w:val="18"/>
          <w:szCs w:val="18"/>
          <w:lang w:eastAsia="ar-SA"/>
        </w:rPr>
      </w:pPr>
    </w:p>
    <w:p w14:paraId="0FF57541" w14:textId="77777777" w:rsidR="005E0BE2" w:rsidRDefault="006A6BD4">
      <w:pPr>
        <w:suppressAutoHyphens/>
        <w:spacing w:after="60"/>
        <w:rPr>
          <w:rFonts w:ascii="Arial" w:hAnsi="Arial" w:cs="Arial"/>
          <w:b/>
          <w:sz w:val="18"/>
          <w:szCs w:val="18"/>
          <w:lang w:eastAsia="ar-SA"/>
        </w:rPr>
      </w:pPr>
      <w:r>
        <w:rPr>
          <w:rFonts w:ascii="Arial" w:hAnsi="Arial" w:cs="Arial"/>
          <w:b/>
          <w:sz w:val="18"/>
          <w:szCs w:val="18"/>
          <w:lang w:eastAsia="ar-SA"/>
        </w:rPr>
        <w:t xml:space="preserve">3.6.    </w:t>
      </w:r>
      <w:r>
        <w:rPr>
          <w:rFonts w:ascii="Arial" w:hAnsi="Arial" w:cs="Arial"/>
          <w:sz w:val="18"/>
          <w:szCs w:val="18"/>
          <w:lang w:eastAsia="ar-SA"/>
        </w:rPr>
        <w:t xml:space="preserve"> </w:t>
      </w:r>
      <w:r>
        <w:rPr>
          <w:rFonts w:ascii="Arial" w:hAnsi="Arial" w:cs="Arial"/>
          <w:b/>
          <w:sz w:val="18"/>
          <w:szCs w:val="18"/>
          <w:lang w:eastAsia="ar-SA"/>
        </w:rPr>
        <w:t>Sprzęt do skrapiania warstw nawierzchni</w:t>
      </w:r>
    </w:p>
    <w:p w14:paraId="56A006C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skrapiania warstw nawierzchni należy używać skrapiarkę lepiszcza wyposażoną dodatkowo w lancę do ręcznego spryskiwania. Skrapiarka powinna być wyposażona w urządzenia pomiarowo-kontrolne pozwalające na sprawdzanie i regulowanie następujących parametrów:</w:t>
      </w:r>
    </w:p>
    <w:p w14:paraId="54308A55"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temperatury rozkładanego lepiszcza,</w:t>
      </w:r>
    </w:p>
    <w:p w14:paraId="6537C5C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ciśnienia lepiszcza w kolektorze,</w:t>
      </w:r>
    </w:p>
    <w:p w14:paraId="27AA6604"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obrotów pompy dozującej lepiszcze,</w:t>
      </w:r>
    </w:p>
    <w:p w14:paraId="4F186651"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prędkości poruszania się skrapiarki,</w:t>
      </w:r>
    </w:p>
    <w:p w14:paraId="761A1A79" w14:textId="77777777" w:rsidR="005E0BE2" w:rsidRDefault="006A6BD4">
      <w:pPr>
        <w:widowControl w:val="0"/>
        <w:numPr>
          <w:ilvl w:val="0"/>
          <w:numId w:val="31"/>
        </w:numPr>
        <w:suppressAutoHyphens/>
        <w:ind w:left="284" w:hanging="284"/>
        <w:jc w:val="both"/>
        <w:rPr>
          <w:rFonts w:ascii="Arial" w:hAnsi="Arial" w:cs="Arial"/>
          <w:sz w:val="18"/>
          <w:szCs w:val="18"/>
          <w:lang w:eastAsia="ar-SA"/>
        </w:rPr>
      </w:pPr>
      <w:r>
        <w:rPr>
          <w:rFonts w:ascii="Arial" w:hAnsi="Arial" w:cs="Arial"/>
          <w:sz w:val="18"/>
          <w:szCs w:val="18"/>
          <w:lang w:eastAsia="ar-SA"/>
        </w:rPr>
        <w:t>ilości lepiszcza.</w:t>
      </w:r>
    </w:p>
    <w:p w14:paraId="627687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Zbiornik na lepiszcze skrapiarki powinien być izolowany termicznie, tak aby było możliwe zachowanie stałej temperatury lepiszcza.</w:t>
      </w:r>
    </w:p>
    <w:p w14:paraId="782A9124"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Skrapiarka powinna zapewnić rozkładanie lepiszcza z tolerancją </w:t>
      </w:r>
      <w:r>
        <w:rPr>
          <w:rFonts w:ascii="Arial" w:hAnsi="Arial" w:cs="Arial"/>
          <w:sz w:val="18"/>
          <w:szCs w:val="18"/>
          <w:u w:val="single"/>
          <w:lang w:eastAsia="ar-SA"/>
        </w:rPr>
        <w:t>+</w:t>
      </w:r>
      <w:r>
        <w:rPr>
          <w:rFonts w:ascii="Arial" w:hAnsi="Arial" w:cs="Arial"/>
          <w:sz w:val="18"/>
          <w:szCs w:val="18"/>
          <w:lang w:eastAsia="ar-SA"/>
        </w:rPr>
        <w:t xml:space="preserve">10 % od ilości założonej. </w:t>
      </w:r>
    </w:p>
    <w:p w14:paraId="140F0CF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miejscach trudnodostępnych należy stosować końcówkę (lancę) połączoną ze skrapiarką do ręcznego skropienia.</w:t>
      </w:r>
    </w:p>
    <w:p w14:paraId="20710F03" w14:textId="77777777" w:rsidR="005E0BE2" w:rsidRDefault="005E0BE2">
      <w:pPr>
        <w:suppressAutoHyphens/>
        <w:jc w:val="both"/>
        <w:rPr>
          <w:rFonts w:ascii="Arial" w:hAnsi="Arial" w:cs="Arial"/>
          <w:b/>
          <w:sz w:val="18"/>
          <w:szCs w:val="18"/>
          <w:lang w:eastAsia="ar-SA"/>
        </w:rPr>
      </w:pPr>
    </w:p>
    <w:p w14:paraId="2C59B12B" w14:textId="77777777" w:rsidR="005E0BE2" w:rsidRDefault="005E0BE2">
      <w:pPr>
        <w:suppressAutoHyphens/>
        <w:jc w:val="both"/>
        <w:rPr>
          <w:rFonts w:ascii="Arial" w:hAnsi="Arial" w:cs="Arial"/>
          <w:b/>
          <w:sz w:val="18"/>
          <w:szCs w:val="18"/>
          <w:lang w:eastAsia="ar-SA"/>
        </w:rPr>
      </w:pPr>
    </w:p>
    <w:p w14:paraId="07EE989D" w14:textId="77777777" w:rsidR="005E0BE2" w:rsidRDefault="006A6BD4">
      <w:pPr>
        <w:suppressAutoHyphens/>
        <w:spacing w:after="120"/>
        <w:jc w:val="center"/>
        <w:rPr>
          <w:rFonts w:ascii="Arial" w:hAnsi="Arial" w:cs="Arial"/>
          <w:b/>
          <w:lang w:eastAsia="ar-SA"/>
        </w:rPr>
      </w:pPr>
      <w:r>
        <w:rPr>
          <w:rFonts w:ascii="Arial" w:hAnsi="Arial" w:cs="Arial"/>
          <w:b/>
          <w:lang w:eastAsia="ar-SA"/>
        </w:rPr>
        <w:t>4. TRANSPORT</w:t>
      </w:r>
    </w:p>
    <w:p w14:paraId="67617847" w14:textId="77777777" w:rsidR="005E0BE2" w:rsidRDefault="006A6BD4">
      <w:pPr>
        <w:suppressAutoHyphens/>
        <w:spacing w:after="60"/>
        <w:ind w:left="567" w:hanging="567"/>
        <w:jc w:val="both"/>
        <w:rPr>
          <w:rFonts w:ascii="Arial" w:hAnsi="Arial" w:cs="Arial"/>
          <w:b/>
          <w:sz w:val="18"/>
          <w:szCs w:val="18"/>
          <w:lang w:eastAsia="ar-SA"/>
        </w:rPr>
      </w:pPr>
      <w:r>
        <w:rPr>
          <w:rFonts w:ascii="Arial" w:hAnsi="Arial" w:cs="Arial"/>
          <w:b/>
          <w:sz w:val="18"/>
          <w:szCs w:val="18"/>
          <w:lang w:eastAsia="ar-SA"/>
        </w:rPr>
        <w:t>4.1.     Ogólne wymagania</w:t>
      </w:r>
    </w:p>
    <w:p w14:paraId="2150334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wymagania dotyczące transportu podano w STWiORB D-M.00.00.00 „Wymagania ogólne” pkt. 4.</w:t>
      </w:r>
    </w:p>
    <w:p w14:paraId="1CCD0650" w14:textId="77777777" w:rsidR="005E0BE2" w:rsidRDefault="005E0BE2">
      <w:pPr>
        <w:suppressAutoHyphens/>
        <w:jc w:val="both"/>
        <w:rPr>
          <w:rFonts w:ascii="Arial" w:hAnsi="Arial" w:cs="Arial"/>
          <w:sz w:val="18"/>
          <w:szCs w:val="18"/>
          <w:lang w:eastAsia="ar-SA"/>
        </w:rPr>
      </w:pPr>
    </w:p>
    <w:p w14:paraId="0077EFC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4.2.     Transport kruszywa</w:t>
      </w:r>
    </w:p>
    <w:p w14:paraId="1436481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Kruszywo można przewozić dowolnymi środkami transportu, w warunkach zabezpieczających je przed zanieczyszczeniem i zmieszaniem z innymi rodzajami lub frakcjami. </w:t>
      </w:r>
    </w:p>
    <w:p w14:paraId="01774C1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Drobne frakcje powinny być przewożone pod przykryciem, w celu uniknięcia wywiewania lub nadmiernego zawilgocenia materiału podczas transportu.</w:t>
      </w:r>
    </w:p>
    <w:p w14:paraId="58AE7E6F" w14:textId="77777777" w:rsidR="005E0BE2" w:rsidRDefault="005E0BE2">
      <w:pPr>
        <w:suppressAutoHyphens/>
        <w:jc w:val="both"/>
        <w:rPr>
          <w:rFonts w:ascii="Arial" w:hAnsi="Arial" w:cs="Arial"/>
          <w:sz w:val="18"/>
          <w:szCs w:val="18"/>
          <w:lang w:eastAsia="ar-SA"/>
        </w:rPr>
      </w:pPr>
    </w:p>
    <w:p w14:paraId="39353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4.3.     Transport wypełniacza</w:t>
      </w:r>
    </w:p>
    <w:p w14:paraId="4AA6F8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Wypełniacz luzem należy przewozić w cysternach przystosowanych do przewozu materiałów sypkich, umożliwiających rozładunek pneumatyczny. </w:t>
      </w:r>
    </w:p>
    <w:p w14:paraId="02A9DA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czasie transportu oraz przeładunku, wypełniacz należy chronić przed zawilgoceniem, zbryleniem i zanieczyszczeniem.</w:t>
      </w:r>
    </w:p>
    <w:p w14:paraId="49310266" w14:textId="77777777" w:rsidR="005E0BE2" w:rsidRDefault="005E0BE2">
      <w:pPr>
        <w:suppressAutoHyphens/>
        <w:jc w:val="both"/>
        <w:rPr>
          <w:rFonts w:ascii="Arial" w:hAnsi="Arial" w:cs="Arial"/>
          <w:sz w:val="18"/>
          <w:szCs w:val="18"/>
          <w:lang w:eastAsia="ar-SA"/>
        </w:rPr>
      </w:pPr>
    </w:p>
    <w:p w14:paraId="7835D3FA"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4.4.     Transport asfaltu </w:t>
      </w:r>
    </w:p>
    <w:p w14:paraId="4412154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Asfalt należy przewozić izolowanymi termicznie cysternami, wyposażonymi w instalacje umożliwiające podłączenie cystern do urządzeń grzewczych lub wyposażonymi we własne urządzenia grzewcze.</w:t>
      </w:r>
    </w:p>
    <w:p w14:paraId="04C64D23" w14:textId="77777777" w:rsidR="005E0BE2" w:rsidRDefault="005E0BE2">
      <w:pPr>
        <w:suppressAutoHyphens/>
        <w:jc w:val="both"/>
        <w:rPr>
          <w:rFonts w:ascii="Arial" w:hAnsi="Arial" w:cs="Arial"/>
          <w:b/>
          <w:sz w:val="18"/>
          <w:szCs w:val="18"/>
          <w:lang w:eastAsia="ar-SA"/>
        </w:rPr>
      </w:pPr>
    </w:p>
    <w:p w14:paraId="4689E81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4.5.     Transport mieszanki mineralno-asfaltowej</w:t>
      </w:r>
    </w:p>
    <w:p w14:paraId="339AAD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Mieszankę mineralno-asfaltową należy przewozić pojazdami samowyładowczymi, wyposażonymi                    w plandeki do przykrywania mieszanki podczas transportu. </w:t>
      </w:r>
    </w:p>
    <w:p w14:paraId="50096D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Zaleca się stosowanie samochodów termosów. Powierzchnie skrzyń ładunkowych stosowanych do transportu mieszanki powinny być czyste, a do zwilżenia tych powierzchni można użyć tylko środki niewpływające szkodliwie na mieszanki mineralno-asfaltowe.</w:t>
      </w:r>
    </w:p>
    <w:p w14:paraId="14C7433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Transport powinien być tak zorganizowany, żeby samochody nie czekały na budowie na rozładunek,                a układanie mieszanki odbywało się płynnie. </w:t>
      </w:r>
    </w:p>
    <w:p w14:paraId="3B6B8A9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Czas przewozu i oczekiwania na wbudowanie powinien zapewnić utrzymanie temperatury mieszanki w wymaganym przedziale, pkt. 5.2.</w:t>
      </w:r>
    </w:p>
    <w:p w14:paraId="27AFF635" w14:textId="77777777" w:rsidR="005E0BE2" w:rsidRDefault="005E0BE2">
      <w:pPr>
        <w:suppressAutoHyphens/>
        <w:jc w:val="both"/>
        <w:rPr>
          <w:rFonts w:ascii="Arial" w:hAnsi="Arial" w:cs="Arial"/>
          <w:sz w:val="18"/>
          <w:szCs w:val="18"/>
          <w:lang w:eastAsia="ar-SA"/>
        </w:rPr>
      </w:pPr>
    </w:p>
    <w:p w14:paraId="248509B3" w14:textId="77777777" w:rsidR="005E0BE2" w:rsidRDefault="006A6BD4">
      <w:pPr>
        <w:suppressAutoHyphens/>
        <w:spacing w:after="60"/>
        <w:jc w:val="both"/>
        <w:rPr>
          <w:rFonts w:ascii="Arial" w:hAnsi="Arial" w:cs="Arial"/>
          <w:sz w:val="18"/>
          <w:szCs w:val="18"/>
          <w:lang w:eastAsia="ar-SA"/>
        </w:rPr>
      </w:pPr>
      <w:r>
        <w:rPr>
          <w:rFonts w:ascii="Arial" w:hAnsi="Arial" w:cs="Arial"/>
          <w:b/>
          <w:sz w:val="18"/>
          <w:szCs w:val="18"/>
          <w:lang w:eastAsia="ar-SA"/>
        </w:rPr>
        <w:t>4.6.     Transport emulsji</w:t>
      </w:r>
      <w:r>
        <w:rPr>
          <w:rFonts w:ascii="Arial" w:hAnsi="Arial" w:cs="Arial"/>
          <w:sz w:val="18"/>
          <w:szCs w:val="18"/>
          <w:lang w:eastAsia="ar-SA"/>
        </w:rPr>
        <w:tab/>
      </w:r>
    </w:p>
    <w:p w14:paraId="1ED1E59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Transport emulsji powinien odbywać się w cysternach samochodowych.</w:t>
      </w:r>
    </w:p>
    <w:p w14:paraId="756138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Dopuszcza się stosowanie beczek lub innych pojemników stalowych. Cysterny przeznaczone do przewozu emulsji powinny być przedzielone przegrodami, dzielącymi je na komory o pojemności nie większej niż 1m</w:t>
      </w:r>
      <w:r>
        <w:rPr>
          <w:rFonts w:ascii="Arial" w:hAnsi="Arial" w:cs="Arial"/>
          <w:sz w:val="18"/>
          <w:szCs w:val="18"/>
          <w:vertAlign w:val="superscript"/>
          <w:lang w:eastAsia="ar-SA"/>
        </w:rPr>
        <w:t>3</w:t>
      </w:r>
      <w:r>
        <w:rPr>
          <w:rFonts w:ascii="Arial" w:hAnsi="Arial" w:cs="Arial"/>
          <w:sz w:val="18"/>
          <w:szCs w:val="18"/>
          <w:lang w:eastAsia="ar-SA"/>
        </w:rPr>
        <w:t xml:space="preserve">, a każda przegroda powinna mieć wykroje umożliwiające przepływ emulsji. </w:t>
      </w:r>
    </w:p>
    <w:p w14:paraId="2DC2841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Cysterny, pojemniki i zbiorniki przeznaczone do transportu lub składowania emulsji powinny być czyste i nie powinny zawierać resztek innych lepiszczy.</w:t>
      </w:r>
    </w:p>
    <w:p w14:paraId="1A5303C3" w14:textId="77777777" w:rsidR="005E0BE2" w:rsidRDefault="005E0BE2">
      <w:pPr>
        <w:suppressAutoHyphens/>
        <w:jc w:val="both"/>
        <w:rPr>
          <w:rFonts w:ascii="Arial" w:hAnsi="Arial" w:cs="Arial"/>
          <w:b/>
          <w:sz w:val="18"/>
          <w:szCs w:val="18"/>
          <w:lang w:eastAsia="ar-SA"/>
        </w:rPr>
      </w:pPr>
    </w:p>
    <w:p w14:paraId="7DC3FE4B" w14:textId="77777777" w:rsidR="005E0BE2" w:rsidRDefault="005E0BE2">
      <w:pPr>
        <w:suppressAutoHyphens/>
        <w:jc w:val="both"/>
        <w:rPr>
          <w:rFonts w:ascii="Arial" w:hAnsi="Arial" w:cs="Arial"/>
          <w:b/>
          <w:sz w:val="18"/>
          <w:szCs w:val="18"/>
          <w:lang w:eastAsia="ar-SA"/>
        </w:rPr>
      </w:pPr>
    </w:p>
    <w:p w14:paraId="62FF74C3" w14:textId="77777777" w:rsidR="005E0BE2" w:rsidRDefault="006A6BD4">
      <w:pPr>
        <w:suppressAutoHyphens/>
        <w:spacing w:after="120"/>
        <w:jc w:val="center"/>
        <w:rPr>
          <w:rFonts w:ascii="Arial" w:hAnsi="Arial" w:cs="Arial"/>
          <w:b/>
          <w:lang w:eastAsia="ar-SA"/>
        </w:rPr>
      </w:pPr>
      <w:r>
        <w:rPr>
          <w:rFonts w:ascii="Arial" w:hAnsi="Arial" w:cs="Arial"/>
          <w:b/>
          <w:lang w:eastAsia="ar-SA"/>
        </w:rPr>
        <w:t>5. WYKONANIE ROBÓT</w:t>
      </w:r>
    </w:p>
    <w:p w14:paraId="7D2F3DDE"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5.1.     Ogólne wymagania</w:t>
      </w:r>
    </w:p>
    <w:p w14:paraId="1865767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wykonania robót podano w STWiORB D-00.00.00 „Wymagania ogólne” pkt. 5.</w:t>
      </w:r>
    </w:p>
    <w:p w14:paraId="077EA726" w14:textId="77777777" w:rsidR="005E0BE2" w:rsidRDefault="005E0BE2">
      <w:pPr>
        <w:suppressAutoHyphens/>
        <w:jc w:val="both"/>
        <w:rPr>
          <w:rFonts w:ascii="Arial" w:hAnsi="Arial" w:cs="Arial"/>
          <w:sz w:val="18"/>
          <w:szCs w:val="18"/>
          <w:lang w:eastAsia="ar-SA"/>
        </w:rPr>
      </w:pPr>
    </w:p>
    <w:p w14:paraId="20DF103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5.2.     Projektowanie mieszanki i opracowanie recepty</w:t>
      </w:r>
    </w:p>
    <w:p w14:paraId="287D8BF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Przed przystąpieniem do produkcji mieszanki mineralno-asfaltowej, w terminie co najmniej 1 miesiąc przed rozpoczęciem robót, Wykonawca opracuje receptę dla mieszanki mineralno-asfaltowej i przedstawi ją Inspektorowi Nadzoru do akceptacji. </w:t>
      </w:r>
    </w:p>
    <w:p w14:paraId="736F138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Projektowanie składu mieszanki mineralno-asfaltowej polega na:</w:t>
      </w:r>
    </w:p>
    <w:p w14:paraId="074C7CCF"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składników mieszanki,</w:t>
      </w:r>
    </w:p>
    <w:p w14:paraId="1C5CBA3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doborze optymalnej ilości asfaltu,</w:t>
      </w:r>
    </w:p>
    <w:p w14:paraId="2C5F84A0" w14:textId="77777777" w:rsidR="005E0BE2" w:rsidRDefault="006A6BD4">
      <w:pPr>
        <w:numPr>
          <w:ilvl w:val="0"/>
          <w:numId w:val="21"/>
        </w:numPr>
        <w:suppressAutoHyphens/>
        <w:jc w:val="both"/>
        <w:rPr>
          <w:rFonts w:ascii="Arial" w:hAnsi="Arial" w:cs="Arial"/>
          <w:sz w:val="18"/>
          <w:szCs w:val="18"/>
          <w:lang w:eastAsia="ar-SA"/>
        </w:rPr>
      </w:pPr>
      <w:r>
        <w:rPr>
          <w:rFonts w:ascii="Arial" w:hAnsi="Arial" w:cs="Arial"/>
          <w:sz w:val="18"/>
          <w:szCs w:val="18"/>
          <w:lang w:eastAsia="ar-SA"/>
        </w:rPr>
        <w:t>określeniu właściwości mieszanki i porównaniu uzyskanych wyników z wymaganiami podanymi w niniejszej STWiORB.</w:t>
      </w:r>
    </w:p>
    <w:p w14:paraId="676FC90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Krzywa uziarnienia mieszanki mineralnej powinna mieścić się w obszarze wyznaczonym przez punkty graniczne.</w:t>
      </w:r>
    </w:p>
    <w:p w14:paraId="467F5E9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Rzędne punktów granicznych uziarnienia mieszanki mineralnej do wykonania warstwy ścieralnej z betonu asfaltowego dla ruchu KR 2 oraz minimalną zawartość asfaltu podano w Tablicy 3.</w:t>
      </w:r>
    </w:p>
    <w:p w14:paraId="1F5CB347" w14:textId="77777777" w:rsidR="005E0BE2" w:rsidRDefault="005E0BE2">
      <w:pPr>
        <w:suppressAutoHyphens/>
        <w:jc w:val="both"/>
        <w:rPr>
          <w:rFonts w:ascii="Arial" w:hAnsi="Arial" w:cs="Arial"/>
          <w:sz w:val="18"/>
          <w:szCs w:val="18"/>
          <w:lang w:eastAsia="ar-SA"/>
        </w:rPr>
      </w:pPr>
    </w:p>
    <w:p w14:paraId="42567E43" w14:textId="77777777" w:rsidR="005E0BE2" w:rsidRDefault="006A6BD4">
      <w:pPr>
        <w:suppressAutoHyphens/>
        <w:spacing w:after="120"/>
        <w:jc w:val="both"/>
        <w:rPr>
          <w:rFonts w:ascii="Arial" w:hAnsi="Arial" w:cs="Arial"/>
          <w:sz w:val="18"/>
          <w:szCs w:val="18"/>
          <w:lang w:eastAsia="ar-SA"/>
        </w:rPr>
      </w:pPr>
      <w:r>
        <w:rPr>
          <w:rFonts w:ascii="Arial" w:hAnsi="Arial" w:cs="Arial"/>
          <w:sz w:val="18"/>
          <w:szCs w:val="18"/>
          <w:lang w:eastAsia="ar-SA"/>
        </w:rPr>
        <w:t xml:space="preserve">Tablica.3 Uziarnienie mieszanki mineralnej oraz orientacyjna zawartość asfaltu dla warstwy ścieralnej z AC 11 S dla ruchu KR 2. </w:t>
      </w:r>
    </w:p>
    <w:tbl>
      <w:tblPr>
        <w:tblW w:w="0" w:type="auto"/>
        <w:tblInd w:w="1788" w:type="dxa"/>
        <w:tblLayout w:type="fixed"/>
        <w:tblCellMar>
          <w:left w:w="70" w:type="dxa"/>
          <w:right w:w="70" w:type="dxa"/>
        </w:tblCellMar>
        <w:tblLook w:val="0000" w:firstRow="0" w:lastRow="0" w:firstColumn="0" w:lastColumn="0" w:noHBand="0" w:noVBand="0"/>
      </w:tblPr>
      <w:tblGrid>
        <w:gridCol w:w="3827"/>
        <w:gridCol w:w="1152"/>
        <w:gridCol w:w="1182"/>
      </w:tblGrid>
      <w:tr w:rsidR="005E0BE2" w14:paraId="0AABC188" w14:textId="77777777">
        <w:trPr>
          <w:trHeight w:val="120"/>
        </w:trPr>
        <w:tc>
          <w:tcPr>
            <w:tcW w:w="3827" w:type="dxa"/>
            <w:vMerge w:val="restart"/>
            <w:tcBorders>
              <w:top w:val="single" w:sz="4" w:space="0" w:color="000000"/>
              <w:left w:val="single" w:sz="4" w:space="0" w:color="000000"/>
            </w:tcBorders>
            <w:vAlign w:val="center"/>
          </w:tcPr>
          <w:p w14:paraId="0B36B78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Właściwość</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4D2B215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Przesiew [% m/m]</w:t>
            </w:r>
          </w:p>
        </w:tc>
      </w:tr>
      <w:tr w:rsidR="005E0BE2" w14:paraId="144FCF04" w14:textId="77777777">
        <w:trPr>
          <w:trHeight w:val="120"/>
        </w:trPr>
        <w:tc>
          <w:tcPr>
            <w:tcW w:w="3827" w:type="dxa"/>
            <w:vMerge/>
            <w:tcBorders>
              <w:left w:val="single" w:sz="4" w:space="0" w:color="000000"/>
              <w:bottom w:val="single" w:sz="4" w:space="0" w:color="000000"/>
            </w:tcBorders>
            <w:vAlign w:val="center"/>
          </w:tcPr>
          <w:p w14:paraId="7A2C4296" w14:textId="77777777" w:rsidR="005E0BE2" w:rsidRDefault="005E0BE2">
            <w:pPr>
              <w:suppressAutoHyphens/>
              <w:snapToGrid w:val="0"/>
              <w:jc w:val="center"/>
              <w:rPr>
                <w:rFonts w:ascii="Arial" w:hAnsi="Arial" w:cs="Arial"/>
                <w:sz w:val="18"/>
                <w:szCs w:val="18"/>
                <w:lang w:eastAsia="ar-SA"/>
              </w:rPr>
            </w:pP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0F037FF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AC 11 S   KR 2</w:t>
            </w:r>
          </w:p>
        </w:tc>
      </w:tr>
      <w:tr w:rsidR="005E0BE2" w14:paraId="42C9C121" w14:textId="77777777">
        <w:tc>
          <w:tcPr>
            <w:tcW w:w="3827" w:type="dxa"/>
            <w:tcBorders>
              <w:top w:val="single" w:sz="4" w:space="0" w:color="000000"/>
              <w:left w:val="single" w:sz="4" w:space="0" w:color="000000"/>
              <w:bottom w:val="single" w:sz="4" w:space="0" w:color="000000"/>
            </w:tcBorders>
            <w:vAlign w:val="center"/>
          </w:tcPr>
          <w:p w14:paraId="54C5821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Wymiar oczek sit [mm]</w:t>
            </w:r>
          </w:p>
        </w:tc>
        <w:tc>
          <w:tcPr>
            <w:tcW w:w="1152" w:type="dxa"/>
            <w:tcBorders>
              <w:top w:val="single" w:sz="4" w:space="0" w:color="000000"/>
              <w:left w:val="single" w:sz="4" w:space="0" w:color="000000"/>
              <w:bottom w:val="single" w:sz="4" w:space="0" w:color="000000"/>
            </w:tcBorders>
            <w:vAlign w:val="center"/>
          </w:tcPr>
          <w:p w14:paraId="381CFB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c>
          <w:tcPr>
            <w:tcW w:w="1182" w:type="dxa"/>
            <w:tcBorders>
              <w:top w:val="single" w:sz="4" w:space="0" w:color="000000"/>
              <w:left w:val="single" w:sz="4" w:space="0" w:color="000000"/>
              <w:bottom w:val="single" w:sz="4" w:space="0" w:color="000000"/>
              <w:right w:val="single" w:sz="4" w:space="0" w:color="000000"/>
            </w:tcBorders>
            <w:vAlign w:val="center"/>
          </w:tcPr>
          <w:p w14:paraId="4AE4B39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do</w:t>
            </w:r>
          </w:p>
        </w:tc>
      </w:tr>
      <w:tr w:rsidR="005E0BE2" w14:paraId="5664B4D9" w14:textId="77777777">
        <w:tc>
          <w:tcPr>
            <w:tcW w:w="3827" w:type="dxa"/>
            <w:tcBorders>
              <w:top w:val="single" w:sz="4" w:space="0" w:color="000000"/>
              <w:left w:val="single" w:sz="4" w:space="0" w:color="000000"/>
              <w:bottom w:val="single" w:sz="4" w:space="0" w:color="000000"/>
            </w:tcBorders>
            <w:vAlign w:val="center"/>
          </w:tcPr>
          <w:p w14:paraId="5102E7B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16</w:t>
            </w:r>
          </w:p>
        </w:tc>
        <w:tc>
          <w:tcPr>
            <w:tcW w:w="1152" w:type="dxa"/>
            <w:tcBorders>
              <w:top w:val="single" w:sz="4" w:space="0" w:color="000000"/>
              <w:left w:val="single" w:sz="4" w:space="0" w:color="000000"/>
              <w:bottom w:val="single" w:sz="4" w:space="0" w:color="000000"/>
            </w:tcBorders>
            <w:vAlign w:val="center"/>
          </w:tcPr>
          <w:p w14:paraId="777FC0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c>
          <w:tcPr>
            <w:tcW w:w="1182" w:type="dxa"/>
            <w:tcBorders>
              <w:top w:val="single" w:sz="4" w:space="0" w:color="000000"/>
              <w:left w:val="single" w:sz="4" w:space="0" w:color="000000"/>
              <w:bottom w:val="single" w:sz="4" w:space="0" w:color="000000"/>
              <w:right w:val="single" w:sz="4" w:space="0" w:color="000000"/>
            </w:tcBorders>
            <w:vAlign w:val="center"/>
          </w:tcPr>
          <w:p w14:paraId="7B0DAAF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6DAF4FA1" w14:textId="77777777">
        <w:tc>
          <w:tcPr>
            <w:tcW w:w="3827" w:type="dxa"/>
            <w:tcBorders>
              <w:top w:val="single" w:sz="4" w:space="0" w:color="000000"/>
              <w:left w:val="single" w:sz="4" w:space="0" w:color="000000"/>
              <w:bottom w:val="single" w:sz="4" w:space="0" w:color="000000"/>
            </w:tcBorders>
            <w:vAlign w:val="center"/>
          </w:tcPr>
          <w:p w14:paraId="707AD10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11,2</w:t>
            </w:r>
          </w:p>
        </w:tc>
        <w:tc>
          <w:tcPr>
            <w:tcW w:w="1152" w:type="dxa"/>
            <w:tcBorders>
              <w:top w:val="single" w:sz="4" w:space="0" w:color="000000"/>
              <w:left w:val="single" w:sz="4" w:space="0" w:color="000000"/>
              <w:bottom w:val="single" w:sz="4" w:space="0" w:color="000000"/>
            </w:tcBorders>
            <w:vAlign w:val="center"/>
          </w:tcPr>
          <w:p w14:paraId="32B2F954"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c>
          <w:tcPr>
            <w:tcW w:w="1182" w:type="dxa"/>
            <w:tcBorders>
              <w:top w:val="single" w:sz="4" w:space="0" w:color="000000"/>
              <w:left w:val="single" w:sz="4" w:space="0" w:color="000000"/>
              <w:bottom w:val="single" w:sz="4" w:space="0" w:color="000000"/>
              <w:right w:val="single" w:sz="4" w:space="0" w:color="000000"/>
            </w:tcBorders>
            <w:vAlign w:val="center"/>
          </w:tcPr>
          <w:p w14:paraId="1713CD1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100</w:t>
            </w:r>
          </w:p>
        </w:tc>
      </w:tr>
      <w:tr w:rsidR="005E0BE2" w14:paraId="22ECBA67" w14:textId="77777777">
        <w:tc>
          <w:tcPr>
            <w:tcW w:w="3827" w:type="dxa"/>
            <w:tcBorders>
              <w:top w:val="single" w:sz="4" w:space="0" w:color="000000"/>
              <w:left w:val="single" w:sz="4" w:space="0" w:color="000000"/>
              <w:bottom w:val="single" w:sz="4" w:space="0" w:color="000000"/>
            </w:tcBorders>
            <w:vAlign w:val="center"/>
          </w:tcPr>
          <w:p w14:paraId="798ECBB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52" w:type="dxa"/>
            <w:tcBorders>
              <w:top w:val="single" w:sz="4" w:space="0" w:color="000000"/>
              <w:left w:val="single" w:sz="4" w:space="0" w:color="000000"/>
              <w:bottom w:val="single" w:sz="4" w:space="0" w:color="000000"/>
            </w:tcBorders>
            <w:vAlign w:val="center"/>
          </w:tcPr>
          <w:p w14:paraId="762B4CC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70</w:t>
            </w:r>
          </w:p>
        </w:tc>
        <w:tc>
          <w:tcPr>
            <w:tcW w:w="1182" w:type="dxa"/>
            <w:tcBorders>
              <w:top w:val="single" w:sz="4" w:space="0" w:color="000000"/>
              <w:left w:val="single" w:sz="4" w:space="0" w:color="000000"/>
              <w:bottom w:val="single" w:sz="4" w:space="0" w:color="000000"/>
              <w:right w:val="single" w:sz="4" w:space="0" w:color="000000"/>
            </w:tcBorders>
            <w:vAlign w:val="center"/>
          </w:tcPr>
          <w:p w14:paraId="762C77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90</w:t>
            </w:r>
          </w:p>
        </w:tc>
      </w:tr>
      <w:tr w:rsidR="005E0BE2" w14:paraId="5065BAB5" w14:textId="77777777">
        <w:tc>
          <w:tcPr>
            <w:tcW w:w="3827" w:type="dxa"/>
            <w:tcBorders>
              <w:top w:val="single" w:sz="4" w:space="0" w:color="000000"/>
              <w:left w:val="single" w:sz="4" w:space="0" w:color="000000"/>
              <w:bottom w:val="single" w:sz="4" w:space="0" w:color="000000"/>
            </w:tcBorders>
            <w:vAlign w:val="center"/>
          </w:tcPr>
          <w:p w14:paraId="6EB7C62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5,6</w:t>
            </w:r>
          </w:p>
        </w:tc>
        <w:tc>
          <w:tcPr>
            <w:tcW w:w="1152" w:type="dxa"/>
            <w:tcBorders>
              <w:top w:val="single" w:sz="4" w:space="0" w:color="000000"/>
              <w:left w:val="single" w:sz="4" w:space="0" w:color="000000"/>
              <w:bottom w:val="single" w:sz="4" w:space="0" w:color="000000"/>
            </w:tcBorders>
            <w:vAlign w:val="center"/>
          </w:tcPr>
          <w:p w14:paraId="1B38A91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182" w:type="dxa"/>
            <w:tcBorders>
              <w:top w:val="single" w:sz="4" w:space="0" w:color="000000"/>
              <w:left w:val="single" w:sz="4" w:space="0" w:color="000000"/>
              <w:bottom w:val="single" w:sz="4" w:space="0" w:color="000000"/>
              <w:right w:val="single" w:sz="4" w:space="0" w:color="000000"/>
            </w:tcBorders>
            <w:vAlign w:val="center"/>
          </w:tcPr>
          <w:p w14:paraId="67BCC8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r>
      <w:tr w:rsidR="005E0BE2" w14:paraId="2F6A0B95" w14:textId="77777777">
        <w:tc>
          <w:tcPr>
            <w:tcW w:w="3827" w:type="dxa"/>
            <w:tcBorders>
              <w:top w:val="single" w:sz="4" w:space="0" w:color="000000"/>
              <w:left w:val="single" w:sz="4" w:space="0" w:color="000000"/>
              <w:bottom w:val="single" w:sz="4" w:space="0" w:color="000000"/>
            </w:tcBorders>
            <w:vAlign w:val="center"/>
          </w:tcPr>
          <w:p w14:paraId="69B89F8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w:t>
            </w:r>
          </w:p>
        </w:tc>
        <w:tc>
          <w:tcPr>
            <w:tcW w:w="1152" w:type="dxa"/>
            <w:tcBorders>
              <w:top w:val="single" w:sz="4" w:space="0" w:color="000000"/>
              <w:left w:val="single" w:sz="4" w:space="0" w:color="000000"/>
              <w:bottom w:val="single" w:sz="4" w:space="0" w:color="000000"/>
            </w:tcBorders>
            <w:vAlign w:val="center"/>
          </w:tcPr>
          <w:p w14:paraId="6ACCB57D"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30</w:t>
            </w:r>
          </w:p>
        </w:tc>
        <w:tc>
          <w:tcPr>
            <w:tcW w:w="1182" w:type="dxa"/>
            <w:tcBorders>
              <w:top w:val="single" w:sz="4" w:space="0" w:color="000000"/>
              <w:left w:val="single" w:sz="4" w:space="0" w:color="000000"/>
              <w:bottom w:val="single" w:sz="4" w:space="0" w:color="000000"/>
              <w:right w:val="single" w:sz="4" w:space="0" w:color="000000"/>
            </w:tcBorders>
            <w:vAlign w:val="center"/>
          </w:tcPr>
          <w:p w14:paraId="4A5B662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55</w:t>
            </w:r>
          </w:p>
        </w:tc>
      </w:tr>
      <w:tr w:rsidR="005E0BE2" w14:paraId="22120DCB" w14:textId="77777777">
        <w:tc>
          <w:tcPr>
            <w:tcW w:w="3827" w:type="dxa"/>
            <w:tcBorders>
              <w:top w:val="single" w:sz="4" w:space="0" w:color="000000"/>
              <w:left w:val="single" w:sz="4" w:space="0" w:color="000000"/>
              <w:bottom w:val="single" w:sz="4" w:space="0" w:color="000000"/>
            </w:tcBorders>
            <w:vAlign w:val="center"/>
          </w:tcPr>
          <w:p w14:paraId="124B15D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lastRenderedPageBreak/>
              <w:t>0,125</w:t>
            </w:r>
          </w:p>
        </w:tc>
        <w:tc>
          <w:tcPr>
            <w:tcW w:w="1152" w:type="dxa"/>
            <w:tcBorders>
              <w:top w:val="single" w:sz="4" w:space="0" w:color="000000"/>
              <w:left w:val="single" w:sz="4" w:space="0" w:color="000000"/>
              <w:bottom w:val="single" w:sz="4" w:space="0" w:color="000000"/>
            </w:tcBorders>
            <w:vAlign w:val="center"/>
          </w:tcPr>
          <w:p w14:paraId="6590BFB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8</w:t>
            </w:r>
          </w:p>
        </w:tc>
        <w:tc>
          <w:tcPr>
            <w:tcW w:w="1182" w:type="dxa"/>
            <w:tcBorders>
              <w:top w:val="single" w:sz="4" w:space="0" w:color="000000"/>
              <w:left w:val="single" w:sz="4" w:space="0" w:color="000000"/>
              <w:bottom w:val="single" w:sz="4" w:space="0" w:color="000000"/>
              <w:right w:val="single" w:sz="4" w:space="0" w:color="000000"/>
            </w:tcBorders>
            <w:vAlign w:val="center"/>
          </w:tcPr>
          <w:p w14:paraId="7D18236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20</w:t>
            </w:r>
          </w:p>
        </w:tc>
      </w:tr>
      <w:tr w:rsidR="005E0BE2" w14:paraId="2A5BFCB7" w14:textId="77777777">
        <w:tc>
          <w:tcPr>
            <w:tcW w:w="3827" w:type="dxa"/>
            <w:tcBorders>
              <w:top w:val="single" w:sz="4" w:space="0" w:color="000000"/>
              <w:left w:val="single" w:sz="4" w:space="0" w:color="000000"/>
              <w:bottom w:val="single" w:sz="4" w:space="0" w:color="000000"/>
            </w:tcBorders>
            <w:vAlign w:val="center"/>
          </w:tcPr>
          <w:p w14:paraId="29A7D83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0,063</w:t>
            </w:r>
          </w:p>
        </w:tc>
        <w:tc>
          <w:tcPr>
            <w:tcW w:w="1152" w:type="dxa"/>
            <w:tcBorders>
              <w:top w:val="single" w:sz="4" w:space="0" w:color="000000"/>
              <w:left w:val="single" w:sz="4" w:space="0" w:color="000000"/>
              <w:bottom w:val="single" w:sz="4" w:space="0" w:color="000000"/>
            </w:tcBorders>
            <w:vAlign w:val="center"/>
          </w:tcPr>
          <w:p w14:paraId="271ED461"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5,0</w:t>
            </w:r>
          </w:p>
        </w:tc>
        <w:tc>
          <w:tcPr>
            <w:tcW w:w="1182" w:type="dxa"/>
            <w:tcBorders>
              <w:top w:val="single" w:sz="4" w:space="0" w:color="000000"/>
              <w:left w:val="single" w:sz="4" w:space="0" w:color="000000"/>
              <w:bottom w:val="single" w:sz="4" w:space="0" w:color="000000"/>
              <w:right w:val="single" w:sz="4" w:space="0" w:color="000000"/>
            </w:tcBorders>
            <w:vAlign w:val="center"/>
          </w:tcPr>
          <w:p w14:paraId="64C666A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12,0</w:t>
            </w:r>
          </w:p>
        </w:tc>
      </w:tr>
      <w:tr w:rsidR="005E0BE2" w14:paraId="5E8275CF" w14:textId="77777777">
        <w:trPr>
          <w:trHeight w:val="70"/>
        </w:trPr>
        <w:tc>
          <w:tcPr>
            <w:tcW w:w="3827" w:type="dxa"/>
            <w:tcBorders>
              <w:top w:val="single" w:sz="4" w:space="0" w:color="000000"/>
              <w:left w:val="single" w:sz="4" w:space="0" w:color="000000"/>
              <w:bottom w:val="single" w:sz="4" w:space="0" w:color="000000"/>
            </w:tcBorders>
            <w:vAlign w:val="center"/>
          </w:tcPr>
          <w:p w14:paraId="25FAC43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Zawartość lepiszcza</w:t>
            </w:r>
          </w:p>
        </w:tc>
        <w:tc>
          <w:tcPr>
            <w:tcW w:w="2334" w:type="dxa"/>
            <w:gridSpan w:val="2"/>
            <w:tcBorders>
              <w:top w:val="single" w:sz="4" w:space="0" w:color="000000"/>
              <w:left w:val="single" w:sz="4" w:space="0" w:color="000000"/>
              <w:bottom w:val="single" w:sz="4" w:space="0" w:color="000000"/>
              <w:right w:val="single" w:sz="4" w:space="0" w:color="000000"/>
            </w:tcBorders>
            <w:vAlign w:val="center"/>
          </w:tcPr>
          <w:p w14:paraId="2046FDC7"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B </w:t>
            </w:r>
            <w:r>
              <w:rPr>
                <w:rFonts w:ascii="Arial" w:hAnsi="Arial" w:cs="Arial"/>
                <w:sz w:val="18"/>
                <w:szCs w:val="18"/>
                <w:vertAlign w:val="subscript"/>
                <w:lang w:eastAsia="ar-SA"/>
              </w:rPr>
              <w:t>min 5,8</w:t>
            </w:r>
          </w:p>
        </w:tc>
      </w:tr>
    </w:tbl>
    <w:p w14:paraId="4DEE8115" w14:textId="77777777" w:rsidR="005E0BE2" w:rsidRDefault="005E0BE2">
      <w:pPr>
        <w:suppressAutoHyphens/>
        <w:jc w:val="both"/>
        <w:rPr>
          <w:rFonts w:ascii="Arial" w:hAnsi="Arial" w:cs="Arial"/>
          <w:sz w:val="18"/>
          <w:szCs w:val="18"/>
          <w:lang w:eastAsia="ar-SA"/>
        </w:rPr>
      </w:pPr>
    </w:p>
    <w:p w14:paraId="51DAD84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Minimalna zawartość lepiszcza (</w:t>
      </w:r>
      <w:r>
        <w:rPr>
          <w:rFonts w:ascii="Arial" w:hAnsi="Arial" w:cs="Arial"/>
          <w:i/>
          <w:sz w:val="18"/>
          <w:szCs w:val="18"/>
          <w:lang w:eastAsia="ar-SA"/>
        </w:rPr>
        <w:t>kategoria B</w:t>
      </w:r>
      <w:r>
        <w:rPr>
          <w:rFonts w:ascii="Arial" w:hAnsi="Arial" w:cs="Arial"/>
          <w:i/>
          <w:sz w:val="18"/>
          <w:szCs w:val="18"/>
          <w:vertAlign w:val="subscript"/>
          <w:lang w:eastAsia="ar-SA"/>
        </w:rPr>
        <w:t>min</w:t>
      </w:r>
      <w:r>
        <w:rPr>
          <w:rFonts w:ascii="Arial" w:hAnsi="Arial" w:cs="Arial"/>
          <w:i/>
          <w:sz w:val="18"/>
          <w:szCs w:val="18"/>
          <w:lang w:eastAsia="ar-SA"/>
        </w:rPr>
        <w:t xml:space="preserve">) </w:t>
      </w:r>
      <w:r>
        <w:rPr>
          <w:rFonts w:ascii="Arial" w:hAnsi="Arial" w:cs="Arial"/>
          <w:sz w:val="18"/>
          <w:szCs w:val="18"/>
          <w:lang w:eastAsia="ar-SA"/>
        </w:rPr>
        <w:t>w mieszankach mineralno-asfaltowych została podana dla założonej gęstości mieszanki mineralnej 2,650 Mg/m</w:t>
      </w:r>
      <w:r>
        <w:rPr>
          <w:rFonts w:ascii="Arial" w:hAnsi="Arial" w:cs="Arial"/>
          <w:sz w:val="18"/>
          <w:szCs w:val="18"/>
          <w:vertAlign w:val="superscript"/>
          <w:lang w:eastAsia="ar-SA"/>
        </w:rPr>
        <w:t>3</w:t>
      </w:r>
      <w:r>
        <w:rPr>
          <w:rFonts w:ascii="Arial" w:hAnsi="Arial" w:cs="Arial"/>
          <w:sz w:val="18"/>
          <w:szCs w:val="18"/>
          <w:lang w:eastAsia="ar-SA"/>
        </w:rPr>
        <w:t xml:space="preserve">. </w:t>
      </w:r>
    </w:p>
    <w:p w14:paraId="53A7C08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Jeśli stosowana mieszanka mineralna ma inną gęstość (</w:t>
      </w:r>
      <w:proofErr w:type="spellStart"/>
      <w:r>
        <w:rPr>
          <w:rFonts w:ascii="Arial" w:hAnsi="Arial" w:cs="Arial"/>
          <w:sz w:val="18"/>
          <w:szCs w:val="18"/>
          <w:lang w:eastAsia="ar-SA"/>
        </w:rPr>
        <w:t>ρ</w:t>
      </w:r>
      <w:r>
        <w:rPr>
          <w:rFonts w:ascii="Arial" w:hAnsi="Arial" w:cs="Arial"/>
          <w:sz w:val="18"/>
          <w:szCs w:val="18"/>
          <w:vertAlign w:val="subscript"/>
          <w:lang w:eastAsia="ar-SA"/>
        </w:rPr>
        <w:t>d</w:t>
      </w:r>
      <w:proofErr w:type="spellEnd"/>
      <w:r>
        <w:rPr>
          <w:rFonts w:ascii="Arial" w:hAnsi="Arial" w:cs="Arial"/>
          <w:sz w:val="18"/>
          <w:szCs w:val="18"/>
          <w:lang w:eastAsia="ar-SA"/>
        </w:rPr>
        <w:t>), to do wyznaczenia minimalnej zawartości lepiszcza podaną wartość należy pomnożyć przez współczynnik α wg równania:</w:t>
      </w:r>
    </w:p>
    <w:p w14:paraId="65911537" w14:textId="77777777" w:rsidR="005E0BE2" w:rsidRDefault="006A6BD4">
      <w:pPr>
        <w:suppressAutoHyphens/>
        <w:ind w:firstLine="708"/>
        <w:jc w:val="both"/>
        <w:rPr>
          <w:rFonts w:ascii="Arial" w:hAnsi="Arial" w:cs="Arial"/>
          <w:sz w:val="18"/>
          <w:szCs w:val="18"/>
          <w:lang w:eastAsia="ar-SA"/>
        </w:rPr>
      </w:pPr>
      <w:r>
        <w:rPr>
          <w:rFonts w:ascii="Arial" w:hAnsi="Arial" w:cs="Arial"/>
          <w:noProof/>
          <w:position w:val="-17"/>
          <w:sz w:val="18"/>
          <w:szCs w:val="18"/>
        </w:rPr>
        <w:drawing>
          <wp:inline distT="0" distB="0" distL="0" distR="0" wp14:anchorId="5147D493" wp14:editId="4BB2EAA3">
            <wp:extent cx="495300" cy="3714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solidFill>
                      <a:srgbClr val="FFFFFF"/>
                    </a:solidFill>
                    <a:ln>
                      <a:noFill/>
                    </a:ln>
                  </pic:spPr>
                </pic:pic>
              </a:graphicData>
            </a:graphic>
          </wp:inline>
        </w:drawing>
      </w:r>
    </w:p>
    <w:p w14:paraId="09E7BE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zagęszczania próbek Marshalla jest zależna od rodzaju zastosowanego asfaltu i wynosi:</w:t>
      </w:r>
    </w:p>
    <w:p w14:paraId="1A877801" w14:textId="77777777" w:rsidR="005E0BE2" w:rsidRDefault="006A6BD4">
      <w:pPr>
        <w:pStyle w:val="Akapitzlist"/>
        <w:numPr>
          <w:ilvl w:val="0"/>
          <w:numId w:val="32"/>
        </w:numPr>
        <w:suppressAutoHyphens/>
        <w:ind w:left="284" w:hanging="284"/>
        <w:jc w:val="both"/>
        <w:rPr>
          <w:rFonts w:ascii="Arial" w:hAnsi="Arial" w:cs="Arial"/>
          <w:sz w:val="18"/>
          <w:szCs w:val="18"/>
          <w:lang w:eastAsia="ar-SA"/>
        </w:rPr>
      </w:pPr>
      <w:r>
        <w:rPr>
          <w:rFonts w:ascii="Arial" w:hAnsi="Arial" w:cs="Arial"/>
          <w:sz w:val="18"/>
          <w:szCs w:val="18"/>
          <w:lang w:eastAsia="ar-SA"/>
        </w:rPr>
        <w:t>dla asfaltu 50/70 – 135</w:t>
      </w:r>
      <w:r>
        <w:rPr>
          <w:rFonts w:ascii="Arial" w:hAnsi="Arial" w:cs="Arial"/>
          <w:sz w:val="18"/>
          <w:szCs w:val="18"/>
          <w:vertAlign w:val="superscript"/>
          <w:lang w:eastAsia="ar-SA"/>
        </w:rPr>
        <w:t>o</w:t>
      </w:r>
      <w:r>
        <w:rPr>
          <w:rFonts w:ascii="Arial" w:hAnsi="Arial" w:cs="Arial"/>
          <w:sz w:val="18"/>
          <w:szCs w:val="18"/>
          <w:lang w:eastAsia="ar-SA"/>
        </w:rPr>
        <w:t>C ± 5</w:t>
      </w:r>
      <w:r>
        <w:rPr>
          <w:rFonts w:ascii="Arial" w:hAnsi="Arial" w:cs="Arial"/>
          <w:sz w:val="18"/>
          <w:szCs w:val="18"/>
          <w:vertAlign w:val="superscript"/>
          <w:lang w:eastAsia="ar-SA"/>
        </w:rPr>
        <w:t>o</w:t>
      </w:r>
      <w:r>
        <w:rPr>
          <w:rFonts w:ascii="Arial" w:hAnsi="Arial" w:cs="Arial"/>
          <w:sz w:val="18"/>
          <w:szCs w:val="18"/>
          <w:lang w:eastAsia="ar-SA"/>
        </w:rPr>
        <w:t>C,</w:t>
      </w:r>
    </w:p>
    <w:p w14:paraId="5A138D5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Zaprojektowana mieszanka betonu asfaltowego AC 11 S dla dróg o kategorii ruchu KR 2 powinna spełniać wymagania podane w Tablicy 4.</w:t>
      </w:r>
    </w:p>
    <w:p w14:paraId="3B220751" w14:textId="77777777" w:rsidR="005E0BE2" w:rsidRDefault="005E0BE2">
      <w:pPr>
        <w:suppressAutoHyphens/>
        <w:jc w:val="both"/>
        <w:rPr>
          <w:rFonts w:ascii="Arial" w:hAnsi="Arial" w:cs="Arial"/>
          <w:sz w:val="18"/>
          <w:szCs w:val="18"/>
          <w:lang w:eastAsia="ar-SA"/>
        </w:rPr>
      </w:pPr>
    </w:p>
    <w:p w14:paraId="237F778F" w14:textId="77777777" w:rsidR="005E0BE2" w:rsidRDefault="006A6BD4">
      <w:pPr>
        <w:suppressAutoHyphens/>
        <w:spacing w:after="120"/>
        <w:ind w:left="851" w:hanging="851"/>
        <w:jc w:val="both"/>
        <w:rPr>
          <w:rFonts w:ascii="Arial" w:hAnsi="Arial" w:cs="Arial"/>
          <w:sz w:val="18"/>
          <w:szCs w:val="18"/>
          <w:lang w:eastAsia="ar-SA"/>
        </w:rPr>
      </w:pPr>
      <w:r>
        <w:rPr>
          <w:rFonts w:ascii="Arial" w:hAnsi="Arial" w:cs="Arial"/>
          <w:sz w:val="18"/>
          <w:szCs w:val="18"/>
          <w:lang w:eastAsia="ar-SA"/>
        </w:rPr>
        <w:t>Tablica 4. Wymagania wobec mieszanki AC 11 S i wykonanej z niej warstwy ścieralnej dla dróg o kategorii ruchu KR 2.</w:t>
      </w:r>
    </w:p>
    <w:tbl>
      <w:tblPr>
        <w:tblW w:w="9072" w:type="dxa"/>
        <w:tblInd w:w="-5" w:type="dxa"/>
        <w:tblLayout w:type="fixed"/>
        <w:tblCellMar>
          <w:left w:w="70" w:type="dxa"/>
          <w:right w:w="70" w:type="dxa"/>
        </w:tblCellMar>
        <w:tblLook w:val="0000" w:firstRow="0" w:lastRow="0" w:firstColumn="0" w:lastColumn="0" w:noHBand="0" w:noVBand="0"/>
      </w:tblPr>
      <w:tblGrid>
        <w:gridCol w:w="501"/>
        <w:gridCol w:w="2334"/>
        <w:gridCol w:w="2268"/>
        <w:gridCol w:w="1418"/>
        <w:gridCol w:w="2551"/>
      </w:tblGrid>
      <w:tr w:rsidR="005E0BE2" w14:paraId="4F0D63DF" w14:textId="77777777">
        <w:trPr>
          <w:cantSplit/>
          <w:trHeight w:val="230"/>
        </w:trPr>
        <w:tc>
          <w:tcPr>
            <w:tcW w:w="501" w:type="dxa"/>
            <w:tcBorders>
              <w:top w:val="single" w:sz="4" w:space="0" w:color="000000"/>
              <w:left w:val="single" w:sz="4" w:space="0" w:color="000000"/>
            </w:tcBorders>
            <w:vAlign w:val="center"/>
          </w:tcPr>
          <w:p w14:paraId="6C1A673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Lp.</w:t>
            </w:r>
          </w:p>
        </w:tc>
        <w:tc>
          <w:tcPr>
            <w:tcW w:w="2334" w:type="dxa"/>
            <w:tcBorders>
              <w:top w:val="single" w:sz="4" w:space="0" w:color="000000"/>
              <w:left w:val="single" w:sz="4" w:space="0" w:color="000000"/>
            </w:tcBorders>
            <w:vAlign w:val="center"/>
          </w:tcPr>
          <w:p w14:paraId="4BF680A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Właściwości.</w:t>
            </w:r>
          </w:p>
        </w:tc>
        <w:tc>
          <w:tcPr>
            <w:tcW w:w="2268" w:type="dxa"/>
            <w:tcBorders>
              <w:top w:val="single" w:sz="4" w:space="0" w:color="000000"/>
              <w:left w:val="single" w:sz="4" w:space="0" w:color="000000"/>
            </w:tcBorders>
            <w:vAlign w:val="center"/>
          </w:tcPr>
          <w:p w14:paraId="4AB227D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Warunki zagęszczania wg PN-EN 13108-20</w:t>
            </w:r>
          </w:p>
        </w:tc>
        <w:tc>
          <w:tcPr>
            <w:tcW w:w="1418" w:type="dxa"/>
            <w:tcBorders>
              <w:top w:val="single" w:sz="4" w:space="0" w:color="000000"/>
              <w:left w:val="single" w:sz="4" w:space="0" w:color="000000"/>
              <w:bottom w:val="single" w:sz="4" w:space="0" w:color="000000"/>
            </w:tcBorders>
            <w:vAlign w:val="center"/>
          </w:tcPr>
          <w:p w14:paraId="2FB00EAC"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Wymagania</w:t>
            </w:r>
          </w:p>
          <w:p w14:paraId="102F979B"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dla AC 11 S</w:t>
            </w:r>
          </w:p>
        </w:tc>
        <w:tc>
          <w:tcPr>
            <w:tcW w:w="2551" w:type="dxa"/>
            <w:tcBorders>
              <w:top w:val="single" w:sz="4" w:space="0" w:color="000000"/>
              <w:left w:val="single" w:sz="4" w:space="0" w:color="000000"/>
              <w:right w:val="single" w:sz="4" w:space="0" w:color="000000"/>
            </w:tcBorders>
            <w:vAlign w:val="center"/>
          </w:tcPr>
          <w:p w14:paraId="0CD7D4D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Metoda i warunki badania</w:t>
            </w:r>
          </w:p>
        </w:tc>
      </w:tr>
      <w:tr w:rsidR="005E0BE2" w14:paraId="78BD922C" w14:textId="77777777">
        <w:trPr>
          <w:cantSplit/>
          <w:trHeight w:val="704"/>
        </w:trPr>
        <w:tc>
          <w:tcPr>
            <w:tcW w:w="501" w:type="dxa"/>
            <w:tcBorders>
              <w:top w:val="single" w:sz="4" w:space="0" w:color="000000"/>
              <w:left w:val="single" w:sz="4" w:space="0" w:color="000000"/>
              <w:bottom w:val="single" w:sz="4" w:space="0" w:color="000000"/>
            </w:tcBorders>
            <w:vAlign w:val="center"/>
          </w:tcPr>
          <w:p w14:paraId="4FBD301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1.</w:t>
            </w:r>
          </w:p>
        </w:tc>
        <w:tc>
          <w:tcPr>
            <w:tcW w:w="2334" w:type="dxa"/>
            <w:tcBorders>
              <w:top w:val="single" w:sz="4" w:space="0" w:color="000000"/>
              <w:left w:val="single" w:sz="4" w:space="0" w:color="000000"/>
              <w:bottom w:val="single" w:sz="4" w:space="0" w:color="000000"/>
            </w:tcBorders>
            <w:vAlign w:val="center"/>
          </w:tcPr>
          <w:p w14:paraId="27EAA02C"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w:t>
            </w:r>
          </w:p>
        </w:tc>
        <w:tc>
          <w:tcPr>
            <w:tcW w:w="2268" w:type="dxa"/>
            <w:tcBorders>
              <w:top w:val="single" w:sz="4" w:space="0" w:color="000000"/>
              <w:left w:val="single" w:sz="4" w:space="0" w:color="000000"/>
              <w:bottom w:val="single" w:sz="4" w:space="0" w:color="000000"/>
            </w:tcBorders>
            <w:vAlign w:val="center"/>
          </w:tcPr>
          <w:p w14:paraId="6F0F8C3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2828706"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min 1,0</w:t>
            </w:r>
          </w:p>
          <w:p w14:paraId="2482CCD2"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max 3,0</w:t>
            </w:r>
          </w:p>
        </w:tc>
        <w:tc>
          <w:tcPr>
            <w:tcW w:w="2551" w:type="dxa"/>
            <w:tcBorders>
              <w:top w:val="single" w:sz="4" w:space="0" w:color="000000"/>
              <w:left w:val="single" w:sz="4" w:space="0" w:color="000000"/>
              <w:bottom w:val="single" w:sz="4" w:space="0" w:color="000000"/>
              <w:right w:val="single" w:sz="4" w:space="0" w:color="000000"/>
            </w:tcBorders>
            <w:vAlign w:val="center"/>
          </w:tcPr>
          <w:p w14:paraId="48F84D6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4</w:t>
            </w:r>
          </w:p>
        </w:tc>
      </w:tr>
      <w:tr w:rsidR="005E0BE2" w14:paraId="2118A508" w14:textId="77777777">
        <w:trPr>
          <w:cantSplit/>
          <w:trHeight w:val="701"/>
        </w:trPr>
        <w:tc>
          <w:tcPr>
            <w:tcW w:w="501" w:type="dxa"/>
            <w:tcBorders>
              <w:top w:val="single" w:sz="4" w:space="0" w:color="000000"/>
              <w:left w:val="single" w:sz="4" w:space="0" w:color="000000"/>
              <w:bottom w:val="single" w:sz="4" w:space="0" w:color="000000"/>
            </w:tcBorders>
            <w:vAlign w:val="center"/>
          </w:tcPr>
          <w:p w14:paraId="1B9D9F9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2.</w:t>
            </w:r>
          </w:p>
        </w:tc>
        <w:tc>
          <w:tcPr>
            <w:tcW w:w="2334" w:type="dxa"/>
            <w:tcBorders>
              <w:top w:val="single" w:sz="4" w:space="0" w:color="000000"/>
              <w:left w:val="single" w:sz="4" w:space="0" w:color="000000"/>
              <w:bottom w:val="single" w:sz="4" w:space="0" w:color="000000"/>
            </w:tcBorders>
            <w:vAlign w:val="center"/>
          </w:tcPr>
          <w:p w14:paraId="08FF41A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Wolne przestrzenie wypełnione lepiszczem</w:t>
            </w:r>
          </w:p>
        </w:tc>
        <w:tc>
          <w:tcPr>
            <w:tcW w:w="2268" w:type="dxa"/>
            <w:tcBorders>
              <w:top w:val="single" w:sz="4" w:space="0" w:color="000000"/>
              <w:left w:val="single" w:sz="4" w:space="0" w:color="000000"/>
              <w:bottom w:val="single" w:sz="4" w:space="0" w:color="000000"/>
            </w:tcBorders>
            <w:vAlign w:val="center"/>
          </w:tcPr>
          <w:p w14:paraId="4385DA63"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0117EF72"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min 75,0</w:t>
            </w:r>
          </w:p>
          <w:p w14:paraId="0E4995F9" w14:textId="77777777" w:rsidR="005E0BE2" w:rsidRDefault="006A6BD4">
            <w:pPr>
              <w:suppressAutoHyphens/>
              <w:jc w:val="center"/>
              <w:rPr>
                <w:rFonts w:ascii="Arial" w:hAnsi="Arial" w:cs="Arial"/>
                <w:sz w:val="18"/>
                <w:szCs w:val="18"/>
                <w:vertAlign w:val="subscript"/>
                <w:lang w:eastAsia="ar-SA"/>
              </w:rPr>
            </w:pPr>
            <w:r>
              <w:rPr>
                <w:rFonts w:ascii="Arial" w:hAnsi="Arial" w:cs="Arial"/>
                <w:sz w:val="18"/>
                <w:szCs w:val="18"/>
                <w:lang w:eastAsia="ar-SA"/>
              </w:rPr>
              <w:t xml:space="preserve">VFB </w:t>
            </w:r>
            <w:r>
              <w:rPr>
                <w:rFonts w:ascii="Arial" w:hAnsi="Arial" w:cs="Arial"/>
                <w:sz w:val="18"/>
                <w:szCs w:val="18"/>
                <w:vertAlign w:val="subscript"/>
                <w:lang w:eastAsia="ar-SA"/>
              </w:rPr>
              <w:t>max 93,0</w:t>
            </w:r>
          </w:p>
        </w:tc>
        <w:tc>
          <w:tcPr>
            <w:tcW w:w="2551" w:type="dxa"/>
            <w:tcBorders>
              <w:top w:val="single" w:sz="4" w:space="0" w:color="000000"/>
              <w:left w:val="single" w:sz="4" w:space="0" w:color="000000"/>
              <w:bottom w:val="single" w:sz="4" w:space="0" w:color="000000"/>
              <w:right w:val="single" w:sz="4" w:space="0" w:color="000000"/>
            </w:tcBorders>
            <w:vAlign w:val="center"/>
          </w:tcPr>
          <w:p w14:paraId="380B35B8"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5</w:t>
            </w:r>
          </w:p>
        </w:tc>
      </w:tr>
      <w:tr w:rsidR="005E0BE2" w14:paraId="78355B0A" w14:textId="77777777">
        <w:trPr>
          <w:cantSplit/>
          <w:trHeight w:val="701"/>
        </w:trPr>
        <w:tc>
          <w:tcPr>
            <w:tcW w:w="501" w:type="dxa"/>
            <w:tcBorders>
              <w:top w:val="single" w:sz="4" w:space="0" w:color="000000"/>
              <w:left w:val="single" w:sz="4" w:space="0" w:color="000000"/>
              <w:bottom w:val="single" w:sz="4" w:space="0" w:color="000000"/>
            </w:tcBorders>
            <w:vAlign w:val="center"/>
          </w:tcPr>
          <w:p w14:paraId="497FE325"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3.</w:t>
            </w:r>
          </w:p>
        </w:tc>
        <w:tc>
          <w:tcPr>
            <w:tcW w:w="2334" w:type="dxa"/>
            <w:tcBorders>
              <w:top w:val="single" w:sz="4" w:space="0" w:color="000000"/>
              <w:left w:val="single" w:sz="4" w:space="0" w:color="000000"/>
              <w:bottom w:val="single" w:sz="4" w:space="0" w:color="000000"/>
            </w:tcBorders>
            <w:vAlign w:val="center"/>
          </w:tcPr>
          <w:p w14:paraId="4A39E7F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Zawartość wolnych przestrzeni w mieszance mineralnej</w:t>
            </w:r>
          </w:p>
        </w:tc>
        <w:tc>
          <w:tcPr>
            <w:tcW w:w="2268" w:type="dxa"/>
            <w:tcBorders>
              <w:top w:val="single" w:sz="4" w:space="0" w:color="000000"/>
              <w:left w:val="single" w:sz="4" w:space="0" w:color="000000"/>
              <w:bottom w:val="single" w:sz="4" w:space="0" w:color="000000"/>
            </w:tcBorders>
            <w:vAlign w:val="center"/>
          </w:tcPr>
          <w:p w14:paraId="2A84F3A8"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C.1.2; ubijanie</w:t>
            </w:r>
            <w:r>
              <w:rPr>
                <w:rFonts w:ascii="Arial" w:hAnsi="Arial" w:cs="Arial"/>
                <w:sz w:val="18"/>
                <w:szCs w:val="18"/>
                <w:lang w:eastAsia="ar-SA"/>
              </w:rPr>
              <w:br/>
              <w:t xml:space="preserve">2x50uderzeń               </w:t>
            </w:r>
          </w:p>
        </w:tc>
        <w:tc>
          <w:tcPr>
            <w:tcW w:w="1418" w:type="dxa"/>
            <w:tcBorders>
              <w:top w:val="single" w:sz="4" w:space="0" w:color="000000"/>
              <w:left w:val="single" w:sz="4" w:space="0" w:color="000000"/>
              <w:bottom w:val="single" w:sz="4" w:space="0" w:color="000000"/>
            </w:tcBorders>
            <w:vAlign w:val="center"/>
          </w:tcPr>
          <w:p w14:paraId="4984305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 xml:space="preserve">VMA </w:t>
            </w:r>
            <w:r>
              <w:rPr>
                <w:rFonts w:ascii="Arial" w:hAnsi="Arial" w:cs="Arial"/>
                <w:sz w:val="18"/>
                <w:szCs w:val="18"/>
                <w:vertAlign w:val="subscript"/>
                <w:lang w:eastAsia="ar-SA"/>
              </w:rPr>
              <w:t>min 14,0</w:t>
            </w:r>
          </w:p>
        </w:tc>
        <w:tc>
          <w:tcPr>
            <w:tcW w:w="2551" w:type="dxa"/>
            <w:tcBorders>
              <w:top w:val="single" w:sz="4" w:space="0" w:color="000000"/>
              <w:left w:val="single" w:sz="4" w:space="0" w:color="000000"/>
              <w:bottom w:val="single" w:sz="4" w:space="0" w:color="000000"/>
              <w:right w:val="single" w:sz="4" w:space="0" w:color="000000"/>
            </w:tcBorders>
            <w:vAlign w:val="center"/>
          </w:tcPr>
          <w:p w14:paraId="6F3FA8A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12697-8, p. 6</w:t>
            </w:r>
          </w:p>
        </w:tc>
      </w:tr>
      <w:tr w:rsidR="005E0BE2" w14:paraId="1BFC1250" w14:textId="77777777">
        <w:trPr>
          <w:cantSplit/>
          <w:trHeight w:val="683"/>
        </w:trPr>
        <w:tc>
          <w:tcPr>
            <w:tcW w:w="501" w:type="dxa"/>
            <w:tcBorders>
              <w:top w:val="single" w:sz="4" w:space="0" w:color="000000"/>
              <w:left w:val="single" w:sz="4" w:space="0" w:color="000000"/>
              <w:bottom w:val="single" w:sz="4" w:space="0" w:color="000000"/>
            </w:tcBorders>
            <w:vAlign w:val="center"/>
          </w:tcPr>
          <w:p w14:paraId="31F2892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4.</w:t>
            </w:r>
          </w:p>
        </w:tc>
        <w:tc>
          <w:tcPr>
            <w:tcW w:w="2334" w:type="dxa"/>
            <w:tcBorders>
              <w:top w:val="single" w:sz="4" w:space="0" w:color="000000"/>
              <w:left w:val="single" w:sz="4" w:space="0" w:color="000000"/>
              <w:bottom w:val="single" w:sz="4" w:space="0" w:color="000000"/>
            </w:tcBorders>
            <w:vAlign w:val="center"/>
          </w:tcPr>
          <w:p w14:paraId="40840351"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Odporność na działanie wody</w:t>
            </w:r>
          </w:p>
        </w:tc>
        <w:tc>
          <w:tcPr>
            <w:tcW w:w="2268" w:type="dxa"/>
            <w:tcBorders>
              <w:top w:val="single" w:sz="4" w:space="0" w:color="000000"/>
              <w:left w:val="single" w:sz="4" w:space="0" w:color="000000"/>
              <w:bottom w:val="single" w:sz="4" w:space="0" w:color="000000"/>
            </w:tcBorders>
            <w:vAlign w:val="center"/>
          </w:tcPr>
          <w:p w14:paraId="2380211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C1.1, ubijanie, </w:t>
            </w:r>
          </w:p>
          <w:p w14:paraId="0581D044"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2x35 uderzeń </w:t>
            </w:r>
          </w:p>
        </w:tc>
        <w:tc>
          <w:tcPr>
            <w:tcW w:w="1418" w:type="dxa"/>
            <w:tcBorders>
              <w:top w:val="single" w:sz="4" w:space="0" w:color="000000"/>
              <w:left w:val="single" w:sz="4" w:space="0" w:color="000000"/>
              <w:bottom w:val="single" w:sz="4" w:space="0" w:color="000000"/>
            </w:tcBorders>
            <w:vAlign w:val="center"/>
          </w:tcPr>
          <w:p w14:paraId="601F6591"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ITSR</w:t>
            </w:r>
            <w:r>
              <w:rPr>
                <w:rFonts w:ascii="Arial" w:hAnsi="Arial" w:cs="Arial"/>
                <w:sz w:val="18"/>
                <w:szCs w:val="18"/>
                <w:vertAlign w:val="subscript"/>
                <w:lang w:eastAsia="ar-SA"/>
              </w:rPr>
              <w:t>90</w:t>
            </w:r>
          </w:p>
        </w:tc>
        <w:tc>
          <w:tcPr>
            <w:tcW w:w="2551" w:type="dxa"/>
            <w:tcBorders>
              <w:top w:val="single" w:sz="4" w:space="0" w:color="000000"/>
              <w:left w:val="single" w:sz="4" w:space="0" w:color="000000"/>
              <w:bottom w:val="single" w:sz="4" w:space="0" w:color="000000"/>
              <w:right w:val="single" w:sz="4" w:space="0" w:color="000000"/>
            </w:tcBorders>
            <w:vAlign w:val="center"/>
          </w:tcPr>
          <w:p w14:paraId="2F88539A"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PN-EN 12697-12, przechowywanie w 40</w:t>
            </w:r>
            <w:r>
              <w:rPr>
                <w:rFonts w:ascii="Arial" w:hAnsi="Arial" w:cs="Arial"/>
                <w:sz w:val="18"/>
                <w:szCs w:val="18"/>
                <w:vertAlign w:val="superscript"/>
                <w:lang w:eastAsia="ar-SA"/>
              </w:rPr>
              <w:t>o</w:t>
            </w:r>
            <w:r>
              <w:rPr>
                <w:rFonts w:ascii="Arial" w:hAnsi="Arial" w:cs="Arial"/>
                <w:sz w:val="18"/>
                <w:szCs w:val="18"/>
                <w:lang w:eastAsia="ar-SA"/>
              </w:rPr>
              <w:t xml:space="preserve">C z jednym cyklem zamrażania </w:t>
            </w:r>
            <w:r>
              <w:rPr>
                <w:rFonts w:ascii="Arial" w:hAnsi="Arial" w:cs="Arial"/>
                <w:sz w:val="18"/>
                <w:szCs w:val="18"/>
                <w:vertAlign w:val="superscript"/>
                <w:lang w:eastAsia="ar-SA"/>
              </w:rPr>
              <w:t xml:space="preserve">a) </w:t>
            </w:r>
            <w:r>
              <w:rPr>
                <w:rFonts w:ascii="Arial" w:hAnsi="Arial" w:cs="Arial"/>
                <w:sz w:val="18"/>
                <w:szCs w:val="18"/>
                <w:lang w:eastAsia="ar-SA"/>
              </w:rPr>
              <w:t>badanie w 25</w:t>
            </w:r>
            <w:r>
              <w:rPr>
                <w:rFonts w:ascii="Arial" w:hAnsi="Arial" w:cs="Arial"/>
                <w:sz w:val="18"/>
                <w:szCs w:val="18"/>
                <w:vertAlign w:val="superscript"/>
                <w:lang w:eastAsia="ar-SA"/>
              </w:rPr>
              <w:t>o</w:t>
            </w:r>
            <w:r>
              <w:rPr>
                <w:rFonts w:ascii="Arial" w:hAnsi="Arial" w:cs="Arial"/>
                <w:sz w:val="18"/>
                <w:szCs w:val="18"/>
                <w:lang w:eastAsia="ar-SA"/>
              </w:rPr>
              <w:t>C</w:t>
            </w:r>
          </w:p>
        </w:tc>
      </w:tr>
      <w:tr w:rsidR="005E0BE2" w14:paraId="531A5A85" w14:textId="77777777">
        <w:trPr>
          <w:cantSplit/>
          <w:trHeight w:val="349"/>
        </w:trPr>
        <w:tc>
          <w:tcPr>
            <w:tcW w:w="501" w:type="dxa"/>
            <w:tcBorders>
              <w:top w:val="single" w:sz="4" w:space="0" w:color="000000"/>
              <w:left w:val="single" w:sz="4" w:space="0" w:color="000000"/>
              <w:bottom w:val="single" w:sz="4" w:space="0" w:color="000000"/>
            </w:tcBorders>
            <w:vAlign w:val="center"/>
          </w:tcPr>
          <w:p w14:paraId="305758F6"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5.</w:t>
            </w:r>
          </w:p>
        </w:tc>
        <w:tc>
          <w:tcPr>
            <w:tcW w:w="2334" w:type="dxa"/>
            <w:tcBorders>
              <w:top w:val="single" w:sz="4" w:space="0" w:color="000000"/>
              <w:left w:val="single" w:sz="4" w:space="0" w:color="000000"/>
              <w:bottom w:val="single" w:sz="4" w:space="0" w:color="000000"/>
            </w:tcBorders>
            <w:vAlign w:val="center"/>
          </w:tcPr>
          <w:p w14:paraId="21FC9D4D"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Wskaźnik zagęszczenia,                   </w:t>
            </w:r>
          </w:p>
        </w:tc>
        <w:tc>
          <w:tcPr>
            <w:tcW w:w="2268" w:type="dxa"/>
            <w:tcBorders>
              <w:top w:val="single" w:sz="4" w:space="0" w:color="000000"/>
              <w:left w:val="single" w:sz="4" w:space="0" w:color="000000"/>
              <w:bottom w:val="single" w:sz="4" w:space="0" w:color="000000"/>
            </w:tcBorders>
            <w:vAlign w:val="center"/>
          </w:tcPr>
          <w:p w14:paraId="732B54D5"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6062629E"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≥98,0</w:t>
            </w:r>
          </w:p>
        </w:tc>
        <w:tc>
          <w:tcPr>
            <w:tcW w:w="2551" w:type="dxa"/>
            <w:tcBorders>
              <w:top w:val="single" w:sz="4" w:space="0" w:color="000000"/>
              <w:left w:val="single" w:sz="4" w:space="0" w:color="000000"/>
              <w:bottom w:val="single" w:sz="4" w:space="0" w:color="000000"/>
              <w:right w:val="single" w:sz="4" w:space="0" w:color="000000"/>
            </w:tcBorders>
            <w:vAlign w:val="center"/>
          </w:tcPr>
          <w:p w14:paraId="396E2F53"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6.2.2.6 niniejszej STWiORB</w:t>
            </w:r>
          </w:p>
        </w:tc>
      </w:tr>
      <w:tr w:rsidR="005E0BE2" w14:paraId="0F3DB7F5" w14:textId="77777777">
        <w:trPr>
          <w:cantSplit/>
          <w:trHeight w:val="364"/>
        </w:trPr>
        <w:tc>
          <w:tcPr>
            <w:tcW w:w="501" w:type="dxa"/>
            <w:tcBorders>
              <w:top w:val="single" w:sz="4" w:space="0" w:color="000000"/>
              <w:left w:val="single" w:sz="4" w:space="0" w:color="000000"/>
              <w:bottom w:val="single" w:sz="4" w:space="0" w:color="000000"/>
            </w:tcBorders>
            <w:vAlign w:val="center"/>
          </w:tcPr>
          <w:p w14:paraId="350F7237"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6.</w:t>
            </w:r>
          </w:p>
        </w:tc>
        <w:tc>
          <w:tcPr>
            <w:tcW w:w="2334" w:type="dxa"/>
            <w:tcBorders>
              <w:top w:val="single" w:sz="4" w:space="0" w:color="000000"/>
              <w:left w:val="single" w:sz="4" w:space="0" w:color="000000"/>
              <w:bottom w:val="single" w:sz="4" w:space="0" w:color="000000"/>
            </w:tcBorders>
            <w:vAlign w:val="center"/>
          </w:tcPr>
          <w:p w14:paraId="2C9D6FEA" w14:textId="77777777" w:rsidR="005E0BE2" w:rsidRDefault="006A6BD4">
            <w:pPr>
              <w:suppressAutoHyphens/>
              <w:snapToGrid w:val="0"/>
              <w:rPr>
                <w:rFonts w:ascii="Arial" w:hAnsi="Arial" w:cs="Arial"/>
                <w:sz w:val="18"/>
                <w:szCs w:val="18"/>
                <w:lang w:eastAsia="ar-SA"/>
              </w:rPr>
            </w:pPr>
            <w:r>
              <w:rPr>
                <w:rFonts w:ascii="Arial" w:hAnsi="Arial" w:cs="Arial"/>
                <w:sz w:val="18"/>
                <w:szCs w:val="18"/>
                <w:lang w:eastAsia="ar-SA"/>
              </w:rPr>
              <w:t xml:space="preserve">Zawartość wolnych przestrzeni w warstwie,                                        </w:t>
            </w:r>
          </w:p>
        </w:tc>
        <w:tc>
          <w:tcPr>
            <w:tcW w:w="2268" w:type="dxa"/>
            <w:tcBorders>
              <w:top w:val="single" w:sz="4" w:space="0" w:color="000000"/>
              <w:left w:val="single" w:sz="4" w:space="0" w:color="000000"/>
              <w:bottom w:val="single" w:sz="4" w:space="0" w:color="000000"/>
            </w:tcBorders>
            <w:vAlign w:val="center"/>
          </w:tcPr>
          <w:p w14:paraId="2EDB25D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w:t>
            </w:r>
          </w:p>
        </w:tc>
        <w:tc>
          <w:tcPr>
            <w:tcW w:w="1418" w:type="dxa"/>
            <w:tcBorders>
              <w:top w:val="single" w:sz="4" w:space="0" w:color="000000"/>
              <w:left w:val="single" w:sz="4" w:space="0" w:color="000000"/>
              <w:bottom w:val="single" w:sz="4" w:space="0" w:color="000000"/>
            </w:tcBorders>
            <w:vAlign w:val="center"/>
          </w:tcPr>
          <w:p w14:paraId="2848A8E4" w14:textId="77777777" w:rsidR="005E0BE2" w:rsidRDefault="006A6BD4">
            <w:pPr>
              <w:suppressAutoHyphens/>
              <w:snapToGrid w:val="0"/>
              <w:jc w:val="center"/>
              <w:rPr>
                <w:rFonts w:ascii="Arial" w:hAnsi="Arial" w:cs="Arial"/>
                <w:sz w:val="18"/>
                <w:szCs w:val="18"/>
                <w:vertAlign w:val="subscript"/>
                <w:lang w:eastAsia="ar-SA"/>
              </w:rPr>
            </w:pPr>
            <w:r>
              <w:rPr>
                <w:rFonts w:ascii="Arial" w:hAnsi="Arial" w:cs="Arial"/>
                <w:sz w:val="18"/>
                <w:szCs w:val="18"/>
                <w:lang w:eastAsia="ar-SA"/>
              </w:rPr>
              <w:t xml:space="preserve">V </w:t>
            </w:r>
            <w:r>
              <w:rPr>
                <w:rFonts w:ascii="Arial" w:hAnsi="Arial" w:cs="Arial"/>
                <w:sz w:val="18"/>
                <w:szCs w:val="18"/>
                <w:vertAlign w:val="subscript"/>
                <w:lang w:eastAsia="ar-SA"/>
              </w:rPr>
              <w:t xml:space="preserve">min 1,0                  </w:t>
            </w:r>
            <w:r>
              <w:rPr>
                <w:rFonts w:ascii="Arial" w:hAnsi="Arial" w:cs="Arial"/>
                <w:sz w:val="18"/>
                <w:szCs w:val="18"/>
                <w:lang w:eastAsia="ar-SA"/>
              </w:rPr>
              <w:t xml:space="preserve">V </w:t>
            </w:r>
            <w:r>
              <w:rPr>
                <w:rFonts w:ascii="Arial" w:hAnsi="Arial" w:cs="Arial"/>
                <w:sz w:val="18"/>
                <w:szCs w:val="18"/>
                <w:vertAlign w:val="subscript"/>
                <w:lang w:eastAsia="ar-SA"/>
              </w:rPr>
              <w:t>max 4,5</w:t>
            </w:r>
          </w:p>
        </w:tc>
        <w:tc>
          <w:tcPr>
            <w:tcW w:w="2551" w:type="dxa"/>
            <w:tcBorders>
              <w:top w:val="single" w:sz="4" w:space="0" w:color="000000"/>
              <w:left w:val="single" w:sz="4" w:space="0" w:color="000000"/>
              <w:bottom w:val="single" w:sz="4" w:space="0" w:color="000000"/>
              <w:right w:val="single" w:sz="4" w:space="0" w:color="000000"/>
            </w:tcBorders>
            <w:vAlign w:val="center"/>
          </w:tcPr>
          <w:p w14:paraId="0683F43F"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pkt. 6.2.2.7. niniejszej STWiORB</w:t>
            </w:r>
          </w:p>
        </w:tc>
      </w:tr>
      <w:tr w:rsidR="005E0BE2" w14:paraId="6269F0D6" w14:textId="77777777">
        <w:trPr>
          <w:cantSplit/>
          <w:trHeight w:val="364"/>
        </w:trPr>
        <w:tc>
          <w:tcPr>
            <w:tcW w:w="9072" w:type="dxa"/>
            <w:gridSpan w:val="5"/>
            <w:tcBorders>
              <w:top w:val="single" w:sz="4" w:space="0" w:color="000000"/>
              <w:left w:val="single" w:sz="4" w:space="0" w:color="000000"/>
              <w:bottom w:val="single" w:sz="4" w:space="0" w:color="000000"/>
              <w:right w:val="single" w:sz="4" w:space="0" w:color="000000"/>
            </w:tcBorders>
          </w:tcPr>
          <w:p w14:paraId="4DC6E5C7" w14:textId="77777777" w:rsidR="005E0BE2" w:rsidRDefault="006A6BD4">
            <w:pPr>
              <w:suppressAutoHyphens/>
              <w:snapToGrid w:val="0"/>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ujednoliconą procedurę badania wrażliwości na działanie wody z jednym cyklem zamrażania podano w załączniku nr 1 </w:t>
            </w:r>
          </w:p>
        </w:tc>
      </w:tr>
    </w:tbl>
    <w:p w14:paraId="15493103" w14:textId="77777777" w:rsidR="005E0BE2" w:rsidRDefault="005E0BE2">
      <w:pPr>
        <w:suppressAutoHyphens/>
        <w:rPr>
          <w:rFonts w:ascii="Arial" w:hAnsi="Arial" w:cs="Arial"/>
          <w:sz w:val="18"/>
          <w:szCs w:val="18"/>
          <w:lang w:eastAsia="ar-SA"/>
        </w:rPr>
      </w:pPr>
    </w:p>
    <w:p w14:paraId="33EA0FD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5.3.     Wytwarzanie mieszanki mineralno-asfaltowej</w:t>
      </w:r>
    </w:p>
    <w:p w14:paraId="356D82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Wytwarzanie mieszanki mineralno-asfaltowej powinno odbywać się w oparciu o receptę zatwierdzoną przez Inspektora Nadzoru. Mieszankę mineralno-asfaltową należy produkować w otaczarce, zapewniającej prawidłowe dozowanie składników, ich wysuszenie i wymieszanie oraz zachowanie temperatury składników i gotowej mieszanki mineralno-asfaltowej. Sposób i czas mieszania składników mieszanki mineralno-asfaltowej powinny zapewnić równomierne otoczenie kruszywa lepiszczem.</w:t>
      </w:r>
    </w:p>
    <w:p w14:paraId="4537C780" w14:textId="77777777" w:rsidR="005E0BE2" w:rsidRDefault="006A6BD4">
      <w:pPr>
        <w:suppressAutoHyphens/>
        <w:ind w:firstLine="567"/>
        <w:jc w:val="both"/>
        <w:rPr>
          <w:rFonts w:ascii="Arial" w:hAnsi="Arial" w:cs="Arial"/>
          <w:spacing w:val="-3"/>
          <w:sz w:val="18"/>
          <w:szCs w:val="18"/>
          <w:lang w:eastAsia="ar-SA"/>
        </w:rPr>
      </w:pPr>
      <w:r>
        <w:rPr>
          <w:rFonts w:ascii="Arial" w:hAnsi="Arial" w:cs="Arial"/>
          <w:sz w:val="18"/>
          <w:szCs w:val="18"/>
          <w:lang w:eastAsia="ar-SA"/>
        </w:rPr>
        <w:t xml:space="preserve">Sposób dozowania środka adhezyjnego powinien być zaakceptowany przez Inspektora Nadzoru. </w:t>
      </w:r>
      <w:r>
        <w:rPr>
          <w:rFonts w:ascii="Arial" w:hAnsi="Arial" w:cs="Arial"/>
          <w:spacing w:val="-3"/>
          <w:sz w:val="18"/>
          <w:szCs w:val="18"/>
          <w:lang w:eastAsia="ar-SA"/>
        </w:rPr>
        <w:t>System dozowania środków adhezyjnych powinien zapewnić jednorodność dozowania. Warunki wytwarzania i przechowywania mieszanki mineralno-asfaltowej na gorąco nie powinny istotnie wpływać na skuteczność działania tych środków.</w:t>
      </w:r>
    </w:p>
    <w:p w14:paraId="07ED61E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Kruszywo powinno być wysuszone i tak podgrzane, aby mieszanka mineralna po dodaniu wypełniacza uzyskała właściwą temperaturę. Maksymalna temperatura gorącego kruszywa nie powinna być wyższa o więcej niż 30</w:t>
      </w:r>
      <w:r>
        <w:rPr>
          <w:rFonts w:ascii="Arial" w:hAnsi="Arial" w:cs="Arial"/>
          <w:sz w:val="18"/>
          <w:szCs w:val="18"/>
          <w:vertAlign w:val="superscript"/>
          <w:lang w:eastAsia="ar-SA"/>
        </w:rPr>
        <w:t>o</w:t>
      </w:r>
      <w:r>
        <w:rPr>
          <w:rFonts w:ascii="Arial" w:hAnsi="Arial" w:cs="Arial"/>
          <w:sz w:val="18"/>
          <w:szCs w:val="18"/>
          <w:lang w:eastAsia="ar-SA"/>
        </w:rPr>
        <w:t xml:space="preserve"> C od maksymalnej temperatury mieszanki mineralno-asfaltowej.</w:t>
      </w:r>
    </w:p>
    <w:p w14:paraId="38D0A9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mieszanki powinna wynosić dla asfaltu 50/70 od 140</w:t>
      </w:r>
      <w:r>
        <w:rPr>
          <w:rFonts w:ascii="Arial" w:hAnsi="Arial" w:cs="Arial"/>
          <w:sz w:val="18"/>
          <w:szCs w:val="18"/>
          <w:vertAlign w:val="superscript"/>
          <w:lang w:eastAsia="ar-SA"/>
        </w:rPr>
        <w:t>0</w:t>
      </w:r>
      <w:r>
        <w:rPr>
          <w:rFonts w:ascii="Arial" w:hAnsi="Arial" w:cs="Arial"/>
          <w:sz w:val="18"/>
          <w:szCs w:val="18"/>
          <w:lang w:eastAsia="ar-SA"/>
        </w:rPr>
        <w:t>C do 180</w:t>
      </w:r>
      <w:r>
        <w:rPr>
          <w:rFonts w:ascii="Arial" w:hAnsi="Arial" w:cs="Arial"/>
          <w:sz w:val="18"/>
          <w:szCs w:val="18"/>
          <w:vertAlign w:val="superscript"/>
          <w:lang w:eastAsia="ar-SA"/>
        </w:rPr>
        <w:t>0</w:t>
      </w:r>
      <w:r>
        <w:rPr>
          <w:rFonts w:ascii="Arial" w:hAnsi="Arial" w:cs="Arial"/>
          <w:sz w:val="18"/>
          <w:szCs w:val="18"/>
          <w:lang w:eastAsia="ar-SA"/>
        </w:rPr>
        <w:t>C.</w:t>
      </w:r>
    </w:p>
    <w:p w14:paraId="37F775F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Najwyższa temperatura dotyczy mieszanki mineralno-asfaltowej bezpośrednio po wytworzeniu.</w:t>
      </w:r>
    </w:p>
    <w:p w14:paraId="2B759BA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Najniższa temperatura dotyczy mieszanki mineralno-asfaltowej dostarczonej na miejsce wbudowania.</w:t>
      </w:r>
    </w:p>
    <w:p w14:paraId="59E08F4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Dla wyprodukowanej mieszanki mineralno-asfaltowej producent powinien wystawić deklarację zgodności. Deklaracja powinna zawierać:</w:t>
      </w:r>
    </w:p>
    <w:p w14:paraId="16E6B46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nazwę i adres producenta oraz miejsce produkcji,</w:t>
      </w:r>
    </w:p>
    <w:p w14:paraId="2BA379B5" w14:textId="77777777" w:rsidR="005E0BE2" w:rsidRDefault="006A6BD4">
      <w:pPr>
        <w:numPr>
          <w:ilvl w:val="0"/>
          <w:numId w:val="33"/>
        </w:numPr>
        <w:tabs>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opis wyrobu (typ, oznaczenie, zastosowanie, itp.),</w:t>
      </w:r>
    </w:p>
    <w:p w14:paraId="3980E7A0" w14:textId="77777777" w:rsidR="005E0BE2" w:rsidRDefault="006A6BD4">
      <w:pPr>
        <w:numPr>
          <w:ilvl w:val="0"/>
          <w:numId w:val="33"/>
        </w:numPr>
        <w:tabs>
          <w:tab w:val="num" w:pos="284"/>
          <w:tab w:val="num" w:pos="720"/>
        </w:tabs>
        <w:suppressAutoHyphens/>
        <w:ind w:left="284" w:hanging="284"/>
        <w:jc w:val="both"/>
        <w:rPr>
          <w:rFonts w:ascii="Arial" w:hAnsi="Arial" w:cs="Arial"/>
          <w:sz w:val="18"/>
          <w:szCs w:val="18"/>
          <w:lang w:eastAsia="ar-SA"/>
        </w:rPr>
      </w:pPr>
      <w:r>
        <w:rPr>
          <w:rFonts w:ascii="Arial" w:hAnsi="Arial" w:cs="Arial"/>
          <w:sz w:val="18"/>
          <w:szCs w:val="18"/>
          <w:lang w:eastAsia="ar-SA"/>
        </w:rPr>
        <w:t>warunki, którym odpowiada wyrób tj. odniesienie do niniejszych wymagań oraz obowiązujących norm,</w:t>
      </w:r>
    </w:p>
    <w:p w14:paraId="2142BAEC"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szczególne warunki stosowania,</w:t>
      </w:r>
    </w:p>
    <w:p w14:paraId="1809A263"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numer dołączonego certyfikatu Zakładowej Kontroli Produkcji,</w:t>
      </w:r>
    </w:p>
    <w:p w14:paraId="44A781B6" w14:textId="77777777" w:rsidR="005E0BE2" w:rsidRDefault="006A6BD4">
      <w:pPr>
        <w:numPr>
          <w:ilvl w:val="0"/>
          <w:numId w:val="33"/>
        </w:numPr>
        <w:suppressAutoHyphens/>
        <w:ind w:left="284" w:hanging="284"/>
        <w:jc w:val="both"/>
        <w:rPr>
          <w:rFonts w:ascii="Arial" w:hAnsi="Arial" w:cs="Arial"/>
          <w:sz w:val="18"/>
          <w:szCs w:val="18"/>
          <w:lang w:eastAsia="ar-SA"/>
        </w:rPr>
      </w:pPr>
      <w:r>
        <w:rPr>
          <w:rFonts w:ascii="Arial" w:hAnsi="Arial" w:cs="Arial"/>
          <w:sz w:val="18"/>
          <w:szCs w:val="18"/>
          <w:lang w:eastAsia="ar-SA"/>
        </w:rPr>
        <w:t>nazwisko, stanowisko osoby upoważnionej do podpisania deklaracji w imieniu producenta.</w:t>
      </w:r>
    </w:p>
    <w:p w14:paraId="6928037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ma obowiązek informować Nadzór o aktualnym PPZ (Produkcyjny Poziom Zgodności) osiąganym przez WMB w danym tygodniu.</w:t>
      </w:r>
    </w:p>
    <w:p w14:paraId="3F1A296D" w14:textId="77777777" w:rsidR="005E0BE2" w:rsidRDefault="005E0BE2">
      <w:pPr>
        <w:suppressAutoHyphens/>
        <w:jc w:val="both"/>
        <w:rPr>
          <w:rFonts w:ascii="Arial" w:hAnsi="Arial" w:cs="Arial"/>
          <w:sz w:val="18"/>
          <w:szCs w:val="18"/>
          <w:lang w:eastAsia="ar-SA"/>
        </w:rPr>
      </w:pPr>
    </w:p>
    <w:p w14:paraId="69B406B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lastRenderedPageBreak/>
        <w:t xml:space="preserve">5.4.     Próba technologiczna </w:t>
      </w:r>
    </w:p>
    <w:p w14:paraId="3A72D607"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 xml:space="preserve">Ustalony skład wejściowy mieszanki mineralno-asfaltowej powinien, przed ostatecznym zastosowaniem, zostać sprawdzony w warunkach budowy poprzez wykonanie próby technologicznej. </w:t>
      </w:r>
    </w:p>
    <w:p w14:paraId="628996D1" w14:textId="77777777" w:rsidR="005E0BE2" w:rsidRDefault="006A6BD4">
      <w:pPr>
        <w:suppressAutoHyphens/>
        <w:ind w:firstLine="567"/>
        <w:jc w:val="both"/>
        <w:rPr>
          <w:rFonts w:ascii="Arial" w:eastAsia="Arial" w:hAnsi="Arial" w:cs="Arial"/>
          <w:sz w:val="18"/>
          <w:szCs w:val="18"/>
          <w:lang w:eastAsia="ar-SA"/>
        </w:rPr>
      </w:pPr>
      <w:r>
        <w:rPr>
          <w:rFonts w:ascii="Arial" w:eastAsia="Arial" w:hAnsi="Arial" w:cs="Arial"/>
          <w:sz w:val="18"/>
          <w:szCs w:val="18"/>
          <w:lang w:eastAsia="ar-SA"/>
        </w:rPr>
        <w:t>Próba technologiczna ma na celu sprawdzenie zgodności właściwości wyprodukowanej mieszanki z receptą laboratoryjną.</w:t>
      </w:r>
    </w:p>
    <w:p w14:paraId="536BCCAE" w14:textId="77777777" w:rsidR="005E0BE2" w:rsidRDefault="005E0BE2">
      <w:pPr>
        <w:suppressAutoHyphens/>
        <w:jc w:val="both"/>
        <w:rPr>
          <w:rFonts w:ascii="Arial" w:hAnsi="Arial" w:cs="Arial"/>
          <w:sz w:val="18"/>
          <w:szCs w:val="18"/>
          <w:lang w:eastAsia="ar-SA"/>
        </w:rPr>
      </w:pPr>
    </w:p>
    <w:p w14:paraId="6998199B"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5.5.     Odcinek próbny</w:t>
      </w:r>
    </w:p>
    <w:p w14:paraId="0B1B4CD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 ile Nadzór uzna za celowe, to co najmniej na 3 dni przed rozpoczęciem robót Wykonawca wykona odcinek próbny w celu:</w:t>
      </w:r>
    </w:p>
    <w:p w14:paraId="315EAAE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technologii wbudowania mieszanki mineralno-bitumicznej,</w:t>
      </w:r>
    </w:p>
    <w:p w14:paraId="17CFCDAB"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sprawdzenia, czy użyty sprzęt jest właściwy,</w:t>
      </w:r>
    </w:p>
    <w:p w14:paraId="1A11D9D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grubości warstwy mieszanki mineralno-asfaltowej przed zagęszczeniem, koniecznej do uzyskania wymaganej warstwy,</w:t>
      </w:r>
    </w:p>
    <w:p w14:paraId="39DFA45D"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zbadania parametrów mieszanki, zwłaszcza zawartości wolnych przestrzeni,</w:t>
      </w:r>
    </w:p>
    <w:p w14:paraId="53B15CA6"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określenia potrzebnej ilości przejść walców dla uzyskania prawidłowego zagęszczenia warstwy,</w:t>
      </w:r>
    </w:p>
    <w:p w14:paraId="563C367A" w14:textId="77777777" w:rsidR="005E0BE2" w:rsidRDefault="006A6BD4">
      <w:pPr>
        <w:numPr>
          <w:ilvl w:val="0"/>
          <w:numId w:val="23"/>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wykonania złączy poprzecznych i podłużnych.</w:t>
      </w:r>
    </w:p>
    <w:p w14:paraId="5F02CEE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Odcinek próbny powinien być zlokalizowany poza miejscem budowy, w miejscu i o długości uzgodnionych z Inspektorem Nadzoru.</w:t>
      </w:r>
    </w:p>
    <w:p w14:paraId="09C8FD1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Na odcinku próbnym Wykonawca powinien użyć takich materiałów oraz sprzętu, jakie zamierza stosować do wykonania warstwy ścieralnej z betonu asfaltowego.</w:t>
      </w:r>
    </w:p>
    <w:p w14:paraId="7EA22E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Wykonawca może przystąpić do realizacji robót po zaakceptowaniu przez Inspektora Nadzoru wyników                          z odcinka próbnego i ustalonej technologii zagęszczania.</w:t>
      </w:r>
    </w:p>
    <w:p w14:paraId="2EDFBC59" w14:textId="77777777" w:rsidR="005E0BE2" w:rsidRDefault="005E0BE2">
      <w:pPr>
        <w:suppressAutoHyphens/>
        <w:jc w:val="both"/>
        <w:rPr>
          <w:rFonts w:ascii="Arial" w:hAnsi="Arial" w:cs="Arial"/>
          <w:b/>
          <w:sz w:val="18"/>
          <w:szCs w:val="18"/>
          <w:lang w:eastAsia="ar-SA"/>
        </w:rPr>
      </w:pPr>
    </w:p>
    <w:p w14:paraId="58496AF0"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5.6.     Warunki atmosferyczne</w:t>
      </w:r>
    </w:p>
    <w:p w14:paraId="1398536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Warstwa nawierzchni z mieszanki betonu asfaltowego AC 11 S KR 2 o grubości 4,0 cm, może być układana gdy temperatura otoczenia przed przystąpieniem do robót jest nie niższa niż +5</w:t>
      </w:r>
      <w:r>
        <w:rPr>
          <w:rFonts w:ascii="Arial" w:hAnsi="Arial" w:cs="Arial"/>
          <w:sz w:val="18"/>
          <w:szCs w:val="18"/>
          <w:vertAlign w:val="superscript"/>
          <w:lang w:eastAsia="ar-SA"/>
        </w:rPr>
        <w:t>0</w:t>
      </w:r>
      <w:r>
        <w:rPr>
          <w:rFonts w:ascii="Arial" w:hAnsi="Arial" w:cs="Arial"/>
          <w:sz w:val="18"/>
          <w:szCs w:val="18"/>
          <w:lang w:eastAsia="ar-SA"/>
        </w:rPr>
        <w:t>C, a temperatura otoczenia w czasie wykonywania robót jest nie niższa niż + 5</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55C4649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Temperatura powietrza powinna być mierzona co najmniej 3 razy dziennie w okresach równomiernie rozłożonych w planowanym czasie realizacji dziennej działki roboczej. </w:t>
      </w:r>
    </w:p>
    <w:p w14:paraId="6A52F9D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 dopuszcza się układania mieszanki mineralno-asfaltowej podczas opadów atmosferycznych oraz silnego wiatru. </w:t>
      </w:r>
    </w:p>
    <w:p w14:paraId="0C46E3C1" w14:textId="77777777" w:rsidR="005E0BE2" w:rsidRDefault="005E0BE2">
      <w:pPr>
        <w:suppressAutoHyphens/>
        <w:jc w:val="both"/>
        <w:rPr>
          <w:rFonts w:ascii="Arial" w:hAnsi="Arial" w:cs="Arial"/>
          <w:b/>
          <w:sz w:val="18"/>
          <w:szCs w:val="18"/>
          <w:lang w:eastAsia="ar-SA"/>
        </w:rPr>
      </w:pPr>
    </w:p>
    <w:p w14:paraId="169C1D43"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5.7.     Przygotowanie podłoża</w:t>
      </w:r>
    </w:p>
    <w:p w14:paraId="7E1B450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Podłożem pod warstwę ścieralną będzie istniejąca warstwa nawierzchni.</w:t>
      </w:r>
    </w:p>
    <w:p w14:paraId="773394B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na całej powierzchni powinno być:</w:t>
      </w:r>
    </w:p>
    <w:p w14:paraId="10DC86C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stabilizowane i nośne, </w:t>
      </w:r>
    </w:p>
    <w:p w14:paraId="772A20A1"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czyste, bez zanieczyszczenia i luźnego kruszywa,</w:t>
      </w:r>
    </w:p>
    <w:p w14:paraId="2632B92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suche, </w:t>
      </w:r>
    </w:p>
    <w:p w14:paraId="02F4C530"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wyprofilowane, równe i bez kolein</w:t>
      </w:r>
    </w:p>
    <w:p w14:paraId="033D7DA3" w14:textId="77777777" w:rsidR="005E0BE2" w:rsidRDefault="006A6BD4">
      <w:pPr>
        <w:pStyle w:val="Akapitzlist"/>
        <w:numPr>
          <w:ilvl w:val="0"/>
          <w:numId w:val="34"/>
        </w:numPr>
        <w:tabs>
          <w:tab w:val="left" w:pos="284"/>
        </w:tabs>
        <w:suppressAutoHyphens/>
        <w:ind w:left="284" w:hanging="284"/>
        <w:jc w:val="both"/>
        <w:rPr>
          <w:rFonts w:ascii="Arial" w:hAnsi="Arial" w:cs="Arial"/>
          <w:sz w:val="18"/>
          <w:szCs w:val="18"/>
          <w:lang w:eastAsia="ar-SA"/>
        </w:rPr>
      </w:pPr>
      <w:r>
        <w:rPr>
          <w:rFonts w:ascii="Arial" w:hAnsi="Arial" w:cs="Arial"/>
          <w:sz w:val="18"/>
          <w:szCs w:val="18"/>
          <w:lang w:eastAsia="ar-SA"/>
        </w:rPr>
        <w:t xml:space="preserve">skropione emulsją zapewniającą </w:t>
      </w:r>
      <w:proofErr w:type="spellStart"/>
      <w:r>
        <w:rPr>
          <w:rFonts w:ascii="Arial" w:hAnsi="Arial" w:cs="Arial"/>
          <w:sz w:val="18"/>
          <w:szCs w:val="18"/>
          <w:lang w:eastAsia="ar-SA"/>
        </w:rPr>
        <w:t>szczepność</w:t>
      </w:r>
      <w:proofErr w:type="spellEnd"/>
      <w:r>
        <w:rPr>
          <w:rFonts w:ascii="Arial" w:hAnsi="Arial" w:cs="Arial"/>
          <w:sz w:val="18"/>
          <w:szCs w:val="18"/>
          <w:lang w:eastAsia="ar-SA"/>
        </w:rPr>
        <w:t xml:space="preserve"> warstw.</w:t>
      </w:r>
    </w:p>
    <w:p w14:paraId="6909765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Maksymalne nierówności podłoża podłużne i poprzeczne pod warstwę ścieralną powinny być nie większe niż 9mm.                                                                                                                            </w:t>
      </w:r>
    </w:p>
    <w:p w14:paraId="2B0E955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Na podłożu nie może być śniegu lub lodu. Nie wolno wbudowywać betonu asfaltowego, gdy na podłożu tworzy się zamknięty film wodny. Rzędne wysokościowe podłoża oraz urządzeń usytuowanych w nawierzchni lub ją ograniczających powinny być zgodne z dokumentacja projektową. </w:t>
      </w:r>
    </w:p>
    <w:p w14:paraId="6983E85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 podłoża powinien być zapewniony odpływ wody. Nie dopuszcza się, aby w podłożu były koleiny lub inne zagłębienia mogące powodować zwiększone zaleganie wody.</w:t>
      </w:r>
    </w:p>
    <w:p w14:paraId="04756B9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Oznakowanie poziome na warstwie podłoża należy usunąć. </w:t>
      </w:r>
    </w:p>
    <w:p w14:paraId="27AD176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Nierówności podłoża należy wyrównać przez frezowanie lub wykonanie warstwy wyrównawczej. </w:t>
      </w:r>
    </w:p>
    <w:p w14:paraId="3666E5C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celu polepszenia połączenia między warstwami technologicznymi nawierzchni, powierzchnia podłoża powinna być w ocenie wizualnej chropowata.</w:t>
      </w:r>
    </w:p>
    <w:p w14:paraId="248A526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podłoże jest nieodpowiednie, to należy ustalić, jakie specjalne środki należy podjąć przed wykonaniem warstwy ścieralnej.</w:t>
      </w:r>
    </w:p>
    <w:p w14:paraId="6987C8A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Szerokie szczeliny w podłożu należy wypełnić odpowiednim materiałem, np. zalewami drogowymi według PN-EN 14188-1 lub PN-EN 14188-2 albo innymi materiałami według norm lub aprobat technicznych.</w:t>
      </w:r>
    </w:p>
    <w:p w14:paraId="19289D7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Podłoże pod warstwę ścieralną powinno być skropione emulsją asfaltową dobraną wg</w:t>
      </w:r>
      <w:r>
        <w:rPr>
          <w:rFonts w:ascii="Arial" w:hAnsi="Arial" w:cs="Arial"/>
          <w:spacing w:val="-3"/>
          <w:sz w:val="18"/>
          <w:szCs w:val="18"/>
          <w:lang w:eastAsia="ar-SA"/>
        </w:rPr>
        <w:t xml:space="preserve"> PN-EN 13808:2013</w:t>
      </w:r>
      <w:r>
        <w:rPr>
          <w:rFonts w:ascii="Arial" w:hAnsi="Arial" w:cs="Arial"/>
          <w:sz w:val="18"/>
          <w:szCs w:val="18"/>
          <w:lang w:eastAsia="ar-SA"/>
        </w:rPr>
        <w:t>, w celu zwiększenia połączenia między warstwami konstrukcji oraz zabezpieczenia przed wnikaniem i zaleganiem wody między warstwami.</w:t>
      </w:r>
    </w:p>
    <w:p w14:paraId="462D6A9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warstwy może rozpocząć się po akceptacji przez Inspektora Nadzoru jej oczyszczenia.</w:t>
      </w:r>
    </w:p>
    <w:p w14:paraId="575F21EF" w14:textId="77777777" w:rsidR="005E0BE2" w:rsidRDefault="006A6BD4">
      <w:pPr>
        <w:suppressAutoHyphens/>
        <w:ind w:right="-1" w:firstLine="567"/>
        <w:jc w:val="both"/>
        <w:rPr>
          <w:rFonts w:ascii="Arial" w:hAnsi="Arial" w:cs="Arial"/>
          <w:sz w:val="18"/>
          <w:szCs w:val="18"/>
          <w:lang w:eastAsia="ar-SA"/>
        </w:rPr>
      </w:pPr>
      <w:r>
        <w:rPr>
          <w:rFonts w:ascii="Arial" w:hAnsi="Arial" w:cs="Arial"/>
          <w:sz w:val="18"/>
          <w:szCs w:val="18"/>
          <w:lang w:eastAsia="ar-SA"/>
        </w:rPr>
        <w:t>Temperatura kationowej emulsji asfaltowej powinna być zgodna z temperaturą zalecaną przez Producenta.</w:t>
      </w:r>
    </w:p>
    <w:p w14:paraId="77A5AA0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Skropienie powinno być równomierne, a ilość rozkładanego lepiszcza powinna być zgodna z zapisami D-04.03.01.00.</w:t>
      </w:r>
    </w:p>
    <w:p w14:paraId="2979F24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Skropienie należy wykonać z wyprzedzeniem w czasie na odparowanie wody. W tym celu, skropiona emulsją asfaltową warstwa, powinna być pozostawiona bez jakiegokolwiek ruchu na okres niezbędny do całkowitego rozpadu emulsji i odparowania wody z emulsji.</w:t>
      </w:r>
    </w:p>
    <w:p w14:paraId="4650F0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Przed ułożeniem warstwy z mieszanki mineralno-bitumicznej Wykonawca powinien zabezpieczyć skropioną warstwę nawierzchni przed uszkodzeniem dopuszczając na niej tylko niezbędny ruch budowlany. Jakiekolwiek uszkodzenia powierzchni powinny być przez Wykonawcę naprawione.</w:t>
      </w:r>
    </w:p>
    <w:p w14:paraId="2A14182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 xml:space="preserve">Powierzchnie krawężników, włazów, wpustów i tym podobnych urządzeń, przylegające do układanej mieszanki mineralno-asfaltowej powinny być posmarowane gorącym asfaltem lub pokryte taśmą asfaltową. </w:t>
      </w:r>
    </w:p>
    <w:p w14:paraId="5FEF5613" w14:textId="77777777" w:rsidR="005E0BE2" w:rsidRDefault="005E0BE2">
      <w:pPr>
        <w:suppressAutoHyphens/>
        <w:jc w:val="both"/>
        <w:rPr>
          <w:rFonts w:ascii="Arial" w:hAnsi="Arial" w:cs="Arial"/>
          <w:sz w:val="18"/>
          <w:szCs w:val="18"/>
          <w:lang w:eastAsia="ar-SA"/>
        </w:rPr>
      </w:pPr>
    </w:p>
    <w:p w14:paraId="7BC602C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5.8.     Wbudowywanie i zagęszczanie warstwy ścieralnej z betonu asfaltowego</w:t>
      </w:r>
    </w:p>
    <w:p w14:paraId="76663B8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Mieszanka mineralno-asfaltowa powinna być dowożona na budowę w zależności od postępu robót. Podczas transportu i postoju przed wbudowaniem mieszanka powinna być zabezpieczona przed ostygnięciem.</w:t>
      </w:r>
    </w:p>
    <w:p w14:paraId="4B0687C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Mieszanka mineralno-asfaltowa powinna być wbudowywana zgodnie z przyjętą technologią. Mieszanka mineralno-asfaltowa powinna być wbudowywana układarką wyposażoną w układ z automatycznym sterowaniem grubości warstwy i utrzymaniem niwelety zgodnie z dokumentacją projektową. </w:t>
      </w:r>
    </w:p>
    <w:p w14:paraId="5493C01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Układarka powinna poruszać się ze stała prędkością i bez zbędnych </w:t>
      </w:r>
      <w:proofErr w:type="spellStart"/>
      <w:r>
        <w:rPr>
          <w:rFonts w:ascii="Arial" w:hAnsi="Arial" w:cs="Arial"/>
          <w:sz w:val="18"/>
          <w:szCs w:val="18"/>
          <w:lang w:eastAsia="ar-SA"/>
        </w:rPr>
        <w:t>zatrzymywań</w:t>
      </w:r>
      <w:proofErr w:type="spellEnd"/>
      <w:r>
        <w:rPr>
          <w:rFonts w:ascii="Arial" w:hAnsi="Arial" w:cs="Arial"/>
          <w:sz w:val="18"/>
          <w:szCs w:val="18"/>
          <w:lang w:eastAsia="ar-SA"/>
        </w:rPr>
        <w:t xml:space="preserve"> (np. w oczekiwaniu na kolejny samochód z gorącą mieszanką). W miejscach niedostępnych dla sprzętu dopuszcza się wbudowywanie ręczne.</w:t>
      </w:r>
    </w:p>
    <w:p w14:paraId="433E558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Temperatura wbudowywanej mieszanki nie powinna być niższa od temperatury minimalnej podanej w pkt. 5.2.</w:t>
      </w:r>
      <w:r>
        <w:rPr>
          <w:rFonts w:ascii="Arial" w:hAnsi="Arial" w:cs="Arial"/>
          <w:sz w:val="18"/>
          <w:szCs w:val="18"/>
          <w:lang w:eastAsia="ar-SA"/>
        </w:rPr>
        <w:tab/>
      </w:r>
    </w:p>
    <w:p w14:paraId="4963137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Zagęszczanie mieszanki należy rozpocząć od krawędzi nawierzchni ku środkowi. Wyniki badań zagęszczenia wykonanej warstwy oraz wolnej przestrzeni, powinny być zgodne z wymaganiami podanymi w Tablicy 4 punkt 4÷5.</w:t>
      </w:r>
    </w:p>
    <w:p w14:paraId="78EDF79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Złącza w warstwie ścieralnej powinny być wykonane w linii prostej, równolegle lub prostopadle do osi drogi.</w:t>
      </w:r>
    </w:p>
    <w:p w14:paraId="5C4073B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rozkładania mieszanki całą szerokością warstwy, złącza poprzeczne, wynikające z dziennej działki roboczej powinny być równo obcięte, pokryte materiałem wg pkt. 2.3 i zabezpieczone listwą przed uszkodzeniem.</w:t>
      </w:r>
    </w:p>
    <w:p w14:paraId="2FA4D4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Zakończenie działki roboczej dotyczy wystąpienia przerw w rozkładaniu pasa warstwy na czas, po którym temperatura mieszanki mineralno-asfaltowej obniży się poza dopuszczalną granicę. Przed przystąpieniem do wykonywania kolejnej działki roboczej należy usunąć ułożony poprzednio odcinek na długości do 3m do pełnej grubości. Na tak powstałą krawędź nanieść lepiszcze lub inny materiał do złącz, w ilości co najmniej 50g na 1cm grubości warstwy na 1m krawędzi.</w:t>
      </w:r>
    </w:p>
    <w:p w14:paraId="61727CF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przypadku warstwy ścieralnej rozkładanej przy urządzeniach ograniczających nawierzchnię, których górna powierzchnia ma być w jednym poziomie z powierzchnią nawierzchni (np. ściek uliczny, korytka odwadniające), oraz gdy spadek jezdni jest w stronę tych urządzeń, to powierzchnia warstwy ścieralnej powinna być wyżej o 0,5 do 1,0cm.</w:t>
      </w:r>
    </w:p>
    <w:p w14:paraId="003129D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Grubość wykonywanej warstwy powinna być sprawdzana co 25 m, w co najmniej trzech miejscach (w osi i przy brzegach warstwy).</w:t>
      </w:r>
    </w:p>
    <w:p w14:paraId="791FA8BF" w14:textId="77777777" w:rsidR="005E0BE2" w:rsidRDefault="005E0BE2">
      <w:pPr>
        <w:suppressAutoHyphens/>
        <w:jc w:val="both"/>
        <w:rPr>
          <w:rFonts w:ascii="Arial" w:hAnsi="Arial" w:cs="Arial"/>
          <w:b/>
          <w:sz w:val="18"/>
          <w:szCs w:val="18"/>
          <w:lang w:eastAsia="ar-SA"/>
        </w:rPr>
      </w:pPr>
    </w:p>
    <w:p w14:paraId="4E99A0B2" w14:textId="77777777" w:rsidR="005E0BE2" w:rsidRDefault="006A6BD4">
      <w:pPr>
        <w:suppressAutoHyphens/>
        <w:jc w:val="both"/>
        <w:rPr>
          <w:rFonts w:ascii="Arial" w:hAnsi="Arial" w:cs="Arial"/>
          <w:b/>
          <w:sz w:val="18"/>
          <w:szCs w:val="18"/>
          <w:lang w:eastAsia="ar-SA"/>
        </w:rPr>
      </w:pPr>
      <w:r>
        <w:rPr>
          <w:rFonts w:ascii="Arial" w:hAnsi="Arial" w:cs="Arial"/>
          <w:b/>
          <w:sz w:val="18"/>
          <w:szCs w:val="18"/>
          <w:lang w:eastAsia="ar-SA"/>
        </w:rPr>
        <w:t>5.9.     Wykonanie bocznych krawędzi asfaltowych warstw konstrukcji nawierzchni</w:t>
      </w:r>
    </w:p>
    <w:p w14:paraId="76B6B7E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Krawędzie warstw asfaltowych, nieograniczonych krawężnikiem, ściekiem, itp., należy wykonać w formie skarp o nachyleniu nie większym niż 2:1. </w:t>
      </w:r>
    </w:p>
    <w:p w14:paraId="5AB95688"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Powierzchnie boczne warstw asfaltowych należy uszczelnić gorącym asfaltem w ilości ok. 4kg/m</w:t>
      </w:r>
      <w:r>
        <w:rPr>
          <w:rFonts w:ascii="Arial" w:hAnsi="Arial" w:cs="Arial"/>
          <w:sz w:val="18"/>
          <w:szCs w:val="18"/>
          <w:vertAlign w:val="superscript"/>
          <w:lang w:eastAsia="ar-SA"/>
        </w:rPr>
        <w:t>2</w:t>
      </w:r>
      <w:r>
        <w:rPr>
          <w:rFonts w:ascii="Arial" w:hAnsi="Arial" w:cs="Arial"/>
          <w:sz w:val="18"/>
          <w:szCs w:val="18"/>
          <w:lang w:eastAsia="ar-SA"/>
        </w:rPr>
        <w:t xml:space="preserve">. </w:t>
      </w:r>
    </w:p>
    <w:p w14:paraId="13397BF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Po wykonaniu nawierzchni asfaltowej o jednostronnym nachyleniu jezdni należy uszczelnić krawędź wyżej położoną, a w strefie zmiany przechyłki – obie krawędzie. Niżej położona krawędź (z wyjątkiem strefy zmiany przechyłki) powinna zostać nieuszczelniona.</w:t>
      </w:r>
    </w:p>
    <w:p w14:paraId="1F54B2E8" w14:textId="77777777" w:rsidR="005E0BE2" w:rsidRDefault="005E0BE2">
      <w:pPr>
        <w:suppressAutoHyphens/>
        <w:jc w:val="both"/>
        <w:rPr>
          <w:rFonts w:ascii="Arial" w:hAnsi="Arial" w:cs="Arial"/>
          <w:b/>
          <w:sz w:val="18"/>
          <w:szCs w:val="18"/>
          <w:lang w:eastAsia="ar-SA"/>
        </w:rPr>
      </w:pPr>
    </w:p>
    <w:p w14:paraId="0F602668" w14:textId="77777777" w:rsidR="005E0BE2" w:rsidRDefault="005E0BE2">
      <w:pPr>
        <w:suppressAutoHyphens/>
        <w:jc w:val="both"/>
        <w:rPr>
          <w:rFonts w:ascii="Arial" w:hAnsi="Arial" w:cs="Arial"/>
          <w:b/>
          <w:sz w:val="18"/>
          <w:szCs w:val="18"/>
          <w:lang w:eastAsia="ar-SA"/>
        </w:rPr>
      </w:pPr>
    </w:p>
    <w:p w14:paraId="76AE1921" w14:textId="77777777" w:rsidR="005E0BE2" w:rsidRDefault="006A6BD4">
      <w:pPr>
        <w:suppressAutoHyphens/>
        <w:spacing w:after="120"/>
        <w:jc w:val="center"/>
        <w:rPr>
          <w:rFonts w:ascii="Arial" w:hAnsi="Arial" w:cs="Arial"/>
          <w:b/>
          <w:lang w:eastAsia="ar-SA"/>
        </w:rPr>
      </w:pPr>
      <w:r>
        <w:rPr>
          <w:rFonts w:ascii="Arial" w:hAnsi="Arial" w:cs="Arial"/>
          <w:b/>
          <w:lang w:eastAsia="ar-SA"/>
        </w:rPr>
        <w:t>6. KONTROLA JAKOŚCI ROBÓT</w:t>
      </w:r>
    </w:p>
    <w:p w14:paraId="1006ED6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zasady kontroli jakości robót podano w STWiORB D-00.00.00 „Wymagania ogólne” pkt. 6.</w:t>
      </w:r>
    </w:p>
    <w:p w14:paraId="74CEE108" w14:textId="77777777" w:rsidR="005E0BE2" w:rsidRDefault="005E0BE2">
      <w:pPr>
        <w:suppressAutoHyphens/>
        <w:jc w:val="both"/>
        <w:rPr>
          <w:rFonts w:ascii="Arial" w:hAnsi="Arial" w:cs="Arial"/>
          <w:sz w:val="18"/>
          <w:szCs w:val="18"/>
          <w:lang w:eastAsia="ar-SA"/>
        </w:rPr>
      </w:pPr>
    </w:p>
    <w:p w14:paraId="3F9BF4D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6.1. Badania przed przystąpieniem do robót</w:t>
      </w:r>
    </w:p>
    <w:p w14:paraId="5D0C4BD8"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Przed przystąpieniem do robót Wykonawca powinien:</w:t>
      </w:r>
    </w:p>
    <w:p w14:paraId="3BC68DB6"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B375CB4" w14:textId="77777777" w:rsidR="005E0BE2" w:rsidRDefault="006A6BD4">
      <w:pPr>
        <w:numPr>
          <w:ilvl w:val="0"/>
          <w:numId w:val="25"/>
        </w:numPr>
        <w:suppressAutoHyphens/>
        <w:overflowPunct w:val="0"/>
        <w:autoSpaceDE w:val="0"/>
        <w:jc w:val="both"/>
        <w:textAlignment w:val="baseline"/>
        <w:rPr>
          <w:rFonts w:ascii="Arial" w:hAnsi="Arial" w:cs="Arial"/>
          <w:sz w:val="18"/>
          <w:szCs w:val="18"/>
          <w:lang w:eastAsia="ar-SA"/>
        </w:rPr>
      </w:pPr>
      <w:r>
        <w:rPr>
          <w:rFonts w:ascii="Arial" w:hAnsi="Arial" w:cs="Arial"/>
          <w:sz w:val="18"/>
          <w:szCs w:val="18"/>
          <w:lang w:eastAsia="ar-SA"/>
        </w:rPr>
        <w:t>wykonać własne badania właściwości materiałów przeznaczonych do wykonania robót, określone przez Inspektora Nadzoru,</w:t>
      </w:r>
    </w:p>
    <w:p w14:paraId="25EC3A3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Wszystkie dokumenty oraz wyniki badań Wykonawca przedstawia Inspektorowi Nadzoru do akceptacji.</w:t>
      </w:r>
    </w:p>
    <w:p w14:paraId="7281F4C4" w14:textId="77777777" w:rsidR="005E0BE2" w:rsidRDefault="005E0BE2">
      <w:pPr>
        <w:suppressAutoHyphens/>
        <w:jc w:val="both"/>
        <w:rPr>
          <w:rFonts w:ascii="Arial" w:hAnsi="Arial" w:cs="Arial"/>
          <w:sz w:val="18"/>
          <w:szCs w:val="18"/>
          <w:lang w:eastAsia="ar-SA"/>
        </w:rPr>
      </w:pPr>
    </w:p>
    <w:p w14:paraId="7E980A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 Badania w czasie robót</w:t>
      </w:r>
    </w:p>
    <w:p w14:paraId="29D8925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dzielą się na:</w:t>
      </w:r>
    </w:p>
    <w:p w14:paraId="74720CF5"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wykonawcy (w ramach własnego nadzoru),</w:t>
      </w:r>
    </w:p>
    <w:p w14:paraId="5668038C" w14:textId="77777777" w:rsidR="005E0BE2" w:rsidRDefault="006A6BD4">
      <w:pPr>
        <w:numPr>
          <w:ilvl w:val="1"/>
          <w:numId w:val="19"/>
        </w:numPr>
        <w:tabs>
          <w:tab w:val="num" w:pos="284"/>
        </w:tabs>
        <w:suppressAutoHyphens/>
        <w:ind w:left="284" w:hanging="284"/>
        <w:rPr>
          <w:rFonts w:ascii="Arial" w:hAnsi="Arial" w:cs="Arial"/>
          <w:sz w:val="18"/>
          <w:szCs w:val="18"/>
          <w:lang w:eastAsia="ar-SA"/>
        </w:rPr>
      </w:pPr>
      <w:r>
        <w:rPr>
          <w:rFonts w:ascii="Arial" w:hAnsi="Arial" w:cs="Arial"/>
          <w:sz w:val="18"/>
          <w:szCs w:val="18"/>
          <w:lang w:eastAsia="ar-SA"/>
        </w:rPr>
        <w:t>badania kontrolne (w ramach nadzoru zleceniodawcy).</w:t>
      </w:r>
    </w:p>
    <w:p w14:paraId="6F5CE51A" w14:textId="77777777" w:rsidR="005E0BE2" w:rsidRDefault="005E0BE2">
      <w:pPr>
        <w:suppressAutoHyphens/>
        <w:jc w:val="both"/>
        <w:rPr>
          <w:rFonts w:ascii="Arial" w:hAnsi="Arial" w:cs="Arial"/>
          <w:sz w:val="18"/>
          <w:szCs w:val="18"/>
          <w:lang w:eastAsia="ar-SA"/>
        </w:rPr>
      </w:pPr>
    </w:p>
    <w:p w14:paraId="59CE0F14"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 Badania Wykonawcy</w:t>
      </w:r>
    </w:p>
    <w:p w14:paraId="51255D3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Wykonawcy są wykonywane przez Wykonawcę lub jego zleceniobiorców celem sprawdzenia, czy jakość materiałów budowlanych (mieszanek mineralno-asfaltowych i ich składników, lepiszczy i materiałów do uszczelnień itp.) oraz gotowej usługi (wbudowane warstwy asfaltowe, połączenia itp.) spełniają wymagania określone w kontrakcie.</w:t>
      </w:r>
    </w:p>
    <w:p w14:paraId="2174DBF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Wykonawca musi wykonywać te badania podczas realizacji zadania z niezbędną starannością i w wymaganym zakresie. Wyniki należy zapisywać w protokołach. </w:t>
      </w:r>
    </w:p>
    <w:p w14:paraId="1B288C26"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 razie stwierdzenia uchybień w stosunku do wymagań, ich przyczyny należy niezwłocznie usunąć.</w:t>
      </w:r>
    </w:p>
    <w:p w14:paraId="7D953E5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lastRenderedPageBreak/>
        <w:t>Wyniki badań wykonawcy należy przekazywać zleceniodawcy na jego żądanie. W razie zastrzeżeń Inspektor Nadzoru może przeprowadzić badania kontrolne według pkt-u 6.2.2.</w:t>
      </w:r>
    </w:p>
    <w:p w14:paraId="61861DDF"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Badania Wykonawcy dotyczące wykonywania nawierzchni:</w:t>
      </w:r>
    </w:p>
    <w:p w14:paraId="7134D4BE"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powietrza,</w:t>
      </w:r>
    </w:p>
    <w:p w14:paraId="12D269F9"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temperatura mieszanki mineralno-asfaltowej podczas wykonywania nawierzchni,</w:t>
      </w:r>
    </w:p>
    <w:p w14:paraId="2D382D2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wygląd mieszanki mineralno-asfaltowej,</w:t>
      </w:r>
    </w:p>
    <w:p w14:paraId="5F282341"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grubość wykonanych warstw,</w:t>
      </w:r>
    </w:p>
    <w:p w14:paraId="21DD4D68"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spadki poprzeczne poszczególnych warstw asfaltowych,</w:t>
      </w:r>
    </w:p>
    <w:p w14:paraId="41EF4BA0"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równość poszczególnych warstw asfaltowych,</w:t>
      </w:r>
    </w:p>
    <w:p w14:paraId="1434FF7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geometria poboczy,</w:t>
      </w:r>
    </w:p>
    <w:p w14:paraId="503A0107"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jednorodności powierzchni warstwy,</w:t>
      </w:r>
    </w:p>
    <w:p w14:paraId="5C46403C" w14:textId="77777777" w:rsidR="005E0BE2" w:rsidRDefault="006A6BD4">
      <w:pPr>
        <w:numPr>
          <w:ilvl w:val="1"/>
          <w:numId w:val="22"/>
        </w:numPr>
        <w:tabs>
          <w:tab w:val="clear" w:pos="1440"/>
          <w:tab w:val="num" w:pos="284"/>
        </w:tabs>
        <w:suppressAutoHyphens/>
        <w:ind w:left="284" w:hanging="284"/>
        <w:rPr>
          <w:rFonts w:ascii="Arial" w:hAnsi="Arial" w:cs="Arial"/>
          <w:sz w:val="18"/>
          <w:szCs w:val="18"/>
          <w:lang w:eastAsia="ar-SA"/>
        </w:rPr>
      </w:pPr>
      <w:r>
        <w:rPr>
          <w:rFonts w:ascii="Arial" w:hAnsi="Arial" w:cs="Arial"/>
          <w:sz w:val="18"/>
          <w:szCs w:val="18"/>
          <w:lang w:eastAsia="ar-SA"/>
        </w:rPr>
        <w:t>ocena wizualna jakości wykonania połączeń technologicznych.</w:t>
      </w:r>
    </w:p>
    <w:p w14:paraId="0E1B1DB5" w14:textId="77777777" w:rsidR="005E0BE2" w:rsidRDefault="005E0BE2">
      <w:pPr>
        <w:suppressAutoHyphens/>
        <w:jc w:val="both"/>
        <w:rPr>
          <w:rFonts w:ascii="Arial" w:hAnsi="Arial" w:cs="Arial"/>
          <w:sz w:val="18"/>
          <w:szCs w:val="18"/>
          <w:lang w:eastAsia="ar-SA"/>
        </w:rPr>
      </w:pPr>
    </w:p>
    <w:p w14:paraId="414F6F6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 Badania kontrolne Inspektora Nadzoru</w:t>
      </w:r>
    </w:p>
    <w:p w14:paraId="1F71F40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określone wymagania. Wyniki tych badań są podstawą odbioru. </w:t>
      </w:r>
    </w:p>
    <w:p w14:paraId="71AA6A3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Pobieraniem próbek i wykonaniem badań na miejscu budowy zajmuje się Inspektor Nadzoru w obecności Wykonawcy. </w:t>
      </w:r>
    </w:p>
    <w:p w14:paraId="31B954A9"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odbywają się również wtedy, gdy Wykonawca zostanie w porę powiadomiony o ich terminie, jednak nie będzie przy nich obecny.</w:t>
      </w:r>
    </w:p>
    <w:p w14:paraId="2DF1B6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Rodzaj badań kontrolnych mieszanki mineralno-asfaltowej i wykonanej z niej warstwy podano w Tablicy 5.</w:t>
      </w:r>
    </w:p>
    <w:p w14:paraId="2CEC93AD" w14:textId="77777777" w:rsidR="005E0BE2" w:rsidRDefault="005E0BE2">
      <w:pPr>
        <w:suppressAutoHyphens/>
        <w:jc w:val="both"/>
        <w:rPr>
          <w:rFonts w:ascii="Arial" w:hAnsi="Arial" w:cs="Arial"/>
          <w:sz w:val="18"/>
          <w:szCs w:val="18"/>
          <w:lang w:eastAsia="ar-SA"/>
        </w:rPr>
      </w:pPr>
    </w:p>
    <w:p w14:paraId="0AEA218D"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Tablica 5. Rodzaj badań kontrolnych.</w:t>
      </w:r>
    </w:p>
    <w:p w14:paraId="5315DF8F" w14:textId="77777777" w:rsidR="005E0BE2" w:rsidRDefault="005E0BE2">
      <w:pPr>
        <w:suppressAutoHyphens/>
        <w:jc w:val="both"/>
        <w:rPr>
          <w:rFonts w:ascii="Arial" w:hAnsi="Arial" w:cs="Arial"/>
          <w:sz w:val="18"/>
          <w:szCs w:val="18"/>
          <w:lang w:eastAsia="ar-SA"/>
        </w:rPr>
      </w:pPr>
    </w:p>
    <w:tbl>
      <w:tblPr>
        <w:tblW w:w="0" w:type="auto"/>
        <w:tblInd w:w="108" w:type="dxa"/>
        <w:tblLayout w:type="fixed"/>
        <w:tblLook w:val="0000" w:firstRow="0" w:lastRow="0" w:firstColumn="0" w:lastColumn="0" w:noHBand="0" w:noVBand="0"/>
      </w:tblPr>
      <w:tblGrid>
        <w:gridCol w:w="1134"/>
        <w:gridCol w:w="7255"/>
      </w:tblGrid>
      <w:tr w:rsidR="005E0BE2" w14:paraId="1E1D219C" w14:textId="77777777">
        <w:tc>
          <w:tcPr>
            <w:tcW w:w="1134" w:type="dxa"/>
            <w:tcBorders>
              <w:top w:val="single" w:sz="4" w:space="0" w:color="000000"/>
              <w:left w:val="single" w:sz="4" w:space="0" w:color="000000"/>
              <w:bottom w:val="single" w:sz="4" w:space="0" w:color="000000"/>
            </w:tcBorders>
          </w:tcPr>
          <w:p w14:paraId="092E59C7"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Lp.</w:t>
            </w:r>
          </w:p>
        </w:tc>
        <w:tc>
          <w:tcPr>
            <w:tcW w:w="7255" w:type="dxa"/>
            <w:tcBorders>
              <w:top w:val="single" w:sz="4" w:space="0" w:color="000000"/>
              <w:left w:val="single" w:sz="4" w:space="0" w:color="000000"/>
              <w:bottom w:val="single" w:sz="4" w:space="0" w:color="000000"/>
              <w:right w:val="single" w:sz="4" w:space="0" w:color="000000"/>
            </w:tcBorders>
          </w:tcPr>
          <w:p w14:paraId="5236DF30"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Rodzaj badań</w:t>
            </w:r>
          </w:p>
        </w:tc>
      </w:tr>
      <w:tr w:rsidR="005E0BE2" w14:paraId="2FE91E37" w14:textId="77777777">
        <w:tc>
          <w:tcPr>
            <w:tcW w:w="1134" w:type="dxa"/>
            <w:tcBorders>
              <w:top w:val="single" w:sz="4" w:space="0" w:color="000000"/>
              <w:left w:val="single" w:sz="4" w:space="0" w:color="000000"/>
              <w:bottom w:val="single" w:sz="4" w:space="0" w:color="000000"/>
            </w:tcBorders>
          </w:tcPr>
          <w:p w14:paraId="5E9F2A19" w14:textId="77777777" w:rsidR="005E0BE2" w:rsidRDefault="006A6BD4">
            <w:pPr>
              <w:suppressAutoHyphens/>
              <w:snapToGrid w:val="0"/>
              <w:jc w:val="center"/>
              <w:rPr>
                <w:rFonts w:ascii="Arial" w:hAnsi="Arial" w:cs="Arial"/>
                <w:sz w:val="18"/>
                <w:szCs w:val="18"/>
                <w:lang w:eastAsia="ar-SA"/>
              </w:rPr>
            </w:pPr>
            <w:r>
              <w:rPr>
                <w:rFonts w:ascii="Arial" w:hAnsi="Arial" w:cs="Arial"/>
                <w:sz w:val="18"/>
                <w:szCs w:val="18"/>
                <w:lang w:eastAsia="ar-SA"/>
              </w:rPr>
              <w:t>1</w:t>
            </w:r>
          </w:p>
          <w:p w14:paraId="1B1EE56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1.1</w:t>
            </w:r>
          </w:p>
          <w:p w14:paraId="0B53CF4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1.2</w:t>
            </w:r>
          </w:p>
          <w:p w14:paraId="294494D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1.3</w:t>
            </w:r>
          </w:p>
          <w:p w14:paraId="470FBE99"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1.4</w:t>
            </w:r>
          </w:p>
          <w:p w14:paraId="420FC507"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w:t>
            </w:r>
          </w:p>
          <w:p w14:paraId="7206886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2.1</w:t>
            </w:r>
          </w:p>
          <w:p w14:paraId="7FAB3EE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2.2</w:t>
            </w:r>
          </w:p>
          <w:p w14:paraId="67998813"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2.3</w:t>
            </w:r>
          </w:p>
          <w:p w14:paraId="08061E7E"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2.4</w:t>
            </w:r>
          </w:p>
          <w:p w14:paraId="6DCC763A" w14:textId="77777777" w:rsidR="005E0BE2" w:rsidRDefault="006A6BD4">
            <w:pPr>
              <w:suppressAutoHyphens/>
              <w:jc w:val="center"/>
              <w:rPr>
                <w:rFonts w:ascii="Arial" w:hAnsi="Arial" w:cs="Arial"/>
                <w:sz w:val="18"/>
                <w:szCs w:val="18"/>
                <w:lang w:eastAsia="ar-SA"/>
              </w:rPr>
            </w:pPr>
            <w:r>
              <w:rPr>
                <w:rFonts w:ascii="Arial" w:hAnsi="Arial" w:cs="Arial"/>
                <w:sz w:val="18"/>
                <w:szCs w:val="18"/>
                <w:lang w:eastAsia="ar-SA"/>
              </w:rPr>
              <w:t>2.5</w:t>
            </w:r>
          </w:p>
        </w:tc>
        <w:tc>
          <w:tcPr>
            <w:tcW w:w="7255" w:type="dxa"/>
            <w:tcBorders>
              <w:top w:val="single" w:sz="4" w:space="0" w:color="000000"/>
              <w:left w:val="single" w:sz="4" w:space="0" w:color="000000"/>
              <w:bottom w:val="single" w:sz="4" w:space="0" w:color="000000"/>
              <w:right w:val="single" w:sz="4" w:space="0" w:color="000000"/>
            </w:tcBorders>
          </w:tcPr>
          <w:p w14:paraId="57E08096" w14:textId="77777777" w:rsidR="005E0BE2" w:rsidRDefault="006A6BD4">
            <w:pPr>
              <w:suppressAutoHyphens/>
              <w:snapToGrid w:val="0"/>
              <w:rPr>
                <w:rFonts w:ascii="Arial" w:hAnsi="Arial" w:cs="Arial"/>
                <w:sz w:val="18"/>
                <w:szCs w:val="18"/>
                <w:vertAlign w:val="superscript"/>
                <w:lang w:eastAsia="ar-SA"/>
              </w:rPr>
            </w:pPr>
            <w:r>
              <w:rPr>
                <w:rFonts w:ascii="Arial" w:hAnsi="Arial" w:cs="Arial"/>
                <w:sz w:val="18"/>
                <w:szCs w:val="18"/>
                <w:lang w:eastAsia="ar-SA"/>
              </w:rPr>
              <w:t xml:space="preserve">Mieszanka mineralno-asfaltowa </w:t>
            </w:r>
            <w:r>
              <w:rPr>
                <w:rFonts w:ascii="Arial" w:hAnsi="Arial" w:cs="Arial"/>
                <w:sz w:val="18"/>
                <w:szCs w:val="18"/>
                <w:vertAlign w:val="superscript"/>
                <w:lang w:eastAsia="ar-SA"/>
              </w:rPr>
              <w:t>a), b)</w:t>
            </w:r>
          </w:p>
          <w:p w14:paraId="5AB1DB86"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Uziarnienie</w:t>
            </w:r>
          </w:p>
          <w:p w14:paraId="743F862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Zawartość lepiszcza</w:t>
            </w:r>
          </w:p>
          <w:p w14:paraId="4409BA1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Temperatura mięknienia lepiszcza odzyskanego</w:t>
            </w:r>
          </w:p>
          <w:p w14:paraId="4435DCCD"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 xml:space="preserve">Gęstość i zawartość wolnych przestrzeni  </w:t>
            </w:r>
          </w:p>
          <w:p w14:paraId="61647E63"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Warstwa asfaltowa</w:t>
            </w:r>
          </w:p>
          <w:p w14:paraId="6751749A"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Wskaźnik zagęszczenia </w:t>
            </w:r>
            <w:r>
              <w:rPr>
                <w:rFonts w:ascii="Arial" w:hAnsi="Arial" w:cs="Arial"/>
                <w:sz w:val="18"/>
                <w:szCs w:val="18"/>
                <w:vertAlign w:val="superscript"/>
                <w:lang w:eastAsia="ar-SA"/>
              </w:rPr>
              <w:t>a)</w:t>
            </w:r>
          </w:p>
          <w:p w14:paraId="3AF33394"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Spadki poprzeczne</w:t>
            </w:r>
          </w:p>
          <w:p w14:paraId="1F0E835E"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Równość</w:t>
            </w:r>
          </w:p>
          <w:p w14:paraId="0AD27562" w14:textId="77777777" w:rsidR="005E0BE2" w:rsidRDefault="006A6BD4">
            <w:pPr>
              <w:suppressAutoHyphens/>
              <w:rPr>
                <w:rFonts w:ascii="Arial" w:hAnsi="Arial" w:cs="Arial"/>
                <w:sz w:val="18"/>
                <w:szCs w:val="18"/>
                <w:lang w:eastAsia="ar-SA"/>
              </w:rPr>
            </w:pPr>
            <w:r>
              <w:rPr>
                <w:rFonts w:ascii="Arial" w:hAnsi="Arial" w:cs="Arial"/>
                <w:sz w:val="18"/>
                <w:szCs w:val="18"/>
                <w:lang w:eastAsia="ar-SA"/>
              </w:rPr>
              <w:t>Grubość lub ilość materiału</w:t>
            </w:r>
          </w:p>
          <w:p w14:paraId="46EDE7F9" w14:textId="77777777" w:rsidR="005E0BE2" w:rsidRDefault="006A6BD4">
            <w:pPr>
              <w:suppressAutoHyphens/>
              <w:rPr>
                <w:rFonts w:ascii="Arial" w:hAnsi="Arial" w:cs="Arial"/>
                <w:sz w:val="18"/>
                <w:szCs w:val="18"/>
                <w:vertAlign w:val="superscript"/>
                <w:lang w:eastAsia="ar-SA"/>
              </w:rPr>
            </w:pPr>
            <w:r>
              <w:rPr>
                <w:rFonts w:ascii="Arial" w:hAnsi="Arial" w:cs="Arial"/>
                <w:sz w:val="18"/>
                <w:szCs w:val="18"/>
                <w:lang w:eastAsia="ar-SA"/>
              </w:rPr>
              <w:t xml:space="preserve">Zawartość wolnych przestrzeni </w:t>
            </w:r>
            <w:r>
              <w:rPr>
                <w:rFonts w:ascii="Arial" w:hAnsi="Arial" w:cs="Arial"/>
                <w:sz w:val="18"/>
                <w:szCs w:val="18"/>
                <w:vertAlign w:val="superscript"/>
                <w:lang w:eastAsia="ar-SA"/>
              </w:rPr>
              <w:t>a)</w:t>
            </w:r>
          </w:p>
        </w:tc>
      </w:tr>
      <w:tr w:rsidR="005E0BE2" w14:paraId="047B4E38" w14:textId="77777777">
        <w:tc>
          <w:tcPr>
            <w:tcW w:w="8389" w:type="dxa"/>
            <w:gridSpan w:val="2"/>
            <w:tcBorders>
              <w:top w:val="single" w:sz="4" w:space="0" w:color="000000"/>
              <w:left w:val="single" w:sz="4" w:space="0" w:color="000000"/>
              <w:bottom w:val="single" w:sz="4" w:space="0" w:color="000000"/>
              <w:right w:val="single" w:sz="4" w:space="0" w:color="000000"/>
            </w:tcBorders>
          </w:tcPr>
          <w:p w14:paraId="1D38E6E5" w14:textId="77777777" w:rsidR="005E0BE2" w:rsidRDefault="006A6BD4">
            <w:pPr>
              <w:suppressAutoHyphens/>
              <w:snapToGrid w:val="0"/>
              <w:ind w:left="317" w:hanging="317"/>
              <w:rPr>
                <w:rFonts w:ascii="Arial" w:hAnsi="Arial" w:cs="Arial"/>
                <w:sz w:val="18"/>
                <w:szCs w:val="18"/>
                <w:lang w:eastAsia="ar-SA"/>
              </w:rPr>
            </w:pPr>
            <w:r>
              <w:rPr>
                <w:rFonts w:ascii="Arial" w:hAnsi="Arial" w:cs="Arial"/>
                <w:sz w:val="18"/>
                <w:szCs w:val="18"/>
                <w:vertAlign w:val="superscript"/>
                <w:lang w:eastAsia="ar-SA"/>
              </w:rPr>
              <w:t>a)</w:t>
            </w:r>
            <w:r>
              <w:rPr>
                <w:rFonts w:ascii="Arial" w:hAnsi="Arial" w:cs="Arial"/>
                <w:sz w:val="18"/>
                <w:szCs w:val="18"/>
                <w:lang w:eastAsia="ar-SA"/>
              </w:rPr>
              <w:t xml:space="preserve"> co najmniej 1próbka z dziennej działki roboczej; w razie potrzeby liczba próbek może zostać zwiększona</w:t>
            </w:r>
          </w:p>
          <w:p w14:paraId="2AFE9A89" w14:textId="77777777" w:rsidR="005E0BE2" w:rsidRDefault="006A6BD4">
            <w:pPr>
              <w:suppressAutoHyphens/>
              <w:rPr>
                <w:rFonts w:ascii="Arial" w:hAnsi="Arial" w:cs="Arial"/>
                <w:sz w:val="18"/>
                <w:szCs w:val="18"/>
                <w:lang w:eastAsia="ar-SA"/>
              </w:rPr>
            </w:pPr>
            <w:r>
              <w:rPr>
                <w:rFonts w:ascii="Arial" w:hAnsi="Arial" w:cs="Arial"/>
                <w:sz w:val="18"/>
                <w:szCs w:val="18"/>
                <w:vertAlign w:val="superscript"/>
                <w:lang w:eastAsia="ar-SA"/>
              </w:rPr>
              <w:t>b)</w:t>
            </w:r>
            <w:r>
              <w:rPr>
                <w:rFonts w:ascii="Arial" w:hAnsi="Arial" w:cs="Arial"/>
                <w:sz w:val="18"/>
                <w:szCs w:val="18"/>
                <w:lang w:eastAsia="ar-SA"/>
              </w:rPr>
              <w:t xml:space="preserve">   w razie potrzeby specjalne kruszywa i dodatki</w:t>
            </w:r>
          </w:p>
        </w:tc>
      </w:tr>
    </w:tbl>
    <w:p w14:paraId="097462A9" w14:textId="77777777" w:rsidR="005E0BE2" w:rsidRDefault="005E0BE2">
      <w:pPr>
        <w:suppressAutoHyphens/>
        <w:jc w:val="both"/>
        <w:rPr>
          <w:rFonts w:ascii="Arial" w:hAnsi="Arial" w:cs="Arial"/>
          <w:sz w:val="18"/>
          <w:szCs w:val="18"/>
          <w:lang w:eastAsia="ar-SA"/>
        </w:rPr>
      </w:pPr>
    </w:p>
    <w:p w14:paraId="50F9963B" w14:textId="77777777" w:rsidR="005E0BE2" w:rsidRDefault="006A6BD4">
      <w:pPr>
        <w:suppressAutoHyphens/>
        <w:jc w:val="both"/>
        <w:rPr>
          <w:rFonts w:ascii="Arial" w:hAnsi="Arial" w:cs="Arial"/>
          <w:sz w:val="18"/>
          <w:szCs w:val="18"/>
          <w:lang w:eastAsia="ar-SA"/>
        </w:rPr>
      </w:pPr>
      <w:r>
        <w:rPr>
          <w:rFonts w:ascii="Arial" w:hAnsi="Arial" w:cs="Arial"/>
          <w:sz w:val="18"/>
          <w:szCs w:val="18"/>
          <w:lang w:eastAsia="ar-SA"/>
        </w:rPr>
        <w:t>Właściwości mieszanki należy oceniać na podstawie badań próbek mieszanki mineralno-asfaltowej pobranych przed wbudowaniem, wyjątkowo dopuszcza się badania próbek pobranych z wykonanej warstwy asfaltowej.</w:t>
      </w:r>
    </w:p>
    <w:p w14:paraId="12052F0D" w14:textId="77777777" w:rsidR="005E0BE2" w:rsidRDefault="005E0BE2">
      <w:pPr>
        <w:suppressAutoHyphens/>
        <w:jc w:val="both"/>
        <w:rPr>
          <w:rFonts w:ascii="Arial" w:hAnsi="Arial" w:cs="Arial"/>
          <w:sz w:val="18"/>
          <w:szCs w:val="18"/>
          <w:lang w:eastAsia="ar-SA"/>
        </w:rPr>
      </w:pPr>
    </w:p>
    <w:p w14:paraId="6BEAC27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6.2.1.2.1. Właściwości lepiszcza odzyskanego</w:t>
      </w:r>
    </w:p>
    <w:p w14:paraId="28341B2A"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Temperatura mięknienia lepiszcza wyekstrahowanego z mieszanki mineralno-asfaltowej nie powinna przekroczyć wartości dopuszczalnych:</w:t>
      </w:r>
    </w:p>
    <w:p w14:paraId="7202E782" w14:textId="77777777" w:rsidR="005E0BE2" w:rsidRDefault="006A6BD4">
      <w:pPr>
        <w:pStyle w:val="Akapitzlist"/>
        <w:numPr>
          <w:ilvl w:val="0"/>
          <w:numId w:val="35"/>
        </w:numPr>
        <w:suppressAutoHyphens/>
        <w:ind w:left="284" w:hanging="284"/>
        <w:rPr>
          <w:rFonts w:ascii="Arial" w:hAnsi="Arial" w:cs="Arial"/>
          <w:sz w:val="18"/>
          <w:szCs w:val="18"/>
          <w:lang w:eastAsia="ar-SA"/>
        </w:rPr>
      </w:pPr>
      <w:r>
        <w:rPr>
          <w:rFonts w:ascii="Arial" w:hAnsi="Arial" w:cs="Arial"/>
          <w:sz w:val="18"/>
          <w:szCs w:val="18"/>
          <w:lang w:eastAsia="ar-SA"/>
        </w:rPr>
        <w:t>dla asfaltu 50/70  -  63</w:t>
      </w:r>
      <w:r>
        <w:rPr>
          <w:rFonts w:ascii="Arial" w:hAnsi="Arial" w:cs="Arial"/>
          <w:sz w:val="18"/>
          <w:szCs w:val="18"/>
          <w:vertAlign w:val="superscript"/>
          <w:lang w:eastAsia="ar-SA"/>
        </w:rPr>
        <w:t>0</w:t>
      </w:r>
      <w:r>
        <w:rPr>
          <w:rFonts w:ascii="Arial" w:hAnsi="Arial" w:cs="Arial"/>
          <w:sz w:val="18"/>
          <w:szCs w:val="18"/>
          <w:lang w:eastAsia="ar-SA"/>
        </w:rPr>
        <w:t xml:space="preserve">C, </w:t>
      </w:r>
    </w:p>
    <w:p w14:paraId="74784A7A" w14:textId="77777777" w:rsidR="005E0BE2" w:rsidRDefault="005E0BE2">
      <w:pPr>
        <w:suppressAutoHyphens/>
        <w:rPr>
          <w:rFonts w:ascii="Arial" w:hAnsi="Arial" w:cs="Arial"/>
          <w:sz w:val="18"/>
          <w:szCs w:val="18"/>
          <w:lang w:eastAsia="ar-SA"/>
        </w:rPr>
      </w:pPr>
    </w:p>
    <w:p w14:paraId="45CE2C05" w14:textId="77777777" w:rsidR="005E0BE2" w:rsidRDefault="006A6BD4">
      <w:pPr>
        <w:pStyle w:val="Nagwek2"/>
        <w:keepNext w:val="0"/>
        <w:suppressAutoHyphens/>
        <w:spacing w:before="0" w:after="60"/>
        <w:rPr>
          <w:rFonts w:ascii="Arial" w:hAnsi="Arial" w:cs="Arial"/>
          <w:sz w:val="18"/>
          <w:szCs w:val="18"/>
          <w:lang w:eastAsia="ar-SA"/>
        </w:rPr>
      </w:pPr>
      <w:r>
        <w:rPr>
          <w:rFonts w:ascii="Arial" w:hAnsi="Arial" w:cs="Arial"/>
          <w:sz w:val="18"/>
          <w:szCs w:val="18"/>
          <w:lang w:eastAsia="ar-SA"/>
        </w:rPr>
        <w:t>6.2.1.2.2. Zawartość asfaltu</w:t>
      </w:r>
    </w:p>
    <w:p w14:paraId="117BA5D8"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Badanie polega na wykonaniu ekstrakcji asfaltu zgodnie PN-EN 12697-1 z każdej pobranej </w:t>
      </w:r>
      <w:r>
        <w:rPr>
          <w:rFonts w:ascii="Arial" w:hAnsi="Arial" w:cs="Arial"/>
          <w:noProof/>
          <w:sz w:val="18"/>
          <w:szCs w:val="18"/>
        </w:rPr>
        <w:drawing>
          <wp:inline distT="0" distB="0" distL="0" distR="0" wp14:anchorId="29E04F59" wp14:editId="1D50E4E6">
            <wp:extent cx="9525" cy="9525"/>
            <wp:effectExtent l="0" t="0" r="0" b="0"/>
            <wp:docPr id="14" name="Picture 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rFonts w:ascii="Arial" w:hAnsi="Arial" w:cs="Arial"/>
          <w:sz w:val="18"/>
          <w:szCs w:val="18"/>
          <w:lang w:eastAsia="ar-SA"/>
        </w:rPr>
        <w:t>próbki mieszanki AC.</w:t>
      </w:r>
    </w:p>
    <w:p w14:paraId="4F9603C5"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 xml:space="preserve">Odchyłka w zakresie zawartości lepiszcza jest to wartość bezwzględna różnicy pomiędzy procentową zawartością lepiszcza rozpuszczalnego uzyskaną z badań laboratoryjnych a procentową zawartością lepiszcza rozpuszczalnego podaną w badaniu typu. </w:t>
      </w:r>
    </w:p>
    <w:p w14:paraId="491B6E2A" w14:textId="77777777" w:rsidR="005E0BE2" w:rsidRDefault="006A6BD4">
      <w:pPr>
        <w:ind w:right="7" w:firstLine="567"/>
        <w:jc w:val="both"/>
        <w:rPr>
          <w:rFonts w:ascii="Arial" w:hAnsi="Arial" w:cs="Arial"/>
          <w:sz w:val="18"/>
          <w:szCs w:val="18"/>
          <w:lang w:eastAsia="ar-SA"/>
        </w:rPr>
      </w:pPr>
      <w:r>
        <w:rPr>
          <w:rFonts w:ascii="Arial" w:hAnsi="Arial" w:cs="Arial"/>
          <w:sz w:val="18"/>
          <w:szCs w:val="18"/>
          <w:lang w:eastAsia="ar-SA"/>
        </w:rPr>
        <w:t>Jakość wbudowanej mieszanki mineralno-asfaltowej należy ocenić na podstawie:</w:t>
      </w:r>
    </w:p>
    <w:p w14:paraId="3C5E13AE"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 xml:space="preserve">wielkości odchyłki obliczonej dla wartości średniej (średnia arytmetyczna wszystkich wyników z całej drogi dla danego badania typu i danej warstwy asfaltowej) z dokładnością do 0,01 %, </w:t>
      </w:r>
    </w:p>
    <w:p w14:paraId="0025CC90" w14:textId="77777777" w:rsidR="005E0BE2" w:rsidRDefault="006A6BD4">
      <w:pPr>
        <w:pStyle w:val="Akapitzlist"/>
        <w:numPr>
          <w:ilvl w:val="0"/>
          <w:numId w:val="27"/>
        </w:numPr>
        <w:ind w:right="14"/>
        <w:jc w:val="both"/>
        <w:rPr>
          <w:rFonts w:ascii="Arial" w:hAnsi="Arial" w:cs="Arial"/>
          <w:sz w:val="18"/>
          <w:szCs w:val="18"/>
          <w:lang w:eastAsia="ar-SA"/>
        </w:rPr>
      </w:pPr>
      <w:r>
        <w:rPr>
          <w:rFonts w:ascii="Arial" w:hAnsi="Arial" w:cs="Arial"/>
          <w:sz w:val="18"/>
          <w:szCs w:val="18"/>
          <w:lang w:eastAsia="ar-SA"/>
        </w:rPr>
        <w:t>wielkości odchyłki obliczonej dla pojedynczego wyniku (próbki) z dokładnością do 0,1 %. Dopuszczalne odchyłki w zakresie zawartości lepiszcza w mieszance mineralno-asfaltowej dla pojedynczego wyniku oraz dla wartości średniej podano w Tablicy nr 6.</w:t>
      </w:r>
    </w:p>
    <w:p w14:paraId="45255554" w14:textId="77777777" w:rsidR="005E0BE2" w:rsidRDefault="005E0BE2">
      <w:pPr>
        <w:pStyle w:val="Akapitzlist"/>
        <w:ind w:left="360" w:right="14"/>
        <w:jc w:val="both"/>
        <w:rPr>
          <w:rFonts w:ascii="Arial" w:hAnsi="Arial" w:cs="Arial"/>
          <w:sz w:val="18"/>
          <w:szCs w:val="18"/>
          <w:highlight w:val="yellow"/>
          <w:lang w:eastAsia="ar-SA"/>
        </w:rPr>
      </w:pPr>
    </w:p>
    <w:p w14:paraId="44474704" w14:textId="77777777" w:rsidR="005E0BE2" w:rsidRDefault="006A6BD4">
      <w:pPr>
        <w:ind w:left="1276" w:right="14" w:hanging="1276"/>
        <w:jc w:val="both"/>
        <w:rPr>
          <w:rFonts w:ascii="Arial" w:hAnsi="Arial" w:cs="Arial"/>
          <w:sz w:val="18"/>
          <w:szCs w:val="18"/>
          <w:lang w:eastAsia="ar-SA"/>
        </w:rPr>
      </w:pPr>
      <w:r>
        <w:rPr>
          <w:rFonts w:ascii="Arial" w:hAnsi="Arial" w:cs="Arial"/>
          <w:sz w:val="18"/>
          <w:szCs w:val="18"/>
          <w:lang w:eastAsia="ar-SA"/>
        </w:rPr>
        <w:t>Tablica nr 6. Dopuszczalne odchyłki w zakresie zawartości lepiszcza w mieszance mineralno-asfaltowej AC 11 S.</w:t>
      </w:r>
    </w:p>
    <w:p w14:paraId="7D7C41F6" w14:textId="77777777" w:rsidR="005E0BE2" w:rsidRDefault="005E0BE2">
      <w:pPr>
        <w:ind w:left="1276" w:right="14" w:hanging="1276"/>
        <w:jc w:val="both"/>
        <w:rPr>
          <w:rFonts w:ascii="Arial" w:hAnsi="Arial" w:cs="Arial"/>
          <w:sz w:val="18"/>
          <w:szCs w:val="18"/>
          <w:lang w:eastAsia="ar-SA"/>
        </w:rPr>
      </w:pPr>
    </w:p>
    <w:tbl>
      <w:tblPr>
        <w:tblW w:w="8454" w:type="dxa"/>
        <w:tblInd w:w="-3" w:type="dxa"/>
        <w:tblLayout w:type="fixed"/>
        <w:tblCellMar>
          <w:top w:w="23" w:type="dxa"/>
          <w:left w:w="0" w:type="dxa"/>
          <w:right w:w="173" w:type="dxa"/>
        </w:tblCellMar>
        <w:tblLook w:val="04A0" w:firstRow="1" w:lastRow="0" w:firstColumn="1" w:lastColumn="0" w:noHBand="0" w:noVBand="1"/>
      </w:tblPr>
      <w:tblGrid>
        <w:gridCol w:w="4536"/>
        <w:gridCol w:w="1985"/>
        <w:gridCol w:w="1933"/>
      </w:tblGrid>
      <w:tr w:rsidR="005E0BE2" w14:paraId="57B444DF" w14:textId="77777777">
        <w:trPr>
          <w:trHeight w:val="297"/>
        </w:trPr>
        <w:tc>
          <w:tcPr>
            <w:tcW w:w="4536"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22FB6E95" w14:textId="77777777" w:rsidR="005E0BE2" w:rsidRDefault="006A6BD4">
            <w:pPr>
              <w:ind w:left="426"/>
              <w:rPr>
                <w:rFonts w:ascii="Arial" w:hAnsi="Arial" w:cs="Arial"/>
                <w:sz w:val="18"/>
                <w:szCs w:val="18"/>
                <w:lang w:eastAsia="ar-SA"/>
              </w:rPr>
            </w:pPr>
            <w:r>
              <w:rPr>
                <w:rFonts w:ascii="Arial" w:hAnsi="Arial" w:cs="Arial"/>
                <w:sz w:val="18"/>
                <w:szCs w:val="18"/>
                <w:lang w:eastAsia="ar-SA"/>
              </w:rPr>
              <w:t>Oceniany parametr</w:t>
            </w:r>
          </w:p>
        </w:tc>
        <w:tc>
          <w:tcPr>
            <w:tcW w:w="3918" w:type="dxa"/>
            <w:gridSpan w:val="2"/>
            <w:tcBorders>
              <w:top w:val="single" w:sz="2" w:space="0" w:color="000000"/>
              <w:left w:val="nil"/>
              <w:bottom w:val="single" w:sz="2" w:space="0" w:color="000000"/>
              <w:right w:val="single" w:sz="2" w:space="0" w:color="000000"/>
            </w:tcBorders>
            <w:shd w:val="clear" w:color="auto" w:fill="auto"/>
          </w:tcPr>
          <w:p w14:paraId="22CE197B" w14:textId="77777777" w:rsidR="005E0BE2" w:rsidRDefault="006A6BD4">
            <w:pPr>
              <w:ind w:right="91"/>
              <w:jc w:val="center"/>
              <w:rPr>
                <w:rFonts w:ascii="Arial" w:hAnsi="Arial" w:cs="Arial"/>
                <w:sz w:val="18"/>
                <w:szCs w:val="18"/>
                <w:lang w:eastAsia="ar-SA"/>
              </w:rPr>
            </w:pPr>
            <w:r>
              <w:rPr>
                <w:rFonts w:ascii="Arial" w:hAnsi="Arial" w:cs="Arial"/>
                <w:sz w:val="18"/>
                <w:szCs w:val="18"/>
                <w:lang w:eastAsia="ar-SA"/>
              </w:rPr>
              <w:t>Dopuszczalna odchyłka %</w:t>
            </w:r>
          </w:p>
        </w:tc>
      </w:tr>
      <w:tr w:rsidR="005E0BE2" w14:paraId="4B40CAB2" w14:textId="77777777">
        <w:trPr>
          <w:trHeight w:val="328"/>
        </w:trPr>
        <w:tc>
          <w:tcPr>
            <w:tcW w:w="4536" w:type="dxa"/>
            <w:vMerge/>
            <w:tcBorders>
              <w:top w:val="nil"/>
              <w:left w:val="single" w:sz="2" w:space="0" w:color="000000"/>
              <w:bottom w:val="single" w:sz="2" w:space="0" w:color="000000"/>
              <w:right w:val="single" w:sz="2" w:space="0" w:color="000000"/>
            </w:tcBorders>
            <w:shd w:val="clear" w:color="auto" w:fill="auto"/>
          </w:tcPr>
          <w:p w14:paraId="39C2F9E7" w14:textId="77777777" w:rsidR="005E0BE2" w:rsidRDefault="005E0BE2">
            <w:pPr>
              <w:rPr>
                <w:rFonts w:ascii="Arial" w:hAnsi="Arial" w:cs="Arial"/>
                <w:sz w:val="18"/>
                <w:szCs w:val="18"/>
                <w:lang w:eastAsia="ar-SA"/>
              </w:rPr>
            </w:pP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07F9D30F" w14:textId="77777777" w:rsidR="005E0BE2" w:rsidRDefault="006A6BD4">
            <w:pPr>
              <w:jc w:val="center"/>
              <w:rPr>
                <w:rFonts w:ascii="Arial" w:hAnsi="Arial" w:cs="Arial"/>
                <w:sz w:val="18"/>
                <w:szCs w:val="18"/>
                <w:lang w:eastAsia="ar-SA"/>
              </w:rPr>
            </w:pPr>
            <w:r>
              <w:rPr>
                <w:rFonts w:ascii="Arial" w:hAnsi="Arial" w:cs="Arial"/>
                <w:sz w:val="18"/>
                <w:szCs w:val="18"/>
                <w:lang w:eastAsia="ar-SA"/>
              </w:rPr>
              <w:t>Dla pojedynczego wyniku</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22AC83" w14:textId="77777777" w:rsidR="005E0BE2" w:rsidRDefault="006A6BD4">
            <w:pPr>
              <w:ind w:left="142"/>
              <w:jc w:val="center"/>
              <w:rPr>
                <w:rFonts w:ascii="Arial" w:hAnsi="Arial" w:cs="Arial"/>
                <w:sz w:val="18"/>
                <w:szCs w:val="18"/>
                <w:lang w:eastAsia="ar-SA"/>
              </w:rPr>
            </w:pPr>
            <w:r>
              <w:rPr>
                <w:rFonts w:ascii="Arial" w:hAnsi="Arial" w:cs="Arial"/>
                <w:sz w:val="18"/>
                <w:szCs w:val="18"/>
                <w:lang w:eastAsia="ar-SA"/>
              </w:rPr>
              <w:t>Dla wartości wredniej</w:t>
            </w:r>
          </w:p>
        </w:tc>
      </w:tr>
      <w:tr w:rsidR="005E0BE2" w14:paraId="3395524A" w14:textId="77777777">
        <w:trPr>
          <w:trHeight w:val="366"/>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ACF5D8" w14:textId="77777777" w:rsidR="005E0BE2" w:rsidRDefault="006A6BD4">
            <w:pPr>
              <w:ind w:left="568" w:hanging="426"/>
              <w:jc w:val="center"/>
              <w:rPr>
                <w:rFonts w:ascii="Arial" w:hAnsi="Arial" w:cs="Arial"/>
                <w:sz w:val="18"/>
                <w:szCs w:val="18"/>
                <w:lang w:eastAsia="ar-SA"/>
              </w:rPr>
            </w:pPr>
            <w:r>
              <w:rPr>
                <w:rFonts w:ascii="Arial" w:hAnsi="Arial" w:cs="Arial"/>
                <w:sz w:val="18"/>
                <w:szCs w:val="18"/>
                <w:lang w:eastAsia="ar-SA"/>
              </w:rPr>
              <w:t>Zawartość lepiszcza rozpuszczalnego S </w:t>
            </w:r>
            <w:r>
              <w:rPr>
                <w:rFonts w:ascii="Arial" w:hAnsi="Arial" w:cs="Arial"/>
                <w:sz w:val="18"/>
                <w:szCs w:val="18"/>
                <w:lang w:eastAsia="ar-SA"/>
              </w:rPr>
              <w:noBreakHyphen/>
            </w:r>
            <w:r>
              <w:t> </w:t>
            </w:r>
            <w:r>
              <w:rPr>
                <w:rFonts w:ascii="Arial" w:hAnsi="Arial" w:cs="Arial"/>
                <w:sz w:val="18"/>
                <w:szCs w:val="18"/>
                <w:lang w:eastAsia="ar-SA"/>
              </w:rPr>
              <w:t>niedomiar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79601783"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72F7B2" w14:textId="77777777" w:rsidR="005E0BE2" w:rsidRDefault="006A6BD4">
            <w:pPr>
              <w:ind w:left="939"/>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r w:rsidR="005E0BE2" w14:paraId="64E03023" w14:textId="77777777">
        <w:trPr>
          <w:trHeight w:val="404"/>
        </w:trPr>
        <w:tc>
          <w:tcPr>
            <w:tcW w:w="45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2A6A5" w14:textId="77777777" w:rsidR="005E0BE2" w:rsidRDefault="006A6BD4">
            <w:pPr>
              <w:ind w:left="709" w:right="256" w:hanging="709"/>
              <w:jc w:val="center"/>
              <w:rPr>
                <w:rFonts w:ascii="Arial" w:hAnsi="Arial" w:cs="Arial"/>
                <w:sz w:val="18"/>
                <w:szCs w:val="18"/>
                <w:lang w:eastAsia="ar-SA"/>
              </w:rPr>
            </w:pPr>
            <w:r>
              <w:rPr>
                <w:rFonts w:ascii="Arial" w:hAnsi="Arial" w:cs="Arial"/>
                <w:sz w:val="18"/>
                <w:szCs w:val="18"/>
                <w:lang w:eastAsia="ar-SA"/>
              </w:rPr>
              <w:t>Zawartość lepiszcza rozpuszczalnego</w:t>
            </w:r>
          </w:p>
          <w:p w14:paraId="693FBF89" w14:textId="77777777" w:rsidR="005E0BE2" w:rsidRDefault="006A6BD4">
            <w:pPr>
              <w:ind w:left="709" w:right="256" w:hanging="392"/>
              <w:jc w:val="center"/>
              <w:rPr>
                <w:rFonts w:ascii="Arial" w:hAnsi="Arial" w:cs="Arial"/>
                <w:sz w:val="18"/>
                <w:szCs w:val="18"/>
                <w:lang w:eastAsia="ar-SA"/>
              </w:rPr>
            </w:pPr>
            <w:r>
              <w:rPr>
                <w:rFonts w:ascii="Arial" w:hAnsi="Arial" w:cs="Arial"/>
                <w:sz w:val="18"/>
                <w:szCs w:val="18"/>
                <w:lang w:eastAsia="ar-SA"/>
              </w:rPr>
              <w:t>S - nadmiar</w:t>
            </w:r>
          </w:p>
        </w:tc>
        <w:tc>
          <w:tcPr>
            <w:tcW w:w="1985" w:type="dxa"/>
            <w:tcBorders>
              <w:top w:val="single" w:sz="2" w:space="0" w:color="000000"/>
              <w:left w:val="nil"/>
              <w:bottom w:val="single" w:sz="2" w:space="0" w:color="000000"/>
              <w:right w:val="single" w:sz="2" w:space="0" w:color="000000"/>
            </w:tcBorders>
            <w:shd w:val="clear" w:color="auto" w:fill="auto"/>
            <w:vAlign w:val="center"/>
          </w:tcPr>
          <w:p w14:paraId="4DA3E26F" w14:textId="77777777" w:rsidR="005E0BE2" w:rsidRDefault="006A6BD4">
            <w:pPr>
              <w:ind w:left="194"/>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0,3</w:t>
            </w:r>
          </w:p>
        </w:tc>
        <w:tc>
          <w:tcPr>
            <w:tcW w:w="19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3289E1" w14:textId="77777777" w:rsidR="005E0BE2" w:rsidRDefault="006A6BD4">
            <w:pPr>
              <w:ind w:left="931"/>
              <w:jc w:val="center"/>
              <w:rPr>
                <w:rFonts w:ascii="Arial" w:hAnsi="Arial" w:cs="Arial"/>
                <w:sz w:val="18"/>
                <w:szCs w:val="18"/>
                <w:lang w:eastAsia="ar-SA"/>
              </w:rPr>
            </w:pPr>
            <w:r>
              <w:rPr>
                <w:rFonts w:ascii="Arial" w:hAnsi="Arial" w:cs="Arial"/>
                <w:sz w:val="18"/>
                <w:szCs w:val="18"/>
                <w:u w:val="single"/>
                <w:lang w:eastAsia="ar-SA"/>
              </w:rPr>
              <w:t>&lt;</w:t>
            </w:r>
            <w:r>
              <w:rPr>
                <w:rFonts w:ascii="Arial" w:hAnsi="Arial" w:cs="Arial"/>
                <w:sz w:val="18"/>
                <w:szCs w:val="18"/>
                <w:lang w:eastAsia="ar-SA"/>
              </w:rPr>
              <w:t xml:space="preserve"> 0,20</w:t>
            </w:r>
          </w:p>
        </w:tc>
      </w:tr>
    </w:tbl>
    <w:p w14:paraId="07A39FC9" w14:textId="77777777" w:rsidR="005E0BE2" w:rsidRDefault="005E0BE2">
      <w:pPr>
        <w:ind w:left="194"/>
        <w:jc w:val="both"/>
        <w:rPr>
          <w:rFonts w:ascii="Arial" w:hAnsi="Arial" w:cs="Arial"/>
          <w:sz w:val="18"/>
          <w:szCs w:val="18"/>
          <w:lang w:eastAsia="ar-SA"/>
        </w:rPr>
      </w:pPr>
    </w:p>
    <w:p w14:paraId="2B35992B" w14:textId="77777777" w:rsidR="005E0BE2" w:rsidRDefault="006A6BD4">
      <w:pPr>
        <w:ind w:left="194"/>
        <w:jc w:val="both"/>
        <w:rPr>
          <w:rFonts w:ascii="Arial" w:hAnsi="Arial" w:cs="Arial"/>
          <w:sz w:val="18"/>
          <w:szCs w:val="18"/>
          <w:lang w:eastAsia="ar-SA"/>
        </w:rPr>
      </w:pPr>
      <w:r>
        <w:rPr>
          <w:rFonts w:ascii="Arial" w:hAnsi="Arial" w:cs="Arial"/>
          <w:sz w:val="18"/>
          <w:szCs w:val="18"/>
          <w:lang w:eastAsia="ar-SA"/>
        </w:rPr>
        <w:t>Wyżej wymienione kryteria należy stosować jednocześnie.</w:t>
      </w:r>
    </w:p>
    <w:p w14:paraId="4241D479" w14:textId="77777777" w:rsidR="005E0BE2" w:rsidRDefault="005E0BE2">
      <w:pPr>
        <w:ind w:left="194"/>
        <w:jc w:val="both"/>
        <w:rPr>
          <w:rFonts w:ascii="Arial" w:hAnsi="Arial" w:cs="Arial"/>
          <w:sz w:val="18"/>
          <w:szCs w:val="18"/>
          <w:lang w:eastAsia="ar-SA"/>
        </w:rPr>
      </w:pPr>
    </w:p>
    <w:p w14:paraId="7280F53A" w14:textId="77777777" w:rsidR="005E0BE2" w:rsidRDefault="006A6BD4">
      <w:pPr>
        <w:pStyle w:val="Nagwek2"/>
        <w:spacing w:before="0" w:after="60"/>
        <w:rPr>
          <w:rFonts w:ascii="Arial" w:hAnsi="Arial" w:cs="Arial"/>
          <w:sz w:val="18"/>
          <w:szCs w:val="18"/>
          <w:lang w:eastAsia="ar-SA"/>
        </w:rPr>
      </w:pPr>
      <w:r>
        <w:rPr>
          <w:rFonts w:ascii="Arial" w:hAnsi="Arial" w:cs="Arial"/>
          <w:sz w:val="18"/>
          <w:szCs w:val="18"/>
          <w:lang w:eastAsia="ar-SA"/>
        </w:rPr>
        <w:t>6.2.1.2.3. Uziarnienie mieszanki mineralnej</w:t>
      </w:r>
    </w:p>
    <w:p w14:paraId="584CB904" w14:textId="77777777" w:rsidR="005E0BE2" w:rsidRDefault="006A6BD4">
      <w:pPr>
        <w:ind w:right="7" w:firstLine="567"/>
        <w:jc w:val="both"/>
        <w:rPr>
          <w:rFonts w:ascii="Arial" w:hAnsi="Arial" w:cs="Arial"/>
          <w:sz w:val="18"/>
          <w:szCs w:val="18"/>
        </w:rPr>
      </w:pPr>
      <w:r>
        <w:rPr>
          <w:rFonts w:ascii="Arial" w:hAnsi="Arial" w:cs="Arial"/>
          <w:sz w:val="18"/>
          <w:szCs w:val="18"/>
        </w:rPr>
        <w:t>Po wykonaniu ekstrakcji lepiszcza należy przeprowadzić kontrolę uziarnienia wyekstrahowanej mieszanki mineralnej zgodnie z PN-EN 12697-2.</w:t>
      </w:r>
    </w:p>
    <w:p w14:paraId="1262AD8A" w14:textId="77777777" w:rsidR="005E0BE2" w:rsidRDefault="006A6BD4">
      <w:pPr>
        <w:ind w:right="7" w:firstLine="567"/>
        <w:jc w:val="both"/>
        <w:rPr>
          <w:rFonts w:ascii="Arial" w:hAnsi="Arial" w:cs="Arial"/>
          <w:sz w:val="18"/>
          <w:szCs w:val="18"/>
        </w:rPr>
      </w:pPr>
      <w:r>
        <w:rPr>
          <w:rFonts w:ascii="Arial" w:hAnsi="Arial" w:cs="Arial"/>
          <w:sz w:val="18"/>
          <w:szCs w:val="18"/>
        </w:rPr>
        <w:t>Odchyłka w zakresie uziarnienia jest to wartość bezwzględna różnicy pomiędzy procentową zawartością ziaren w wyekstrahowanej mieszance mineralnej uzyskaną z badań laboratoryjnych, a procentową zawartością ziaren w mieszance mineralnej podaną w badaniu typu.</w:t>
      </w:r>
    </w:p>
    <w:p w14:paraId="6EA84DDD" w14:textId="77777777" w:rsidR="005E0BE2" w:rsidRDefault="006A6BD4">
      <w:pPr>
        <w:ind w:right="7" w:firstLine="567"/>
        <w:jc w:val="both"/>
        <w:rPr>
          <w:rFonts w:ascii="Arial" w:hAnsi="Arial" w:cs="Arial"/>
          <w:sz w:val="18"/>
          <w:szCs w:val="18"/>
        </w:rPr>
      </w:pPr>
      <w:r>
        <w:rPr>
          <w:rFonts w:ascii="Arial" w:hAnsi="Arial" w:cs="Arial"/>
          <w:sz w:val="18"/>
          <w:szCs w:val="18"/>
        </w:rPr>
        <w:t>Jakość mieszanki mineralnej należy ocenić na podstawie:</w:t>
      </w:r>
    </w:p>
    <w:p w14:paraId="49C0031B"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wartości średniej (średnia arytmetyczna wszystkich wyników z całej drogi dla danego typu MMA i danej warstwy asfaltowej) z dokładnością do 0,1 %,</w:t>
      </w:r>
    </w:p>
    <w:p w14:paraId="66440B55" w14:textId="77777777" w:rsidR="005E0BE2" w:rsidRDefault="006A6BD4">
      <w:pPr>
        <w:pStyle w:val="Akapitzlist"/>
        <w:numPr>
          <w:ilvl w:val="0"/>
          <w:numId w:val="28"/>
        </w:numPr>
        <w:ind w:left="284" w:right="7" w:hanging="284"/>
        <w:jc w:val="both"/>
        <w:rPr>
          <w:rFonts w:ascii="Arial" w:hAnsi="Arial" w:cs="Arial"/>
          <w:sz w:val="18"/>
          <w:szCs w:val="18"/>
        </w:rPr>
      </w:pPr>
      <w:r>
        <w:rPr>
          <w:rFonts w:ascii="Arial" w:hAnsi="Arial" w:cs="Arial"/>
          <w:sz w:val="18"/>
          <w:szCs w:val="18"/>
        </w:rPr>
        <w:t>wielkości odchyłki obliczonej dla pojedynczego wyniku (próbki) z dokładnością do 0,1 % dla sita #0,063 mm i z dokładnością do 1 % dla pozostałych sit. Wyżej wymienione kryteria należy stosować jednocześnie.</w:t>
      </w:r>
    </w:p>
    <w:p w14:paraId="5B73A4A1" w14:textId="77777777" w:rsidR="005E0BE2" w:rsidRDefault="006A6BD4">
      <w:pPr>
        <w:ind w:right="7" w:firstLine="567"/>
        <w:jc w:val="both"/>
        <w:rPr>
          <w:rFonts w:ascii="Arial" w:hAnsi="Arial" w:cs="Arial"/>
          <w:sz w:val="18"/>
          <w:szCs w:val="18"/>
        </w:rPr>
      </w:pPr>
      <w:r>
        <w:rPr>
          <w:rFonts w:ascii="Arial" w:hAnsi="Arial" w:cs="Arial"/>
          <w:sz w:val="18"/>
          <w:szCs w:val="18"/>
        </w:rPr>
        <w:t xml:space="preserve">Dopuszczalne wartości odchyłek w zakresie składu mieszanki mineralnej dla pojedynczego wyniku oraz dla wartości średniej podano w Tablicy nr 7. </w:t>
      </w:r>
    </w:p>
    <w:p w14:paraId="7E7F8BC7" w14:textId="77777777" w:rsidR="005E0BE2" w:rsidRDefault="005E0BE2">
      <w:pPr>
        <w:ind w:right="7"/>
        <w:jc w:val="both"/>
        <w:rPr>
          <w:rFonts w:ascii="Arial" w:hAnsi="Arial" w:cs="Arial"/>
          <w:sz w:val="18"/>
          <w:szCs w:val="18"/>
        </w:rPr>
      </w:pPr>
    </w:p>
    <w:p w14:paraId="7E224295" w14:textId="77777777" w:rsidR="005E0BE2" w:rsidRDefault="006A6BD4">
      <w:pPr>
        <w:ind w:right="7"/>
        <w:jc w:val="both"/>
        <w:rPr>
          <w:rFonts w:ascii="Arial" w:hAnsi="Arial" w:cs="Arial"/>
          <w:sz w:val="18"/>
          <w:szCs w:val="18"/>
        </w:rPr>
      </w:pPr>
      <w:r>
        <w:rPr>
          <w:rFonts w:ascii="Arial" w:hAnsi="Arial" w:cs="Arial"/>
          <w:sz w:val="18"/>
          <w:szCs w:val="18"/>
        </w:rPr>
        <w:t>Tablica nr  7.  Dopuszczalne wartości odchyłek w zakresie zawartości ziaren w mieszance mineralno-asfaltowej AC 11 S.</w:t>
      </w:r>
    </w:p>
    <w:p w14:paraId="0361408C" w14:textId="77777777" w:rsidR="005E0BE2" w:rsidRDefault="005E0BE2">
      <w:pPr>
        <w:ind w:right="7"/>
        <w:jc w:val="both"/>
        <w:rPr>
          <w:rFonts w:ascii="Arial" w:hAnsi="Arial" w:cs="Arial"/>
          <w:sz w:val="18"/>
          <w:szCs w:val="18"/>
        </w:rPr>
      </w:pPr>
    </w:p>
    <w:tbl>
      <w:tblPr>
        <w:tblStyle w:val="Tabela-Siatka"/>
        <w:tblW w:w="0" w:type="auto"/>
        <w:tblInd w:w="137" w:type="dxa"/>
        <w:tblLook w:val="04A0" w:firstRow="1" w:lastRow="0" w:firstColumn="1" w:lastColumn="0" w:noHBand="0" w:noVBand="1"/>
      </w:tblPr>
      <w:tblGrid>
        <w:gridCol w:w="3402"/>
        <w:gridCol w:w="2544"/>
        <w:gridCol w:w="2701"/>
      </w:tblGrid>
      <w:tr w:rsidR="005E0BE2" w14:paraId="361AF967" w14:textId="77777777">
        <w:tc>
          <w:tcPr>
            <w:tcW w:w="3402" w:type="dxa"/>
            <w:vMerge w:val="restart"/>
          </w:tcPr>
          <w:p w14:paraId="44F5FC6C" w14:textId="77777777" w:rsidR="005E0BE2" w:rsidRDefault="006A6BD4">
            <w:pPr>
              <w:suppressAutoHyphens/>
              <w:jc w:val="center"/>
              <w:rPr>
                <w:rFonts w:ascii="Arial" w:hAnsi="Arial" w:cs="Arial"/>
                <w:sz w:val="18"/>
                <w:szCs w:val="18"/>
              </w:rPr>
            </w:pPr>
            <w:r>
              <w:rPr>
                <w:rFonts w:ascii="Arial" w:hAnsi="Arial" w:cs="Arial"/>
                <w:sz w:val="18"/>
                <w:szCs w:val="18"/>
              </w:rPr>
              <w:t>Oceniany parametr</w:t>
            </w:r>
          </w:p>
          <w:p w14:paraId="2BE1929A" w14:textId="77777777" w:rsidR="005E0BE2" w:rsidRDefault="006A6BD4">
            <w:pPr>
              <w:suppressAutoHyphens/>
              <w:jc w:val="center"/>
              <w:rPr>
                <w:rFonts w:ascii="Arial" w:hAnsi="Arial" w:cs="Arial"/>
                <w:sz w:val="18"/>
                <w:szCs w:val="18"/>
              </w:rPr>
            </w:pPr>
            <w:r>
              <w:rPr>
                <w:rFonts w:ascii="Arial" w:hAnsi="Arial" w:cs="Arial"/>
                <w:sz w:val="18"/>
                <w:szCs w:val="18"/>
              </w:rPr>
              <w:t>przechodzi przez sito #/mm</w:t>
            </w:r>
          </w:p>
        </w:tc>
        <w:tc>
          <w:tcPr>
            <w:tcW w:w="5245" w:type="dxa"/>
            <w:gridSpan w:val="2"/>
          </w:tcPr>
          <w:p w14:paraId="07C1EFD8" w14:textId="77777777" w:rsidR="005E0BE2" w:rsidRDefault="006A6BD4">
            <w:pPr>
              <w:suppressAutoHyphens/>
              <w:jc w:val="center"/>
              <w:rPr>
                <w:rFonts w:ascii="Arial" w:hAnsi="Arial" w:cs="Arial"/>
                <w:sz w:val="18"/>
                <w:szCs w:val="18"/>
              </w:rPr>
            </w:pPr>
            <w:r>
              <w:rPr>
                <w:rFonts w:ascii="Arial" w:hAnsi="Arial" w:cs="Arial"/>
                <w:sz w:val="18"/>
                <w:szCs w:val="18"/>
              </w:rPr>
              <w:t>Dopuszczalna odchyłka [%]</w:t>
            </w:r>
          </w:p>
        </w:tc>
      </w:tr>
      <w:tr w:rsidR="005E0BE2" w14:paraId="772C4200" w14:textId="77777777">
        <w:tc>
          <w:tcPr>
            <w:tcW w:w="3402" w:type="dxa"/>
            <w:vMerge/>
          </w:tcPr>
          <w:p w14:paraId="43DEA648" w14:textId="77777777" w:rsidR="005E0BE2" w:rsidRDefault="005E0BE2">
            <w:pPr>
              <w:suppressAutoHyphens/>
              <w:jc w:val="center"/>
              <w:rPr>
                <w:rFonts w:ascii="Arial" w:hAnsi="Arial" w:cs="Arial"/>
                <w:sz w:val="18"/>
                <w:szCs w:val="18"/>
              </w:rPr>
            </w:pPr>
          </w:p>
        </w:tc>
        <w:tc>
          <w:tcPr>
            <w:tcW w:w="2544" w:type="dxa"/>
          </w:tcPr>
          <w:p w14:paraId="4F9DE508" w14:textId="77777777" w:rsidR="005E0BE2" w:rsidRDefault="006A6BD4">
            <w:pPr>
              <w:suppressAutoHyphens/>
              <w:jc w:val="center"/>
              <w:rPr>
                <w:rFonts w:ascii="Arial" w:hAnsi="Arial" w:cs="Arial"/>
                <w:sz w:val="18"/>
                <w:szCs w:val="18"/>
              </w:rPr>
            </w:pPr>
            <w:r>
              <w:rPr>
                <w:rFonts w:ascii="Arial" w:hAnsi="Arial" w:cs="Arial"/>
                <w:sz w:val="18"/>
                <w:szCs w:val="18"/>
              </w:rPr>
              <w:t>Dla pojedynczego wyniku</w:t>
            </w:r>
          </w:p>
        </w:tc>
        <w:tc>
          <w:tcPr>
            <w:tcW w:w="2701" w:type="dxa"/>
          </w:tcPr>
          <w:p w14:paraId="77684BAE" w14:textId="77777777" w:rsidR="005E0BE2" w:rsidRDefault="006A6BD4">
            <w:pPr>
              <w:suppressAutoHyphens/>
              <w:jc w:val="center"/>
              <w:rPr>
                <w:rFonts w:ascii="Arial" w:hAnsi="Arial" w:cs="Arial"/>
                <w:sz w:val="18"/>
                <w:szCs w:val="18"/>
              </w:rPr>
            </w:pPr>
            <w:r>
              <w:rPr>
                <w:rFonts w:ascii="Arial" w:hAnsi="Arial" w:cs="Arial"/>
                <w:sz w:val="18"/>
                <w:szCs w:val="18"/>
              </w:rPr>
              <w:t>Dla wartości średniej</w:t>
            </w:r>
          </w:p>
        </w:tc>
      </w:tr>
      <w:tr w:rsidR="005E0BE2" w14:paraId="759D492F" w14:textId="77777777">
        <w:tc>
          <w:tcPr>
            <w:tcW w:w="3402" w:type="dxa"/>
          </w:tcPr>
          <w:p w14:paraId="77ECFA80" w14:textId="77777777" w:rsidR="005E0BE2" w:rsidRDefault="006A6BD4">
            <w:pPr>
              <w:suppressAutoHyphens/>
              <w:jc w:val="center"/>
              <w:rPr>
                <w:rFonts w:ascii="Arial" w:hAnsi="Arial" w:cs="Arial"/>
                <w:sz w:val="18"/>
                <w:szCs w:val="18"/>
              </w:rPr>
            </w:pPr>
            <w:r>
              <w:rPr>
                <w:rFonts w:ascii="Arial" w:hAnsi="Arial" w:cs="Arial"/>
                <w:sz w:val="18"/>
                <w:szCs w:val="18"/>
              </w:rPr>
              <w:t>0,063</w:t>
            </w:r>
          </w:p>
        </w:tc>
        <w:tc>
          <w:tcPr>
            <w:tcW w:w="2544" w:type="dxa"/>
          </w:tcPr>
          <w:p w14:paraId="5952EE1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3,0</w:t>
            </w:r>
          </w:p>
        </w:tc>
        <w:tc>
          <w:tcPr>
            <w:tcW w:w="2701" w:type="dxa"/>
          </w:tcPr>
          <w:p w14:paraId="5D85EB35"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1,5</w:t>
            </w:r>
          </w:p>
        </w:tc>
      </w:tr>
      <w:tr w:rsidR="005E0BE2" w14:paraId="1D96E051" w14:textId="77777777">
        <w:tc>
          <w:tcPr>
            <w:tcW w:w="3402" w:type="dxa"/>
          </w:tcPr>
          <w:p w14:paraId="2E0D96B9" w14:textId="77777777" w:rsidR="005E0BE2" w:rsidRDefault="006A6BD4">
            <w:pPr>
              <w:suppressAutoHyphens/>
              <w:jc w:val="center"/>
              <w:rPr>
                <w:rFonts w:ascii="Arial" w:hAnsi="Arial" w:cs="Arial"/>
                <w:sz w:val="18"/>
                <w:szCs w:val="18"/>
              </w:rPr>
            </w:pPr>
            <w:r>
              <w:rPr>
                <w:rFonts w:ascii="Arial" w:hAnsi="Arial" w:cs="Arial"/>
                <w:sz w:val="18"/>
                <w:szCs w:val="18"/>
              </w:rPr>
              <w:t>0,125</w:t>
            </w:r>
          </w:p>
        </w:tc>
        <w:tc>
          <w:tcPr>
            <w:tcW w:w="2544" w:type="dxa"/>
          </w:tcPr>
          <w:p w14:paraId="5A5BFA6B"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c>
          <w:tcPr>
            <w:tcW w:w="2701" w:type="dxa"/>
          </w:tcPr>
          <w:p w14:paraId="15A2B217"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2</w:t>
            </w:r>
          </w:p>
        </w:tc>
      </w:tr>
      <w:tr w:rsidR="005E0BE2" w14:paraId="056BC3C6" w14:textId="77777777">
        <w:tc>
          <w:tcPr>
            <w:tcW w:w="3402" w:type="dxa"/>
          </w:tcPr>
          <w:p w14:paraId="40285399" w14:textId="77777777" w:rsidR="005E0BE2" w:rsidRDefault="006A6BD4">
            <w:pPr>
              <w:suppressAutoHyphens/>
              <w:jc w:val="center"/>
              <w:rPr>
                <w:rFonts w:ascii="Arial" w:hAnsi="Arial" w:cs="Arial"/>
                <w:sz w:val="18"/>
                <w:szCs w:val="18"/>
              </w:rPr>
            </w:pPr>
            <w:r>
              <w:rPr>
                <w:rFonts w:ascii="Arial" w:hAnsi="Arial" w:cs="Arial"/>
                <w:sz w:val="18"/>
                <w:szCs w:val="18"/>
              </w:rPr>
              <w:t>2</w:t>
            </w:r>
          </w:p>
        </w:tc>
        <w:tc>
          <w:tcPr>
            <w:tcW w:w="2544" w:type="dxa"/>
          </w:tcPr>
          <w:p w14:paraId="661BFC0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6</w:t>
            </w:r>
          </w:p>
        </w:tc>
        <w:tc>
          <w:tcPr>
            <w:tcW w:w="2701" w:type="dxa"/>
          </w:tcPr>
          <w:p w14:paraId="5AA19F5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3</w:t>
            </w:r>
          </w:p>
        </w:tc>
      </w:tr>
      <w:tr w:rsidR="005E0BE2" w14:paraId="4521ACE7" w14:textId="77777777">
        <w:tc>
          <w:tcPr>
            <w:tcW w:w="3402" w:type="dxa"/>
          </w:tcPr>
          <w:p w14:paraId="1242489E" w14:textId="77777777" w:rsidR="005E0BE2" w:rsidRDefault="006A6BD4">
            <w:pPr>
              <w:suppressAutoHyphens/>
              <w:jc w:val="center"/>
              <w:rPr>
                <w:rFonts w:ascii="Arial" w:hAnsi="Arial" w:cs="Arial"/>
                <w:sz w:val="18"/>
                <w:szCs w:val="18"/>
              </w:rPr>
            </w:pPr>
            <w:r>
              <w:rPr>
                <w:rFonts w:ascii="Arial" w:hAnsi="Arial" w:cs="Arial"/>
                <w:sz w:val="18"/>
                <w:szCs w:val="18"/>
              </w:rPr>
              <w:t>D/2 lub sito charakterystyczne</w:t>
            </w:r>
          </w:p>
        </w:tc>
        <w:tc>
          <w:tcPr>
            <w:tcW w:w="2544" w:type="dxa"/>
          </w:tcPr>
          <w:p w14:paraId="13E88608"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7</w:t>
            </w:r>
          </w:p>
        </w:tc>
        <w:tc>
          <w:tcPr>
            <w:tcW w:w="2701" w:type="dxa"/>
          </w:tcPr>
          <w:p w14:paraId="5A6A8FF6"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4</w:t>
            </w:r>
          </w:p>
        </w:tc>
      </w:tr>
      <w:tr w:rsidR="005E0BE2" w14:paraId="6409E040" w14:textId="77777777">
        <w:tc>
          <w:tcPr>
            <w:tcW w:w="3402" w:type="dxa"/>
          </w:tcPr>
          <w:p w14:paraId="37F30045" w14:textId="77777777" w:rsidR="005E0BE2" w:rsidRDefault="006A6BD4">
            <w:pPr>
              <w:suppressAutoHyphens/>
              <w:jc w:val="center"/>
              <w:rPr>
                <w:rFonts w:ascii="Arial" w:hAnsi="Arial" w:cs="Arial"/>
                <w:sz w:val="18"/>
                <w:szCs w:val="18"/>
              </w:rPr>
            </w:pPr>
            <w:r>
              <w:rPr>
                <w:rFonts w:ascii="Arial" w:hAnsi="Arial" w:cs="Arial"/>
                <w:sz w:val="18"/>
                <w:szCs w:val="18"/>
              </w:rPr>
              <w:t>D</w:t>
            </w:r>
          </w:p>
        </w:tc>
        <w:tc>
          <w:tcPr>
            <w:tcW w:w="2544" w:type="dxa"/>
          </w:tcPr>
          <w:p w14:paraId="005E358E"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8</w:t>
            </w:r>
          </w:p>
        </w:tc>
        <w:tc>
          <w:tcPr>
            <w:tcW w:w="2701" w:type="dxa"/>
          </w:tcPr>
          <w:p w14:paraId="39393DF0" w14:textId="77777777" w:rsidR="005E0BE2" w:rsidRDefault="006A6BD4">
            <w:pPr>
              <w:jc w:val="center"/>
              <w:rPr>
                <w:rFonts w:ascii="Arial" w:hAnsi="Arial" w:cs="Arial"/>
                <w:sz w:val="18"/>
                <w:szCs w:val="18"/>
              </w:rPr>
            </w:pPr>
            <w:r>
              <w:rPr>
                <w:rFonts w:ascii="Arial" w:hAnsi="Arial" w:cs="Arial"/>
                <w:sz w:val="18"/>
                <w:szCs w:val="18"/>
                <w:u w:val="single"/>
                <w:lang w:eastAsia="ar-SA"/>
              </w:rPr>
              <w:t>&lt;</w:t>
            </w:r>
            <w:r>
              <w:rPr>
                <w:rFonts w:ascii="Arial" w:hAnsi="Arial" w:cs="Arial"/>
                <w:sz w:val="18"/>
                <w:szCs w:val="18"/>
                <w:lang w:eastAsia="ar-SA"/>
              </w:rPr>
              <w:t xml:space="preserve"> 5</w:t>
            </w:r>
          </w:p>
        </w:tc>
      </w:tr>
    </w:tbl>
    <w:p w14:paraId="69ECEB16" w14:textId="77777777" w:rsidR="005E0BE2" w:rsidRDefault="005E0BE2">
      <w:pPr>
        <w:suppressAutoHyphens/>
        <w:jc w:val="both"/>
        <w:rPr>
          <w:rFonts w:ascii="Arial" w:hAnsi="Arial" w:cs="Arial"/>
          <w:b/>
          <w:sz w:val="18"/>
          <w:szCs w:val="18"/>
          <w:lang w:eastAsia="ar-SA"/>
        </w:rPr>
      </w:pPr>
    </w:p>
    <w:p w14:paraId="4103A42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 xml:space="preserve">6.2.1.2.4. Zawartość wolnych przestrzeni w mieszance mineralnej i mineralno-asfaltowej </w:t>
      </w:r>
    </w:p>
    <w:p w14:paraId="43BD3AF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Zawartość wolnych przestrzeni w próbkach Marshalla oblicza się zgodnie z PN-EN 12697-8. Zawartość wolnych przestrzeni nie może przekroczyć wartości podanych w Tablicy 4. </w:t>
      </w:r>
    </w:p>
    <w:p w14:paraId="4D8CFF69" w14:textId="77777777" w:rsidR="005E0BE2" w:rsidRDefault="005E0BE2">
      <w:pPr>
        <w:suppressAutoHyphens/>
        <w:jc w:val="both"/>
        <w:rPr>
          <w:rFonts w:ascii="Arial" w:hAnsi="Arial" w:cs="Arial"/>
          <w:sz w:val="18"/>
          <w:szCs w:val="18"/>
          <w:lang w:eastAsia="ar-SA"/>
        </w:rPr>
      </w:pPr>
    </w:p>
    <w:p w14:paraId="352F308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6.2.1.2.5. Pomiar grubości warstwy</w:t>
      </w:r>
    </w:p>
    <w:p w14:paraId="6E651BD4"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Grubości wykonanej warstwy należy określać na podstawie wyciętych próbek. Za grubość warstwy przyjmuje się średnią arytmetyczną wielu oznaczeń grubości na całym odcinku budowy. </w:t>
      </w:r>
    </w:p>
    <w:p w14:paraId="37E9991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Średnia grubość warstwy nie może różnić się od grubości projektowanej, a pojedyncze oznaczenia o więcej niż ±5%.</w:t>
      </w:r>
    </w:p>
    <w:p w14:paraId="17A2D19D" w14:textId="77777777" w:rsidR="005E0BE2" w:rsidRDefault="005E0BE2">
      <w:pPr>
        <w:rPr>
          <w:rFonts w:ascii="Arial" w:hAnsi="Arial" w:cs="Arial"/>
          <w:b/>
          <w:sz w:val="18"/>
          <w:szCs w:val="18"/>
          <w:lang w:eastAsia="ar-SA"/>
        </w:rPr>
      </w:pPr>
    </w:p>
    <w:p w14:paraId="5C5027BC"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6.2.1.2.6. Wskaźnik zagęszczenia warstwy</w:t>
      </w:r>
    </w:p>
    <w:p w14:paraId="0A113DE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Wskaźnik zagęszczenia warstwy należy określić zgodnie z PN-EN 13108-20 na podstawie gęstości objętościowej próbek Marshalla formowanych z mieszanki mineralno-asfaltowej pobranej podczas wbudowywania warstwy oraz gęstości objętościowej wyciętych w tej samej lokalizacji próbek z gotowej warstwy. </w:t>
      </w:r>
    </w:p>
    <w:p w14:paraId="527F8767"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Oznaczenie gęstości objętościowej należy wykonywać zgodnie z PN-EN 12697-6. Wyniki powinny być zgodne z wymaganiami podanymi w Tablicy 4.</w:t>
      </w:r>
    </w:p>
    <w:p w14:paraId="017A49C5" w14:textId="77777777" w:rsidR="005E0BE2" w:rsidRDefault="005E0BE2">
      <w:pPr>
        <w:suppressAutoHyphens/>
        <w:jc w:val="both"/>
        <w:rPr>
          <w:rFonts w:ascii="Arial" w:hAnsi="Arial" w:cs="Arial"/>
          <w:b/>
          <w:bCs/>
          <w:sz w:val="18"/>
          <w:szCs w:val="18"/>
          <w:lang w:eastAsia="ar-SA"/>
        </w:rPr>
      </w:pPr>
    </w:p>
    <w:p w14:paraId="4B6CCBC1"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6.2.1.2.7. Wolna przestrzeń w warstwie</w:t>
      </w:r>
    </w:p>
    <w:p w14:paraId="27D18601"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 xml:space="preserve">Wolną przestrzeń w warstwie należy określać wg PN-EN 12697-8 na podstawie gęstości oznaczonej wg PN-EN 12697-5 mieszanki mineralno-asfaltowej pobranej podczas wbudowywania warstwy oraz gęstości objętościowej oznaczonej wg PN-EN 12697-6 wyciętych w tej samej lokalizacji próbek z gotowej warstwy. </w:t>
      </w:r>
    </w:p>
    <w:p w14:paraId="2C0E9FF8" w14:textId="77777777" w:rsidR="005E0BE2" w:rsidRDefault="006A6BD4">
      <w:pPr>
        <w:ind w:right="21" w:firstLine="567"/>
        <w:jc w:val="both"/>
        <w:rPr>
          <w:rFonts w:ascii="Arial" w:hAnsi="Arial" w:cs="Arial"/>
          <w:sz w:val="18"/>
          <w:szCs w:val="18"/>
          <w:lang w:eastAsia="ar-SA"/>
        </w:rPr>
      </w:pPr>
      <w:r>
        <w:rPr>
          <w:rFonts w:ascii="Arial" w:hAnsi="Arial" w:cs="Arial"/>
          <w:sz w:val="18"/>
          <w:szCs w:val="18"/>
          <w:lang w:eastAsia="ar-SA"/>
        </w:rPr>
        <w:t>Wyniki powinny być zgodne z wymaganiami podanymi w Tablicy 4.</w:t>
      </w:r>
    </w:p>
    <w:p w14:paraId="481BAB22" w14:textId="77777777" w:rsidR="005E0BE2" w:rsidRDefault="005E0BE2">
      <w:pPr>
        <w:suppressAutoHyphens/>
        <w:jc w:val="both"/>
        <w:rPr>
          <w:rFonts w:ascii="Arial" w:hAnsi="Arial" w:cs="Arial"/>
          <w:b/>
          <w:bCs/>
          <w:sz w:val="18"/>
          <w:szCs w:val="18"/>
          <w:lang w:eastAsia="ar-SA"/>
        </w:rPr>
      </w:pPr>
    </w:p>
    <w:p w14:paraId="68812079" w14:textId="77777777" w:rsidR="005E0BE2" w:rsidRDefault="006A6BD4">
      <w:pPr>
        <w:suppressAutoHyphens/>
        <w:jc w:val="both"/>
        <w:rPr>
          <w:rFonts w:ascii="Arial" w:hAnsi="Arial" w:cs="Arial"/>
          <w:b/>
          <w:bCs/>
          <w:sz w:val="18"/>
          <w:szCs w:val="18"/>
          <w:lang w:eastAsia="ar-SA"/>
        </w:rPr>
      </w:pPr>
      <w:r>
        <w:rPr>
          <w:rFonts w:ascii="Arial" w:hAnsi="Arial" w:cs="Arial"/>
          <w:b/>
          <w:bCs/>
          <w:sz w:val="18"/>
          <w:szCs w:val="18"/>
          <w:lang w:eastAsia="ar-SA"/>
        </w:rPr>
        <w:br w:type="page"/>
      </w:r>
    </w:p>
    <w:p w14:paraId="3CC7BC1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lastRenderedPageBreak/>
        <w:t>6.2.2.8. Spadki poprzeczne</w:t>
      </w:r>
    </w:p>
    <w:p w14:paraId="55879B0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Spadki poprzeczne należy sprawdzać nie rzadziej niż co 100m i dodatkowo w punktach głównych łuków poziomych. </w:t>
      </w:r>
    </w:p>
    <w:p w14:paraId="4E53C2EC"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Spadki poprzeczne warstwy na prostych i łukach powinny być zgodne z dokumentacją projektową z tolerancją ±0,5%.</w:t>
      </w:r>
    </w:p>
    <w:p w14:paraId="7E69ADF9" w14:textId="77777777" w:rsidR="005E0BE2" w:rsidRDefault="005E0BE2">
      <w:pPr>
        <w:suppressAutoHyphens/>
        <w:jc w:val="both"/>
        <w:rPr>
          <w:rFonts w:ascii="Arial" w:hAnsi="Arial" w:cs="Arial"/>
          <w:sz w:val="18"/>
          <w:szCs w:val="18"/>
          <w:lang w:eastAsia="ar-SA"/>
        </w:rPr>
      </w:pPr>
    </w:p>
    <w:p w14:paraId="37442C48"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6.2.2.9. Równość podłużna warstwy</w:t>
      </w:r>
    </w:p>
    <w:p w14:paraId="4D63A5B0" w14:textId="77777777" w:rsidR="005E0BE2" w:rsidRDefault="006A6BD4">
      <w:pPr>
        <w:tabs>
          <w:tab w:val="left" w:pos="426"/>
        </w:tabs>
        <w:suppressAutoHyphens/>
        <w:ind w:firstLine="567"/>
        <w:rPr>
          <w:rFonts w:ascii="Arial" w:hAnsi="Arial" w:cs="Arial"/>
          <w:sz w:val="18"/>
          <w:szCs w:val="18"/>
          <w:lang w:eastAsia="ar-SA"/>
        </w:rPr>
      </w:pPr>
      <w:r>
        <w:rPr>
          <w:rFonts w:ascii="Arial" w:hAnsi="Arial" w:cs="Arial"/>
          <w:sz w:val="18"/>
          <w:szCs w:val="18"/>
          <w:lang w:eastAsia="ar-SA"/>
        </w:rPr>
        <w:t xml:space="preserve">Pomiar równości podłużnej należy wykonywać, stosując metodę z wykorzystaniem 4-metrowej łaty i klina wg BN-68/8931-04 lub metodę równoważną. </w:t>
      </w:r>
    </w:p>
    <w:p w14:paraId="02D8417C" w14:textId="77777777" w:rsidR="005E0BE2" w:rsidRDefault="006A6BD4">
      <w:pPr>
        <w:tabs>
          <w:tab w:val="left" w:pos="426"/>
        </w:tabs>
        <w:suppressAutoHyphens/>
        <w:ind w:firstLine="567"/>
        <w:jc w:val="both"/>
        <w:rPr>
          <w:rFonts w:ascii="Arial" w:hAnsi="Arial" w:cs="Arial"/>
          <w:sz w:val="18"/>
          <w:szCs w:val="18"/>
        </w:rPr>
      </w:pPr>
      <w:r>
        <w:rPr>
          <w:rFonts w:ascii="Arial" w:hAnsi="Arial" w:cs="Arial"/>
          <w:sz w:val="18"/>
          <w:szCs w:val="18"/>
          <w:lang w:eastAsia="ar-SA"/>
        </w:rPr>
        <w:t xml:space="preserve">Pomiar wykonuje się nie rzadziej niż co 10m. Wymagana równość podłużna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3D54DEC8" w14:textId="77777777" w:rsidR="005E0BE2" w:rsidRDefault="005E0BE2">
      <w:pPr>
        <w:suppressAutoHyphens/>
        <w:jc w:val="both"/>
        <w:rPr>
          <w:rFonts w:ascii="Arial" w:hAnsi="Arial" w:cs="Arial"/>
          <w:sz w:val="18"/>
          <w:szCs w:val="18"/>
          <w:lang w:eastAsia="ar-SA"/>
        </w:rPr>
      </w:pPr>
    </w:p>
    <w:p w14:paraId="7BF362FD"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6.2.2.10. Równość poprzeczna</w:t>
      </w:r>
    </w:p>
    <w:p w14:paraId="43298DE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Do pomiaru równości poprzecznej warstwy nawierzchni stosuje się metodę z wykorzystaniem 2-metrowej łaty i klina wg BN-68/8931-04 lub metody równoważnej. </w:t>
      </w:r>
    </w:p>
    <w:p w14:paraId="2C36AD6B" w14:textId="77777777" w:rsidR="005E0BE2" w:rsidRDefault="006A6BD4">
      <w:pPr>
        <w:suppressAutoHyphens/>
        <w:ind w:firstLine="567"/>
        <w:jc w:val="both"/>
        <w:rPr>
          <w:rFonts w:ascii="Arial" w:hAnsi="Arial" w:cs="Arial"/>
          <w:sz w:val="18"/>
          <w:szCs w:val="18"/>
        </w:rPr>
      </w:pPr>
      <w:r>
        <w:rPr>
          <w:rFonts w:ascii="Arial" w:hAnsi="Arial" w:cs="Arial"/>
          <w:sz w:val="18"/>
          <w:szCs w:val="18"/>
          <w:lang w:eastAsia="ar-SA"/>
        </w:rPr>
        <w:t xml:space="preserve">Pomiar należy wykonywać nie rzadziej niż co 5 m. Wymagana równość poprzeczna jest określona w </w:t>
      </w:r>
      <w:r>
        <w:rPr>
          <w:rFonts w:ascii="Arial" w:hAnsi="Arial" w:cs="Arial"/>
          <w:sz w:val="18"/>
          <w:szCs w:val="18"/>
        </w:rPr>
        <w:t>Rozporządzeniu Ministra Transportu i Gospodarki Morskiej  z dnia 2 marca 1999 r. w sprawie warunków technicznych, jakim powinny odpowiadać drogi publiczne i ich usytuowanie (Dz. U. z 2016 r., Nr 0, poz. 124).</w:t>
      </w:r>
    </w:p>
    <w:p w14:paraId="48A7A010" w14:textId="77777777" w:rsidR="005E0BE2" w:rsidRDefault="005E0BE2">
      <w:pPr>
        <w:suppressAutoHyphens/>
        <w:jc w:val="both"/>
        <w:rPr>
          <w:rFonts w:ascii="Arial" w:hAnsi="Arial" w:cs="Arial"/>
          <w:sz w:val="18"/>
          <w:szCs w:val="18"/>
          <w:lang w:eastAsia="ar-SA"/>
        </w:rPr>
      </w:pPr>
    </w:p>
    <w:p w14:paraId="61B4568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6.2.2.11. Pozostałe wymagania dla warstwy ścieralnej</w:t>
      </w:r>
    </w:p>
    <w:p w14:paraId="5E67AB1E"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Szerokość warstwy</w:t>
      </w:r>
    </w:p>
    <w:p w14:paraId="4A1C7B5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Sprawdzenie szerokości warstwy polega na zmierzeniu w poziomie, taśmą mierniczą, odległości przeciwległych bocznych krawędzi.  </w:t>
      </w:r>
    </w:p>
    <w:p w14:paraId="41B4592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Szerokość wykonanej warstwy nieograniczonej krawężnikiem nie może różnić się od szerokości projektowanej o więcej niż + 5cm.</w:t>
      </w:r>
    </w:p>
    <w:p w14:paraId="3ECBF405" w14:textId="77777777" w:rsidR="005E0BE2" w:rsidRDefault="005E0BE2">
      <w:pPr>
        <w:suppressAutoHyphens/>
        <w:jc w:val="both"/>
        <w:rPr>
          <w:rFonts w:ascii="Arial" w:hAnsi="Arial" w:cs="Arial"/>
          <w:sz w:val="18"/>
          <w:szCs w:val="18"/>
          <w:u w:val="single"/>
          <w:lang w:eastAsia="ar-SA"/>
        </w:rPr>
      </w:pPr>
    </w:p>
    <w:p w14:paraId="315D4407"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Rzędne wysokościowe warstwy</w:t>
      </w:r>
    </w:p>
    <w:p w14:paraId="62077CB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rzędnych wysokościowych polega na wykonaniu niwelacji i porównaniu wyników pomiaru  z dokumentacja projektową. Różnice pomiędzy rzędnymi wysokościowymi warstwy a rzędnymi projektowanymi nie powinny przekraczać: ±1cm.</w:t>
      </w:r>
    </w:p>
    <w:p w14:paraId="5448267C" w14:textId="77777777" w:rsidR="005E0BE2" w:rsidRDefault="005E0BE2">
      <w:pPr>
        <w:suppressAutoHyphens/>
        <w:jc w:val="both"/>
        <w:rPr>
          <w:rFonts w:ascii="Arial" w:hAnsi="Arial" w:cs="Arial"/>
          <w:sz w:val="18"/>
          <w:szCs w:val="18"/>
          <w:lang w:eastAsia="ar-SA"/>
        </w:rPr>
      </w:pPr>
    </w:p>
    <w:p w14:paraId="6EF9511D"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Ukształtowanie osi w planie</w:t>
      </w:r>
    </w:p>
    <w:p w14:paraId="6DA9BF3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Ukształtowanie osi w planie, mierzone co 100m, nie powinno różnić się od dokumentacji projektowej o więcej niż ±5cm.</w:t>
      </w:r>
    </w:p>
    <w:p w14:paraId="2419A096" w14:textId="77777777" w:rsidR="005E0BE2" w:rsidRDefault="005E0BE2">
      <w:pPr>
        <w:suppressAutoHyphens/>
        <w:jc w:val="both"/>
        <w:rPr>
          <w:rFonts w:ascii="Arial" w:hAnsi="Arial" w:cs="Arial"/>
          <w:sz w:val="18"/>
          <w:szCs w:val="18"/>
          <w:lang w:eastAsia="ar-SA"/>
        </w:rPr>
      </w:pPr>
    </w:p>
    <w:p w14:paraId="06325ADC"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Złącza podłużne i poprzeczne</w:t>
      </w:r>
    </w:p>
    <w:p w14:paraId="54D45E85"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Sprawdzenie prawidłowości wykonania złącz podłużnych i poprzecznych polega na oględzinach. Złącza powinny być równe i związane.</w:t>
      </w:r>
    </w:p>
    <w:p w14:paraId="723B01C9" w14:textId="77777777" w:rsidR="005E0BE2" w:rsidRDefault="005E0BE2">
      <w:pPr>
        <w:suppressAutoHyphens/>
        <w:jc w:val="both"/>
        <w:rPr>
          <w:rFonts w:ascii="Arial" w:hAnsi="Arial" w:cs="Arial"/>
          <w:b/>
          <w:sz w:val="18"/>
          <w:szCs w:val="18"/>
          <w:lang w:eastAsia="ar-SA"/>
        </w:rPr>
      </w:pPr>
    </w:p>
    <w:p w14:paraId="5CC06451" w14:textId="77777777" w:rsidR="005E0BE2" w:rsidRDefault="006A6BD4">
      <w:pPr>
        <w:suppressAutoHyphens/>
        <w:jc w:val="both"/>
        <w:rPr>
          <w:rFonts w:ascii="Arial" w:hAnsi="Arial" w:cs="Arial"/>
          <w:sz w:val="18"/>
          <w:szCs w:val="18"/>
          <w:u w:val="single"/>
          <w:lang w:eastAsia="ar-SA"/>
        </w:rPr>
      </w:pPr>
      <w:r>
        <w:rPr>
          <w:rFonts w:ascii="Arial" w:hAnsi="Arial" w:cs="Arial"/>
          <w:sz w:val="18"/>
          <w:szCs w:val="18"/>
          <w:u w:val="single"/>
          <w:lang w:eastAsia="ar-SA"/>
        </w:rPr>
        <w:t>Wygląd warstwy</w:t>
      </w:r>
    </w:p>
    <w:p w14:paraId="5BD571A2"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Wygląd warstwy należy sprawdzać poprzez oględziny całej powierzchni wykonanego odcinka. Wygląd warstwy ścieralnej powinien być jednorodny, bez spękań, deformacji, plam i </w:t>
      </w:r>
      <w:proofErr w:type="spellStart"/>
      <w:r>
        <w:rPr>
          <w:rFonts w:ascii="Arial" w:hAnsi="Arial" w:cs="Arial"/>
          <w:sz w:val="18"/>
          <w:szCs w:val="18"/>
          <w:lang w:eastAsia="ar-SA"/>
        </w:rPr>
        <w:t>wykruszeń</w:t>
      </w:r>
      <w:proofErr w:type="spellEnd"/>
      <w:r>
        <w:rPr>
          <w:rFonts w:ascii="Arial" w:hAnsi="Arial" w:cs="Arial"/>
          <w:sz w:val="18"/>
          <w:szCs w:val="18"/>
          <w:lang w:eastAsia="ar-SA"/>
        </w:rPr>
        <w:t>.</w:t>
      </w:r>
    </w:p>
    <w:p w14:paraId="26753782" w14:textId="77777777" w:rsidR="005E0BE2" w:rsidRDefault="005E0BE2">
      <w:pPr>
        <w:suppressAutoHyphens/>
        <w:jc w:val="both"/>
        <w:rPr>
          <w:rFonts w:ascii="Arial" w:hAnsi="Arial" w:cs="Arial"/>
          <w:b/>
          <w:sz w:val="18"/>
          <w:szCs w:val="18"/>
          <w:lang w:eastAsia="ar-SA"/>
        </w:rPr>
      </w:pPr>
    </w:p>
    <w:p w14:paraId="79DF4007"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6.3. Badania kontrolne dodatkowe</w:t>
      </w:r>
    </w:p>
    <w:p w14:paraId="04A84987"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W wypadku uznania, że któryś z wyników badań kontrolnych nie jest reprezentatywny dla ocenianego odcinka budowy, wykonawca ma prawo żądać przeprowadzenia badań kontrolnych dodatkowych. </w:t>
      </w:r>
    </w:p>
    <w:p w14:paraId="4719729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Zleceniodawca ma prawo do przeprowadzenia badań kontrolnych dodatkowych przy rozważnym pominięciu elementów mało istotnych.</w:t>
      </w:r>
    </w:p>
    <w:p w14:paraId="364F088B"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 xml:space="preserve">Zleceniodawca i wykonawca decydują wspólnie o miejscach pobierania próbek i wyznaczeniu ewentualnych odcinków częściowych ocenianego odcinka budowy. </w:t>
      </w:r>
    </w:p>
    <w:p w14:paraId="11077A9D"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Jeżeli odcinek częściowy przyporządkowany do badań kontrolnych nie może być jednoznacznie i zgodnie wyznaczony, np. wzrokowo lub przy wykorzystaniu radiometrycznych metod pomiarowych, to odcinek ten nie powinien być mniejszy niż 20 % ocenianego odcinka budowy.</w:t>
      </w:r>
    </w:p>
    <w:p w14:paraId="66F7A2C3"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Do odbioru uwzględniane są wyniki badań kontrolnych i badań kontrolnych dodatkowych do wyznaczonych odcinków częściowych.</w:t>
      </w:r>
    </w:p>
    <w:p w14:paraId="452C08D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kontrolnych dodatkowych zażądanych przez wykonawcę ponosi wykonawca.</w:t>
      </w:r>
    </w:p>
    <w:p w14:paraId="455C7042" w14:textId="77777777" w:rsidR="005E0BE2" w:rsidRDefault="005E0BE2">
      <w:pPr>
        <w:suppressAutoHyphens/>
        <w:jc w:val="both"/>
        <w:rPr>
          <w:rFonts w:ascii="Arial" w:hAnsi="Arial" w:cs="Arial"/>
          <w:b/>
          <w:sz w:val="18"/>
          <w:szCs w:val="18"/>
          <w:lang w:eastAsia="ar-SA"/>
        </w:rPr>
      </w:pPr>
    </w:p>
    <w:p w14:paraId="064B5E62"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6.4. Badania arbitrażowe</w:t>
      </w:r>
    </w:p>
    <w:p w14:paraId="1470973E"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są powtórzeniem badań kontrolnych, co do których istnieją uzasadnione wątpliwości ze strony zleceniodawcy lub wykonawcy (np. na podstawie własnych badań).</w:t>
      </w:r>
    </w:p>
    <w:p w14:paraId="3E66DD7F"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Badania arbitrażowe wykonuje niezależne laboratorium, które nie wykonywało badań kontrolnych. Wyniki tych badań zastępują wyniki badan kontrolnych (pierwotnych).</w:t>
      </w:r>
    </w:p>
    <w:p w14:paraId="0B4C1EEA"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Koszty badań arbitrażowych wraz z wszystkimi kosztami ubocznymi ponosi strona, na której niekorzyść przemawia wynik badania.</w:t>
      </w:r>
    </w:p>
    <w:p w14:paraId="024ABF51"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Wniosek o przeprowadzenie badań arbitrażowych dotyczących zawartości wolnych przestrzeni lub wskaźnika zagęszczenia należy złożyć w ciągu 2 miesięcy od wpływu reklamacji ze strony zleceniodawcy.</w:t>
      </w:r>
    </w:p>
    <w:p w14:paraId="089A44C5" w14:textId="77777777" w:rsidR="005E0BE2" w:rsidRDefault="005E0BE2">
      <w:pPr>
        <w:suppressAutoHyphens/>
        <w:jc w:val="both"/>
        <w:rPr>
          <w:rFonts w:ascii="Arial" w:hAnsi="Arial" w:cs="Arial"/>
          <w:b/>
          <w:sz w:val="18"/>
          <w:szCs w:val="18"/>
          <w:lang w:eastAsia="ar-SA"/>
        </w:rPr>
      </w:pPr>
    </w:p>
    <w:p w14:paraId="214CF1D8" w14:textId="77777777" w:rsidR="005E0BE2" w:rsidRDefault="005E0BE2">
      <w:pPr>
        <w:suppressAutoHyphens/>
        <w:jc w:val="both"/>
        <w:rPr>
          <w:rFonts w:ascii="Arial" w:hAnsi="Arial" w:cs="Arial"/>
          <w:b/>
          <w:sz w:val="18"/>
          <w:szCs w:val="18"/>
          <w:lang w:eastAsia="ar-SA"/>
        </w:rPr>
      </w:pPr>
    </w:p>
    <w:p w14:paraId="1FE69F63" w14:textId="77777777" w:rsidR="005E0BE2" w:rsidRDefault="006A6BD4">
      <w:pPr>
        <w:suppressAutoHyphens/>
        <w:spacing w:after="120"/>
        <w:jc w:val="center"/>
        <w:rPr>
          <w:rFonts w:ascii="Arial" w:hAnsi="Arial" w:cs="Arial"/>
          <w:b/>
          <w:lang w:eastAsia="ar-SA"/>
        </w:rPr>
      </w:pPr>
      <w:r>
        <w:rPr>
          <w:rFonts w:ascii="Arial" w:hAnsi="Arial" w:cs="Arial"/>
          <w:b/>
          <w:lang w:eastAsia="ar-SA"/>
        </w:rPr>
        <w:t>7. OBMIAR ROBÓT</w:t>
      </w:r>
    </w:p>
    <w:p w14:paraId="6D7D5ED5"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7.1.     Ogólne wymagania</w:t>
      </w:r>
    </w:p>
    <w:p w14:paraId="7DAC0CF8"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Ogólne wymagania dotyczące obmiaru Robót podano w STWiORB D-00.00.00. „Wymagania ogólne” pkt.7.</w:t>
      </w:r>
    </w:p>
    <w:p w14:paraId="4C7A8ACB" w14:textId="77777777" w:rsidR="005E0BE2" w:rsidRDefault="005E0BE2">
      <w:pPr>
        <w:suppressAutoHyphens/>
        <w:jc w:val="both"/>
        <w:rPr>
          <w:rFonts w:ascii="Arial" w:hAnsi="Arial" w:cs="Arial"/>
          <w:bCs/>
          <w:sz w:val="18"/>
          <w:szCs w:val="18"/>
          <w:lang w:eastAsia="ar-SA"/>
        </w:rPr>
      </w:pPr>
    </w:p>
    <w:p w14:paraId="142B5B99" w14:textId="77777777" w:rsidR="005E0BE2" w:rsidRDefault="006A6BD4">
      <w:pPr>
        <w:suppressAutoHyphens/>
        <w:spacing w:after="60"/>
        <w:jc w:val="both"/>
        <w:rPr>
          <w:rFonts w:ascii="Arial" w:hAnsi="Arial" w:cs="Arial"/>
          <w:b/>
          <w:sz w:val="18"/>
          <w:szCs w:val="18"/>
          <w:lang w:eastAsia="ar-SA"/>
        </w:rPr>
      </w:pPr>
      <w:r>
        <w:rPr>
          <w:rFonts w:ascii="Arial" w:hAnsi="Arial" w:cs="Arial"/>
          <w:b/>
          <w:sz w:val="18"/>
          <w:szCs w:val="18"/>
          <w:lang w:eastAsia="ar-SA"/>
        </w:rPr>
        <w:t>7.2.     Jednostka obmiarowa</w:t>
      </w:r>
    </w:p>
    <w:p w14:paraId="5E65CBDB" w14:textId="77777777" w:rsidR="005E0BE2" w:rsidRDefault="006A6BD4">
      <w:pPr>
        <w:suppressAutoHyphens/>
        <w:ind w:firstLine="567"/>
        <w:jc w:val="both"/>
        <w:rPr>
          <w:rFonts w:ascii="Arial" w:hAnsi="Arial" w:cs="Arial"/>
          <w:bCs/>
          <w:sz w:val="18"/>
          <w:szCs w:val="18"/>
          <w:lang w:eastAsia="ar-SA"/>
        </w:rPr>
      </w:pPr>
      <w:r>
        <w:rPr>
          <w:rFonts w:ascii="Arial" w:hAnsi="Arial" w:cs="Arial"/>
          <w:bCs/>
          <w:sz w:val="18"/>
          <w:szCs w:val="18"/>
          <w:lang w:eastAsia="ar-SA"/>
        </w:rPr>
        <w:t>Jednostką obmiarową jest 1 m</w:t>
      </w:r>
      <w:r>
        <w:rPr>
          <w:rFonts w:ascii="Arial" w:hAnsi="Arial" w:cs="Arial"/>
          <w:bCs/>
          <w:sz w:val="18"/>
          <w:szCs w:val="18"/>
          <w:vertAlign w:val="superscript"/>
          <w:lang w:eastAsia="ar-SA"/>
        </w:rPr>
        <w:t>2</w:t>
      </w:r>
      <w:r>
        <w:rPr>
          <w:rFonts w:ascii="Arial" w:hAnsi="Arial" w:cs="Arial"/>
          <w:bCs/>
          <w:sz w:val="18"/>
          <w:szCs w:val="18"/>
          <w:lang w:eastAsia="ar-SA"/>
        </w:rPr>
        <w:t xml:space="preserve"> (metr kwadratowy) warstwy ścieralnej o grubości 4,0 cm, wykonanej z mieszanki betonu asfaltowego AC 11 S 50/70 KR 2.</w:t>
      </w:r>
    </w:p>
    <w:p w14:paraId="024A7125" w14:textId="77777777" w:rsidR="005E0BE2" w:rsidRDefault="005E0BE2">
      <w:pPr>
        <w:suppressAutoHyphens/>
        <w:jc w:val="both"/>
        <w:rPr>
          <w:rFonts w:ascii="Arial" w:hAnsi="Arial" w:cs="Arial"/>
          <w:b/>
          <w:sz w:val="18"/>
          <w:szCs w:val="18"/>
          <w:lang w:eastAsia="ar-SA"/>
        </w:rPr>
      </w:pPr>
    </w:p>
    <w:p w14:paraId="7CE35115" w14:textId="77777777" w:rsidR="005E0BE2" w:rsidRDefault="005E0BE2">
      <w:pPr>
        <w:suppressAutoHyphens/>
        <w:jc w:val="both"/>
        <w:rPr>
          <w:rFonts w:ascii="Arial" w:hAnsi="Arial" w:cs="Arial"/>
          <w:b/>
          <w:sz w:val="18"/>
          <w:szCs w:val="18"/>
          <w:lang w:eastAsia="ar-SA"/>
        </w:rPr>
      </w:pPr>
    </w:p>
    <w:p w14:paraId="37AA9F1F" w14:textId="77777777" w:rsidR="005E0BE2" w:rsidRDefault="006A6BD4">
      <w:pPr>
        <w:suppressAutoHyphens/>
        <w:spacing w:after="120"/>
        <w:jc w:val="center"/>
        <w:rPr>
          <w:rFonts w:ascii="Arial" w:hAnsi="Arial" w:cs="Arial"/>
          <w:b/>
          <w:lang w:eastAsia="ar-SA"/>
        </w:rPr>
      </w:pPr>
      <w:r>
        <w:rPr>
          <w:rFonts w:ascii="Arial" w:hAnsi="Arial" w:cs="Arial"/>
          <w:b/>
          <w:lang w:eastAsia="ar-SA"/>
        </w:rPr>
        <w:t>8. ODBIÓR ROBÓT</w:t>
      </w:r>
    </w:p>
    <w:p w14:paraId="27A748D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Ogólne zasady odbioru robót podano w STWiORB D-00.00.00 „Wymagania ogólne”, punkt 8.</w:t>
      </w:r>
    </w:p>
    <w:p w14:paraId="57A2657A" w14:textId="77777777" w:rsidR="005E0BE2" w:rsidRDefault="006A6BD4">
      <w:pPr>
        <w:tabs>
          <w:tab w:val="left" w:pos="567"/>
        </w:tabs>
        <w:suppressAutoHyphens/>
        <w:ind w:firstLine="567"/>
        <w:jc w:val="both"/>
        <w:rPr>
          <w:rFonts w:ascii="Arial" w:hAnsi="Arial" w:cs="Arial"/>
          <w:spacing w:val="-3"/>
          <w:sz w:val="18"/>
          <w:szCs w:val="18"/>
          <w:lang w:eastAsia="ar-SA"/>
        </w:rPr>
      </w:pPr>
      <w:r>
        <w:rPr>
          <w:rFonts w:ascii="Arial" w:hAnsi="Arial" w:cs="Arial"/>
          <w:spacing w:val="-3"/>
          <w:sz w:val="18"/>
          <w:szCs w:val="18"/>
          <w:lang w:eastAsia="ar-SA"/>
        </w:rPr>
        <w:t xml:space="preserve">Roboty uznaje się za wykonane zgodnie z Dokumentacją Projektową, STWiORB i poleceniami </w:t>
      </w:r>
      <w:r>
        <w:rPr>
          <w:rFonts w:ascii="Arial" w:hAnsi="Arial" w:cs="Arial"/>
          <w:sz w:val="18"/>
          <w:szCs w:val="18"/>
          <w:lang w:eastAsia="ar-SA"/>
        </w:rPr>
        <w:t>Inspektora Nadzoru</w:t>
      </w:r>
      <w:r>
        <w:rPr>
          <w:rFonts w:ascii="Arial" w:hAnsi="Arial" w:cs="Arial"/>
          <w:spacing w:val="-3"/>
          <w:sz w:val="18"/>
          <w:szCs w:val="18"/>
          <w:lang w:eastAsia="ar-SA"/>
        </w:rPr>
        <w:t xml:space="preserve"> jeżeli wszystkie badania i pomiary z uwzględnieniem tolerancji wg pkt. 6 dały wyniki pozytywne.</w:t>
      </w:r>
    </w:p>
    <w:p w14:paraId="0C1BDF73" w14:textId="77777777" w:rsidR="005E0BE2" w:rsidRDefault="005E0BE2">
      <w:pPr>
        <w:suppressAutoHyphens/>
        <w:rPr>
          <w:rFonts w:ascii="Arial" w:hAnsi="Arial" w:cs="Arial"/>
          <w:b/>
          <w:sz w:val="18"/>
          <w:szCs w:val="18"/>
          <w:lang w:eastAsia="ar-SA"/>
        </w:rPr>
      </w:pPr>
    </w:p>
    <w:p w14:paraId="2458085C" w14:textId="77777777" w:rsidR="005E0BE2" w:rsidRDefault="005E0BE2">
      <w:pPr>
        <w:suppressAutoHyphens/>
        <w:jc w:val="both"/>
        <w:rPr>
          <w:rFonts w:ascii="Arial" w:hAnsi="Arial" w:cs="Arial"/>
          <w:b/>
          <w:sz w:val="18"/>
          <w:szCs w:val="18"/>
          <w:lang w:eastAsia="ar-SA"/>
        </w:rPr>
      </w:pPr>
    </w:p>
    <w:p w14:paraId="60457322" w14:textId="77777777" w:rsidR="005E0BE2" w:rsidRDefault="006A6BD4">
      <w:pPr>
        <w:suppressAutoHyphens/>
        <w:spacing w:after="120"/>
        <w:jc w:val="center"/>
        <w:rPr>
          <w:rFonts w:ascii="Arial" w:hAnsi="Arial" w:cs="Arial"/>
          <w:b/>
          <w:lang w:eastAsia="ar-SA"/>
        </w:rPr>
      </w:pPr>
      <w:r>
        <w:rPr>
          <w:rFonts w:ascii="Arial" w:hAnsi="Arial" w:cs="Arial"/>
          <w:b/>
          <w:lang w:eastAsia="ar-SA"/>
        </w:rPr>
        <w:t>9. PODSTAWA PŁATNOŚCI</w:t>
      </w:r>
    </w:p>
    <w:p w14:paraId="635EC4A7"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9.1.     Ogólne wymagania</w:t>
      </w:r>
    </w:p>
    <w:p w14:paraId="45AB2AB0" w14:textId="77777777" w:rsidR="005E0BE2" w:rsidRDefault="006A6BD4">
      <w:pPr>
        <w:suppressAutoHyphens/>
        <w:ind w:firstLine="567"/>
        <w:jc w:val="both"/>
        <w:rPr>
          <w:rFonts w:ascii="Arial" w:hAnsi="Arial" w:cs="Arial"/>
          <w:sz w:val="18"/>
          <w:szCs w:val="18"/>
          <w:lang w:eastAsia="ar-SA"/>
        </w:rPr>
      </w:pPr>
      <w:r>
        <w:rPr>
          <w:rFonts w:ascii="Arial" w:hAnsi="Arial" w:cs="Arial"/>
          <w:sz w:val="18"/>
          <w:szCs w:val="18"/>
          <w:lang w:eastAsia="ar-SA"/>
        </w:rPr>
        <w:t>Ogólne ustalenia dotyczące podstawy płatności podano w DM-00.00.00 „Wymagania ogólne” pkt 9.</w:t>
      </w:r>
    </w:p>
    <w:p w14:paraId="52916A9E" w14:textId="77777777" w:rsidR="005E0BE2" w:rsidRDefault="005E0BE2">
      <w:pPr>
        <w:suppressAutoHyphens/>
        <w:jc w:val="both"/>
        <w:rPr>
          <w:rFonts w:ascii="Arial" w:hAnsi="Arial" w:cs="Arial"/>
          <w:sz w:val="18"/>
          <w:szCs w:val="18"/>
          <w:lang w:eastAsia="ar-SA"/>
        </w:rPr>
      </w:pPr>
    </w:p>
    <w:p w14:paraId="2FB41095" w14:textId="77777777" w:rsidR="005E0BE2" w:rsidRDefault="006A6BD4">
      <w:pPr>
        <w:suppressAutoHyphens/>
        <w:spacing w:after="60"/>
        <w:jc w:val="both"/>
        <w:rPr>
          <w:rFonts w:ascii="Arial" w:hAnsi="Arial" w:cs="Arial"/>
          <w:b/>
          <w:bCs/>
          <w:sz w:val="18"/>
          <w:szCs w:val="18"/>
          <w:lang w:eastAsia="ar-SA"/>
        </w:rPr>
      </w:pPr>
      <w:r>
        <w:rPr>
          <w:rFonts w:ascii="Arial" w:hAnsi="Arial" w:cs="Arial"/>
          <w:b/>
          <w:bCs/>
          <w:sz w:val="18"/>
          <w:szCs w:val="18"/>
          <w:lang w:eastAsia="ar-SA"/>
        </w:rPr>
        <w:t>9.2.     Cena jednostki obmiarowej</w:t>
      </w:r>
    </w:p>
    <w:p w14:paraId="29ECEE29" w14:textId="77777777" w:rsidR="005E0BE2" w:rsidRDefault="006A6BD4">
      <w:pPr>
        <w:suppressAutoHyphens/>
        <w:ind w:firstLine="567"/>
        <w:rPr>
          <w:rFonts w:ascii="Arial" w:hAnsi="Arial" w:cs="Arial"/>
          <w:sz w:val="18"/>
          <w:szCs w:val="18"/>
          <w:lang w:eastAsia="ar-SA"/>
        </w:rPr>
      </w:pPr>
      <w:r>
        <w:rPr>
          <w:rFonts w:ascii="Arial" w:hAnsi="Arial" w:cs="Arial"/>
          <w:sz w:val="18"/>
          <w:szCs w:val="18"/>
          <w:lang w:eastAsia="ar-SA"/>
        </w:rPr>
        <w:t xml:space="preserve">Cena wykonania </w:t>
      </w:r>
      <w:r>
        <w:rPr>
          <w:rFonts w:ascii="Arial" w:hAnsi="Arial" w:cs="Arial"/>
          <w:bCs/>
          <w:sz w:val="18"/>
          <w:szCs w:val="18"/>
          <w:lang w:eastAsia="ar-SA"/>
        </w:rPr>
        <w:t>1 m</w:t>
      </w:r>
      <w:r>
        <w:rPr>
          <w:rFonts w:ascii="Arial" w:hAnsi="Arial" w:cs="Arial"/>
          <w:bCs/>
          <w:sz w:val="18"/>
          <w:szCs w:val="18"/>
          <w:vertAlign w:val="superscript"/>
          <w:lang w:eastAsia="ar-SA"/>
        </w:rPr>
        <w:t>2</w:t>
      </w:r>
      <w:r>
        <w:rPr>
          <w:rFonts w:ascii="Arial" w:hAnsi="Arial" w:cs="Arial"/>
          <w:bCs/>
          <w:sz w:val="18"/>
          <w:szCs w:val="18"/>
          <w:lang w:eastAsia="ar-SA"/>
        </w:rPr>
        <w:t xml:space="preserve"> </w:t>
      </w:r>
      <w:r>
        <w:rPr>
          <w:rFonts w:ascii="Arial" w:hAnsi="Arial" w:cs="Arial"/>
          <w:sz w:val="18"/>
          <w:szCs w:val="18"/>
          <w:lang w:eastAsia="ar-SA"/>
        </w:rPr>
        <w:t>warstwy ścieralnej uwzględnia:</w:t>
      </w:r>
    </w:p>
    <w:p w14:paraId="0179600F"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składniki ceny jednostkowej określone w D-00.00.00, pkt. 9.1,</w:t>
      </w:r>
    </w:p>
    <w:p w14:paraId="2866C5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 xml:space="preserve">prace pomiarowe, </w:t>
      </w:r>
    </w:p>
    <w:p w14:paraId="09B9D6A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roboty przygotowawcze,</w:t>
      </w:r>
    </w:p>
    <w:p w14:paraId="396CF6D0" w14:textId="77777777" w:rsidR="005E0BE2" w:rsidRDefault="006A6BD4">
      <w:pPr>
        <w:numPr>
          <w:ilvl w:val="0"/>
          <w:numId w:val="24"/>
        </w:numPr>
        <w:tabs>
          <w:tab w:val="right" w:pos="8809"/>
        </w:tabs>
        <w:jc w:val="both"/>
        <w:rPr>
          <w:rFonts w:ascii="Arial" w:hAnsi="Arial" w:cs="Arial"/>
          <w:sz w:val="18"/>
          <w:szCs w:val="18"/>
        </w:rPr>
      </w:pPr>
      <w:r>
        <w:rPr>
          <w:rFonts w:ascii="Arial" w:hAnsi="Arial" w:cs="Arial"/>
          <w:sz w:val="18"/>
          <w:szCs w:val="18"/>
        </w:rPr>
        <w:t>koszt zapewnienia niezbędnych czynników produkcji,</w:t>
      </w:r>
    </w:p>
    <w:p w14:paraId="24454A7D"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opracowanie recepty laboratoryjnej dla mieszanki mineralno-asfaltowej,</w:t>
      </w:r>
    </w:p>
    <w:p w14:paraId="11477322" w14:textId="77777777" w:rsidR="005E0BE2" w:rsidRDefault="006A6BD4">
      <w:pPr>
        <w:numPr>
          <w:ilvl w:val="0"/>
          <w:numId w:val="24"/>
        </w:numPr>
        <w:suppressAutoHyphens/>
        <w:jc w:val="both"/>
        <w:rPr>
          <w:rFonts w:ascii="Arial" w:hAnsi="Arial" w:cs="Arial"/>
          <w:sz w:val="18"/>
          <w:szCs w:val="18"/>
          <w:lang w:eastAsia="ar-SA"/>
        </w:rPr>
      </w:pPr>
      <w:r>
        <w:rPr>
          <w:rFonts w:ascii="Arial" w:hAnsi="Arial" w:cs="Arial"/>
          <w:sz w:val="18"/>
          <w:szCs w:val="18"/>
          <w:lang w:eastAsia="ar-SA"/>
        </w:rPr>
        <w:t>wykonanie próby technologicznej i ewentualnego odcinka próbnego wraz z wykonaniem niezbędnych badań laboratoryjnych, pomiarów i sprawdzeń,</w:t>
      </w:r>
    </w:p>
    <w:p w14:paraId="7D188B08"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zakup materiałów,</w:t>
      </w:r>
    </w:p>
    <w:p w14:paraId="319AAE23"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wyprodukowanie mieszanki mineralno-asfaltowej i jej transport na miejsce wbudowania,</w:t>
      </w:r>
    </w:p>
    <w:p w14:paraId="161754DA"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ochrona mieszanki w czasie transportu oraz podczas oczekiwania na rozładunek,</w:t>
      </w:r>
    </w:p>
    <w:p w14:paraId="181EE46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zabezpieczenie, zasłonięcie i odsłonięcie krawężników, studzienek, kratek wpustów deszczowych, itp.</w:t>
      </w:r>
    </w:p>
    <w:p w14:paraId="742CCF2E"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oczyszczenie i skropienie podłoża pod warstwę ścieralną,</w:t>
      </w:r>
    </w:p>
    <w:p w14:paraId="76150567"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rozłożenie i zagęszczenie mieszanki mineralno-asfaltowej,</w:t>
      </w:r>
    </w:p>
    <w:p w14:paraId="1F7D3DA0"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wykonanie spoin, połączeń i szczelin zgodnie z STWiORB,</w:t>
      </w:r>
    </w:p>
    <w:p w14:paraId="22B1EAAF"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uformowanie i uszczelnienie krawędzi bocznych,</w:t>
      </w:r>
    </w:p>
    <w:p w14:paraId="1E8500F6"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przeprowadzenie pomiarów i badań laboratoryjnych, wymaganych w STWiORB,</w:t>
      </w:r>
    </w:p>
    <w:p w14:paraId="6F82987C"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naprawa nawierzchni po pobraniu próbek i wykonaniu badań,</w:t>
      </w:r>
    </w:p>
    <w:p w14:paraId="0020B2F4" w14:textId="77777777" w:rsidR="005E0BE2" w:rsidRDefault="006A6BD4">
      <w:pPr>
        <w:numPr>
          <w:ilvl w:val="0"/>
          <w:numId w:val="24"/>
        </w:numPr>
        <w:suppressAutoHyphens/>
        <w:rPr>
          <w:rFonts w:ascii="Arial" w:hAnsi="Arial" w:cs="Arial"/>
          <w:sz w:val="18"/>
          <w:szCs w:val="18"/>
          <w:lang w:eastAsia="ar-SA"/>
        </w:rPr>
      </w:pPr>
      <w:r>
        <w:rPr>
          <w:rFonts w:ascii="Arial" w:hAnsi="Arial" w:cs="Arial"/>
          <w:sz w:val="18"/>
          <w:szCs w:val="18"/>
          <w:lang w:eastAsia="ar-SA"/>
        </w:rPr>
        <w:t>koszt utrzymania czystości na przylegających drogach lub terenie budowy.</w:t>
      </w:r>
    </w:p>
    <w:p w14:paraId="017DEF52" w14:textId="77777777" w:rsidR="005E0BE2" w:rsidRDefault="005E0BE2">
      <w:pPr>
        <w:suppressAutoHyphens/>
        <w:rPr>
          <w:rFonts w:ascii="Arial" w:hAnsi="Arial" w:cs="Arial"/>
          <w:sz w:val="18"/>
          <w:szCs w:val="18"/>
          <w:lang w:eastAsia="ar-SA"/>
        </w:rPr>
      </w:pPr>
    </w:p>
    <w:p w14:paraId="5752C480" w14:textId="77777777" w:rsidR="005E0BE2" w:rsidRDefault="005E0BE2">
      <w:pPr>
        <w:suppressAutoHyphens/>
        <w:rPr>
          <w:rFonts w:ascii="Arial" w:hAnsi="Arial" w:cs="Arial"/>
          <w:sz w:val="18"/>
          <w:szCs w:val="18"/>
          <w:lang w:eastAsia="ar-SA"/>
        </w:rPr>
      </w:pPr>
    </w:p>
    <w:p w14:paraId="1D49550E" w14:textId="77777777" w:rsidR="005E0BE2" w:rsidRDefault="006A6BD4">
      <w:pPr>
        <w:suppressAutoHyphens/>
        <w:spacing w:after="120"/>
        <w:jc w:val="center"/>
        <w:rPr>
          <w:rFonts w:ascii="Arial" w:hAnsi="Arial" w:cs="Arial"/>
          <w:b/>
          <w:lang w:eastAsia="ar-SA"/>
        </w:rPr>
      </w:pPr>
      <w:r>
        <w:rPr>
          <w:rFonts w:ascii="Arial" w:hAnsi="Arial" w:cs="Arial"/>
          <w:b/>
          <w:lang w:eastAsia="ar-SA"/>
        </w:rPr>
        <w:t>10. PRZEPISY ZWIĄZANE</w:t>
      </w:r>
    </w:p>
    <w:p w14:paraId="2150BE1F"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10.1. Normy</w:t>
      </w:r>
    </w:p>
    <w:p w14:paraId="319A8268"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12591 </w:t>
      </w:r>
      <w:r>
        <w:rPr>
          <w:rFonts w:ascii="Arial" w:hAnsi="Arial" w:cs="Arial"/>
          <w:sz w:val="18"/>
          <w:szCs w:val="18"/>
          <w:lang w:eastAsia="ar-SA"/>
        </w:rPr>
        <w:tab/>
      </w:r>
      <w:r>
        <w:rPr>
          <w:rFonts w:ascii="Arial" w:hAnsi="Arial" w:cs="Arial"/>
          <w:sz w:val="18"/>
          <w:szCs w:val="18"/>
          <w:lang w:eastAsia="ar-SA"/>
        </w:rPr>
        <w:tab/>
        <w:t>Asfalty i produkty asfaltowe – Wymagania dla asfaltów drogowych</w:t>
      </w:r>
    </w:p>
    <w:p w14:paraId="0F898CC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12597 </w:t>
      </w:r>
      <w:r>
        <w:rPr>
          <w:rFonts w:ascii="Arial" w:hAnsi="Arial" w:cs="Arial"/>
          <w:sz w:val="18"/>
          <w:szCs w:val="18"/>
          <w:lang w:eastAsia="ar-SA"/>
        </w:rPr>
        <w:tab/>
      </w:r>
      <w:r>
        <w:rPr>
          <w:rFonts w:ascii="Arial" w:hAnsi="Arial" w:cs="Arial"/>
          <w:sz w:val="18"/>
          <w:szCs w:val="18"/>
          <w:lang w:eastAsia="ar-SA"/>
        </w:rPr>
        <w:tab/>
        <w:t>Asfalty i produkty asfaltowe – Terminologia</w:t>
      </w:r>
    </w:p>
    <w:p w14:paraId="2AEA5C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t>Asfalty i lepiszcza asfaltowe – Zasady klasyfikacji kationowych emulsji asfaltowych</w:t>
      </w:r>
    </w:p>
    <w:p w14:paraId="7BE0DDC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14023 </w:t>
      </w:r>
      <w:r>
        <w:rPr>
          <w:rFonts w:ascii="Arial" w:hAnsi="Arial" w:cs="Arial"/>
          <w:sz w:val="18"/>
          <w:szCs w:val="18"/>
          <w:lang w:eastAsia="ar-SA"/>
        </w:rPr>
        <w:tab/>
      </w:r>
      <w:r>
        <w:rPr>
          <w:rFonts w:ascii="Arial" w:hAnsi="Arial" w:cs="Arial"/>
          <w:sz w:val="18"/>
          <w:szCs w:val="18"/>
          <w:lang w:eastAsia="ar-SA"/>
        </w:rPr>
        <w:tab/>
        <w:t>Asfalty i lepiszcza asfaltowe – Zasady klasyfikacji asfaltów modyfikowanych</w:t>
      </w:r>
    </w:p>
    <w:p w14:paraId="7CAA25A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polimerami</w:t>
      </w:r>
    </w:p>
    <w:p w14:paraId="2672DD8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932-3 </w:t>
      </w:r>
      <w:r>
        <w:rPr>
          <w:rFonts w:ascii="Arial" w:hAnsi="Arial" w:cs="Arial"/>
          <w:sz w:val="18"/>
          <w:szCs w:val="18"/>
          <w:lang w:eastAsia="ar-SA"/>
        </w:rPr>
        <w:tab/>
      </w:r>
      <w:r>
        <w:rPr>
          <w:rFonts w:ascii="Arial" w:hAnsi="Arial" w:cs="Arial"/>
          <w:sz w:val="18"/>
          <w:szCs w:val="18"/>
          <w:lang w:eastAsia="ar-SA"/>
        </w:rPr>
        <w:tab/>
        <w:t xml:space="preserve">Badania podstawowych właściwości kruszyw – Procedura i terminologia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uproszczonego opisu petrograficznego</w:t>
      </w:r>
    </w:p>
    <w:p w14:paraId="1FA9022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933-1 </w:t>
      </w:r>
      <w:r>
        <w:rPr>
          <w:rFonts w:ascii="Arial" w:hAnsi="Arial" w:cs="Arial"/>
          <w:sz w:val="18"/>
          <w:szCs w:val="18"/>
          <w:lang w:eastAsia="ar-SA"/>
        </w:rPr>
        <w:tab/>
        <w:t>Badania geometrycznych właściwości kruszyw – Oznaczanie składu ziarnowego –Metoda przesiewania</w:t>
      </w:r>
    </w:p>
    <w:p w14:paraId="31C51712"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933-3 </w:t>
      </w:r>
      <w:r>
        <w:rPr>
          <w:rFonts w:ascii="Arial" w:hAnsi="Arial" w:cs="Arial"/>
          <w:sz w:val="18"/>
          <w:szCs w:val="18"/>
          <w:lang w:eastAsia="ar-SA"/>
        </w:rPr>
        <w:tab/>
        <w:t>Badania geometrycznych właściwości kruszyw – Oznaczanie kształtu ziaren za pomocą wskaźnika płaskości</w:t>
      </w:r>
    </w:p>
    <w:p w14:paraId="7112D32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933-4 </w:t>
      </w:r>
      <w:r>
        <w:rPr>
          <w:rFonts w:ascii="Arial" w:hAnsi="Arial" w:cs="Arial"/>
          <w:sz w:val="18"/>
          <w:szCs w:val="18"/>
          <w:lang w:eastAsia="ar-SA"/>
        </w:rPr>
        <w:tab/>
        <w:t>Badania geometrycznych właściwości kruszyw – Część 4: Oznaczanie kształtu ziaren –Wskaźnik kształtu</w:t>
      </w:r>
    </w:p>
    <w:p w14:paraId="7A3B28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933-5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Oznaczanie procentowej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zawartości ziaren o powierzchniach powstałych w wyniku przekruszenia lub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łamania kruszyw grubych</w:t>
      </w:r>
    </w:p>
    <w:p w14:paraId="4A9A268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933-6 </w:t>
      </w:r>
      <w:r>
        <w:rPr>
          <w:rFonts w:ascii="Arial" w:hAnsi="Arial" w:cs="Arial"/>
          <w:sz w:val="18"/>
          <w:szCs w:val="18"/>
          <w:lang w:eastAsia="ar-SA"/>
        </w:rPr>
        <w:tab/>
      </w:r>
      <w:r>
        <w:rPr>
          <w:rFonts w:ascii="Arial" w:hAnsi="Arial" w:cs="Arial"/>
          <w:sz w:val="18"/>
          <w:szCs w:val="18"/>
          <w:lang w:eastAsia="ar-SA"/>
        </w:rPr>
        <w:tab/>
        <w:t>Badania geometrycznych właściwości kruszyw – Część 6: Ocena właściwości</w:t>
      </w:r>
    </w:p>
    <w:p w14:paraId="16C5F1D3"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powierzchni – Wskaźnik przepływu kruszywa</w:t>
      </w:r>
    </w:p>
    <w:p w14:paraId="42DAF62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lastRenderedPageBreak/>
        <w:t xml:space="preserve">PN-EN 933-9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Ocena zawartości drobnych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cząstek – Badania błękitem metylenowym</w:t>
      </w:r>
    </w:p>
    <w:p w14:paraId="65213EF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933-10 </w:t>
      </w:r>
      <w:r>
        <w:rPr>
          <w:rFonts w:ascii="Arial" w:hAnsi="Arial" w:cs="Arial"/>
          <w:sz w:val="18"/>
          <w:szCs w:val="18"/>
          <w:lang w:eastAsia="ar-SA"/>
        </w:rPr>
        <w:tab/>
      </w:r>
      <w:r>
        <w:rPr>
          <w:rFonts w:ascii="Arial" w:hAnsi="Arial" w:cs="Arial"/>
          <w:sz w:val="18"/>
          <w:szCs w:val="18"/>
          <w:lang w:eastAsia="ar-SA"/>
        </w:rPr>
        <w:tab/>
        <w:t xml:space="preserve">Badania geometrycznych właściwości kruszyw – Część 10: Ocena zawartości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drobnych cząstek – Uziarnienie wypełniaczy (przesiewanie w strumieniu powietrza)</w:t>
      </w:r>
    </w:p>
    <w:p w14:paraId="47791738"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1097-2 </w:t>
      </w:r>
      <w:r>
        <w:rPr>
          <w:rFonts w:ascii="Arial" w:hAnsi="Arial" w:cs="Arial"/>
          <w:sz w:val="18"/>
          <w:szCs w:val="18"/>
          <w:lang w:eastAsia="ar-SA"/>
        </w:rPr>
        <w:tab/>
        <w:t>Badania mechanicznych i fizycznych właściwości kruszyw – Metody oznaczania</w:t>
      </w:r>
    </w:p>
    <w:p w14:paraId="0B7C8D7F"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odporności na rozdrabnianie</w:t>
      </w:r>
    </w:p>
    <w:p w14:paraId="444D05E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1097-3 </w:t>
      </w:r>
      <w:r>
        <w:rPr>
          <w:rFonts w:ascii="Arial" w:hAnsi="Arial" w:cs="Arial"/>
          <w:sz w:val="18"/>
          <w:szCs w:val="18"/>
          <w:lang w:eastAsia="ar-SA"/>
        </w:rPr>
        <w:tab/>
        <w:t>Badania mechanicznych i fizycznych właściwości kruszyw – Oznaczanie gęstości</w:t>
      </w:r>
    </w:p>
    <w:p w14:paraId="59E8FED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nasypowej i jamistości.</w:t>
      </w:r>
    </w:p>
    <w:p w14:paraId="5A8511E3"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1097-4 </w:t>
      </w:r>
      <w:r>
        <w:rPr>
          <w:rFonts w:ascii="Arial" w:hAnsi="Arial" w:cs="Arial"/>
          <w:sz w:val="18"/>
          <w:szCs w:val="18"/>
          <w:lang w:eastAsia="ar-SA"/>
        </w:rPr>
        <w:tab/>
        <w:t>Badania mechanicznych i fizycznych właściwości kruszyw – Część 4: Oznaczanie</w:t>
      </w:r>
    </w:p>
    <w:p w14:paraId="3E0C09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pustych przestrzeni suchego, zagęszczonego wypełniacza</w:t>
      </w:r>
    </w:p>
    <w:p w14:paraId="6ED5841C"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1097-5 </w:t>
      </w:r>
      <w:r>
        <w:rPr>
          <w:rFonts w:ascii="Arial" w:hAnsi="Arial" w:cs="Arial"/>
          <w:sz w:val="18"/>
          <w:szCs w:val="18"/>
          <w:lang w:eastAsia="ar-SA"/>
        </w:rPr>
        <w:tab/>
        <w:t>Badania mechanicznych i fizycznych właściwości kruszyw – Część 5: Oznaczanie</w:t>
      </w:r>
    </w:p>
    <w:p w14:paraId="103A15B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zawartości wody przez suszenie w suszarce z wentylacją</w:t>
      </w:r>
    </w:p>
    <w:p w14:paraId="1F60DF56"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1097-6 </w:t>
      </w:r>
      <w:r>
        <w:rPr>
          <w:rFonts w:ascii="Arial" w:hAnsi="Arial" w:cs="Arial"/>
          <w:sz w:val="18"/>
          <w:szCs w:val="18"/>
          <w:lang w:eastAsia="ar-SA"/>
        </w:rPr>
        <w:tab/>
        <w:t>Badania mechanicznych i fizycznych właściwości kruszyw –Część 6: Oznaczanie gęstości ziaren i nasiąkliwości</w:t>
      </w:r>
    </w:p>
    <w:p w14:paraId="62649A64"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1097-7 </w:t>
      </w:r>
      <w:r>
        <w:rPr>
          <w:rFonts w:ascii="Arial" w:hAnsi="Arial" w:cs="Arial"/>
          <w:sz w:val="18"/>
          <w:szCs w:val="18"/>
          <w:lang w:eastAsia="ar-SA"/>
        </w:rPr>
        <w:tab/>
        <w:t>Badania mechanicznych i fizycznych właściwości kruszyw – Część 7: Oznaczanie</w:t>
      </w:r>
    </w:p>
    <w:p w14:paraId="4883D85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gęstości wypełniacza – Metoda piknometryczna</w:t>
      </w:r>
    </w:p>
    <w:p w14:paraId="050FCF5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1367-1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4A92CE05"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 Część 1: Oznaczanie mrozoodporności</w:t>
      </w:r>
    </w:p>
    <w:p w14:paraId="7CF6683C"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1367-3 </w:t>
      </w:r>
      <w:r>
        <w:rPr>
          <w:rFonts w:ascii="Arial" w:hAnsi="Arial" w:cs="Arial"/>
          <w:sz w:val="18"/>
          <w:szCs w:val="18"/>
          <w:lang w:eastAsia="ar-SA"/>
        </w:rPr>
        <w:tab/>
      </w:r>
      <w:r>
        <w:rPr>
          <w:rFonts w:ascii="Arial" w:hAnsi="Arial" w:cs="Arial"/>
          <w:sz w:val="18"/>
          <w:szCs w:val="18"/>
          <w:lang w:eastAsia="ar-SA"/>
        </w:rPr>
        <w:tab/>
        <w:t>Badania właściwości cieplnych i odporności kruszyw na działanie czynników</w:t>
      </w:r>
    </w:p>
    <w:p w14:paraId="1409BE82"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atmosferycznych– Część 3: Badanie bazaltowej zgorzeli słonecznej metodą gotowania</w:t>
      </w:r>
    </w:p>
    <w:p w14:paraId="54DE4CAE"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1426 </w:t>
      </w:r>
      <w:r>
        <w:rPr>
          <w:rFonts w:ascii="Arial" w:hAnsi="Arial" w:cs="Arial"/>
          <w:sz w:val="18"/>
          <w:szCs w:val="18"/>
          <w:lang w:eastAsia="ar-SA"/>
        </w:rPr>
        <w:tab/>
      </w:r>
      <w:r>
        <w:rPr>
          <w:rFonts w:ascii="Arial" w:hAnsi="Arial" w:cs="Arial"/>
          <w:sz w:val="18"/>
          <w:szCs w:val="18"/>
          <w:lang w:eastAsia="ar-SA"/>
        </w:rPr>
        <w:tab/>
        <w:t>Asfalty i produkty asfaltowe – Oznaczanie penetracji igłą</w:t>
      </w:r>
    </w:p>
    <w:p w14:paraId="6F3085A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1427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mięknienia – Metoda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Pierścień i Kula</w:t>
      </w:r>
    </w:p>
    <w:p w14:paraId="33852F3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1744-1 </w:t>
      </w:r>
      <w:r>
        <w:rPr>
          <w:rFonts w:ascii="Arial" w:hAnsi="Arial" w:cs="Arial"/>
          <w:sz w:val="18"/>
          <w:szCs w:val="18"/>
          <w:lang w:eastAsia="ar-SA"/>
        </w:rPr>
        <w:tab/>
      </w:r>
      <w:r>
        <w:rPr>
          <w:rFonts w:ascii="Arial" w:hAnsi="Arial" w:cs="Arial"/>
          <w:sz w:val="18"/>
          <w:szCs w:val="18"/>
          <w:lang w:eastAsia="ar-SA"/>
        </w:rPr>
        <w:tab/>
        <w:t>Badania chemicznych właściwości kruszyw – Analiza chemiczna</w:t>
      </w:r>
    </w:p>
    <w:p w14:paraId="17712414"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12593 </w:t>
      </w:r>
      <w:r>
        <w:rPr>
          <w:rFonts w:ascii="Arial" w:hAnsi="Arial" w:cs="Arial"/>
          <w:sz w:val="18"/>
          <w:szCs w:val="18"/>
          <w:lang w:eastAsia="ar-SA"/>
        </w:rPr>
        <w:tab/>
      </w:r>
      <w:r>
        <w:rPr>
          <w:rFonts w:ascii="Arial" w:hAnsi="Arial" w:cs="Arial"/>
          <w:sz w:val="18"/>
          <w:szCs w:val="18"/>
          <w:lang w:eastAsia="ar-SA"/>
        </w:rPr>
        <w:tab/>
        <w:t xml:space="preserve">Asfalty i produkty asfaltowe – Oznaczanie temperatury łamliwości </w:t>
      </w:r>
      <w:proofErr w:type="spellStart"/>
      <w:r>
        <w:rPr>
          <w:rFonts w:ascii="Arial" w:hAnsi="Arial" w:cs="Arial"/>
          <w:sz w:val="18"/>
          <w:szCs w:val="18"/>
          <w:lang w:eastAsia="ar-SA"/>
        </w:rPr>
        <w:t>Fraassa</w:t>
      </w:r>
      <w:proofErr w:type="spellEnd"/>
    </w:p>
    <w:p w14:paraId="6A81D79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12607-1 </w:t>
      </w:r>
      <w:r>
        <w:rPr>
          <w:rFonts w:ascii="Arial" w:hAnsi="Arial" w:cs="Arial"/>
          <w:sz w:val="18"/>
          <w:szCs w:val="18"/>
          <w:lang w:eastAsia="ar-SA"/>
        </w:rPr>
        <w:tab/>
        <w:t xml:space="preserve">             Asfalty i produkty asfaltowe – Oznaczanie odporności na twardnienie pod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wpływem ciepła i powietrza – Część 1: Metoda RTFOT</w:t>
      </w:r>
    </w:p>
    <w:p w14:paraId="1238FB9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13108-20 </w:t>
      </w:r>
      <w:r>
        <w:rPr>
          <w:rFonts w:ascii="Arial" w:hAnsi="Arial" w:cs="Arial"/>
          <w:sz w:val="18"/>
          <w:szCs w:val="18"/>
          <w:lang w:eastAsia="ar-SA"/>
        </w:rPr>
        <w:tab/>
        <w:t>Mieszanki mineralno-asfaltowe – Wymagania – Część 20: Badanie typu</w:t>
      </w:r>
    </w:p>
    <w:p w14:paraId="2F18EF74" w14:textId="77777777" w:rsidR="005E0BE2" w:rsidRDefault="006A6BD4">
      <w:pPr>
        <w:suppressAutoHyphens/>
        <w:autoSpaceDE w:val="0"/>
        <w:ind w:left="2127" w:hanging="2127"/>
        <w:rPr>
          <w:rFonts w:ascii="Arial" w:hAnsi="Arial" w:cs="Arial"/>
          <w:sz w:val="18"/>
          <w:szCs w:val="18"/>
          <w:lang w:eastAsia="ar-SA"/>
        </w:rPr>
      </w:pPr>
      <w:r>
        <w:rPr>
          <w:rFonts w:ascii="Arial" w:hAnsi="Arial" w:cs="Arial"/>
          <w:sz w:val="18"/>
          <w:szCs w:val="18"/>
          <w:lang w:eastAsia="ar-SA"/>
        </w:rPr>
        <w:t>PN-EN 13179-1                Badania kruszyw wypełniających stosowanych do mieszanek bitumicznych –Część 1: Badanie metodą Pierścienia i Kuli</w:t>
      </w:r>
    </w:p>
    <w:p w14:paraId="6AA70AEE"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PN-EN 13179-2 </w:t>
      </w:r>
      <w:r>
        <w:rPr>
          <w:rFonts w:ascii="Arial" w:hAnsi="Arial" w:cs="Arial"/>
          <w:sz w:val="18"/>
          <w:szCs w:val="18"/>
          <w:lang w:eastAsia="ar-SA"/>
        </w:rPr>
        <w:tab/>
        <w:t xml:space="preserve">  Badania kruszyw wypełniających stosowanych do mieszanek bitumicznych –   </w:t>
      </w:r>
    </w:p>
    <w:p w14:paraId="255B4BD7" w14:textId="77777777" w:rsidR="005E0BE2" w:rsidRDefault="006A6BD4">
      <w:pPr>
        <w:suppressAutoHyphens/>
        <w:autoSpaceDE w:val="0"/>
        <w:ind w:left="1985" w:hanging="1982"/>
        <w:rPr>
          <w:rFonts w:ascii="Arial" w:hAnsi="Arial" w:cs="Arial"/>
          <w:sz w:val="18"/>
          <w:szCs w:val="18"/>
          <w:lang w:eastAsia="ar-SA"/>
        </w:rPr>
      </w:pPr>
      <w:r>
        <w:rPr>
          <w:rFonts w:ascii="Arial" w:hAnsi="Arial" w:cs="Arial"/>
          <w:sz w:val="18"/>
          <w:szCs w:val="18"/>
          <w:lang w:eastAsia="ar-SA"/>
        </w:rPr>
        <w:t xml:space="preserve">                                          Część 2:Liczba bitumiczna</w:t>
      </w:r>
    </w:p>
    <w:p w14:paraId="3A7948DA"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13398 </w:t>
      </w:r>
      <w:r>
        <w:rPr>
          <w:rFonts w:ascii="Arial" w:hAnsi="Arial" w:cs="Arial"/>
          <w:sz w:val="18"/>
          <w:szCs w:val="18"/>
          <w:lang w:eastAsia="ar-SA"/>
        </w:rPr>
        <w:tab/>
      </w:r>
      <w:r>
        <w:rPr>
          <w:rFonts w:ascii="Arial" w:hAnsi="Arial" w:cs="Arial"/>
          <w:sz w:val="18"/>
          <w:szCs w:val="18"/>
          <w:lang w:eastAsia="ar-SA"/>
        </w:rPr>
        <w:tab/>
        <w:t>Asfalty i lepiszcza asfaltowe – Oznaczanie nawrotu sprężystego asfaltów</w:t>
      </w:r>
    </w:p>
    <w:p w14:paraId="59ECB38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w:t>
      </w:r>
    </w:p>
    <w:p w14:paraId="68B118B0"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13399 </w:t>
      </w:r>
      <w:r>
        <w:rPr>
          <w:rFonts w:ascii="Arial" w:hAnsi="Arial" w:cs="Arial"/>
          <w:sz w:val="18"/>
          <w:szCs w:val="18"/>
          <w:lang w:eastAsia="ar-SA"/>
        </w:rPr>
        <w:tab/>
      </w:r>
      <w:r>
        <w:rPr>
          <w:rFonts w:ascii="Arial" w:hAnsi="Arial" w:cs="Arial"/>
          <w:sz w:val="18"/>
          <w:szCs w:val="18"/>
          <w:lang w:eastAsia="ar-SA"/>
        </w:rPr>
        <w:tab/>
        <w:t>Asfalty i lepiszcza asfaltowe – Oznaczanie odporności na magazynowanie</w:t>
      </w:r>
    </w:p>
    <w:p w14:paraId="6D0D0A6D"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modyfikowanych asfaltów</w:t>
      </w:r>
    </w:p>
    <w:p w14:paraId="2855E66B"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13587 </w:t>
      </w:r>
      <w:r>
        <w:rPr>
          <w:rFonts w:ascii="Arial" w:hAnsi="Arial" w:cs="Arial"/>
          <w:sz w:val="18"/>
          <w:szCs w:val="18"/>
          <w:lang w:eastAsia="ar-SA"/>
        </w:rPr>
        <w:tab/>
      </w:r>
      <w:r>
        <w:rPr>
          <w:rFonts w:ascii="Arial" w:hAnsi="Arial" w:cs="Arial"/>
          <w:sz w:val="18"/>
          <w:szCs w:val="18"/>
          <w:lang w:eastAsia="ar-SA"/>
        </w:rPr>
        <w:tab/>
        <w:t xml:space="preserve">Asfalty i lepiszcza asfaltowe – Oznaczanie ciągliwości lepiszczy asfaltowych </w:t>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metodą pomiaru ciągliwości</w:t>
      </w:r>
    </w:p>
    <w:p w14:paraId="0275633A"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13588 </w:t>
      </w:r>
      <w:r>
        <w:rPr>
          <w:rFonts w:ascii="Arial" w:hAnsi="Arial" w:cs="Arial"/>
          <w:sz w:val="18"/>
          <w:szCs w:val="18"/>
          <w:lang w:eastAsia="ar-SA"/>
        </w:rPr>
        <w:tab/>
        <w:t>Asfalty i lepiszcza asfaltowe – Oznaczanie kohezji lepiszczy asfaltowych metodą testu wahadłowego</w:t>
      </w:r>
    </w:p>
    <w:p w14:paraId="6C6C5F11"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13589 </w:t>
      </w:r>
      <w:r>
        <w:rPr>
          <w:rFonts w:ascii="Arial" w:hAnsi="Arial" w:cs="Arial"/>
          <w:sz w:val="18"/>
          <w:szCs w:val="18"/>
          <w:lang w:eastAsia="ar-SA"/>
        </w:rPr>
        <w:tab/>
        <w:t xml:space="preserve">Asfalty i lepiszcza asfaltowe – Oznaczanie ciągliwości modyfikowanych asfaltów – Metoda z </w:t>
      </w:r>
      <w:proofErr w:type="spellStart"/>
      <w:r>
        <w:rPr>
          <w:rFonts w:ascii="Arial" w:hAnsi="Arial" w:cs="Arial"/>
          <w:sz w:val="18"/>
          <w:szCs w:val="18"/>
          <w:lang w:eastAsia="ar-SA"/>
        </w:rPr>
        <w:t>duktylometrem</w:t>
      </w:r>
      <w:proofErr w:type="spellEnd"/>
    </w:p>
    <w:p w14:paraId="1487F575"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13703 </w:t>
      </w:r>
      <w:r>
        <w:rPr>
          <w:rFonts w:ascii="Arial" w:hAnsi="Arial" w:cs="Arial"/>
          <w:sz w:val="18"/>
          <w:szCs w:val="18"/>
          <w:lang w:eastAsia="ar-SA"/>
        </w:rPr>
        <w:tab/>
        <w:t>Asfalty i lepiszcza asfaltowe – Oznaczanie energii deformacji PN-EN ISO 2592 Oznaczanie temperatury zapłonu i palenia – Metoda otwartego tygla C PN-EN ISO 2592 – Metoda otwartego tygla Clevelanda</w:t>
      </w:r>
    </w:p>
    <w:p w14:paraId="3EE051A9"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BN-8931-04 </w:t>
      </w:r>
      <w:r>
        <w:rPr>
          <w:rFonts w:ascii="Arial" w:hAnsi="Arial" w:cs="Arial"/>
          <w:sz w:val="18"/>
          <w:szCs w:val="18"/>
          <w:lang w:eastAsia="ar-SA"/>
        </w:rPr>
        <w:tab/>
      </w:r>
      <w:r>
        <w:rPr>
          <w:rFonts w:ascii="Arial" w:hAnsi="Arial" w:cs="Arial"/>
          <w:sz w:val="18"/>
          <w:szCs w:val="18"/>
          <w:lang w:eastAsia="ar-SA"/>
        </w:rPr>
        <w:tab/>
        <w:t>Drogi samochodowe. Pomiar równości nawierzchni planografem i łatą.</w:t>
      </w:r>
    </w:p>
    <w:p w14:paraId="3EA99729" w14:textId="77777777" w:rsidR="005E0BE2" w:rsidRDefault="006A6BD4">
      <w:pPr>
        <w:suppressAutoHyphens/>
        <w:autoSpaceDE w:val="0"/>
        <w:ind w:left="2124" w:hanging="2124"/>
        <w:rPr>
          <w:rFonts w:ascii="Arial" w:hAnsi="Arial" w:cs="Arial"/>
          <w:sz w:val="18"/>
          <w:szCs w:val="18"/>
          <w:lang w:eastAsia="ar-SA"/>
        </w:rPr>
      </w:pPr>
      <w:r>
        <w:rPr>
          <w:rFonts w:ascii="Arial" w:hAnsi="Arial" w:cs="Arial"/>
          <w:sz w:val="18"/>
          <w:szCs w:val="18"/>
          <w:lang w:eastAsia="ar-SA"/>
        </w:rPr>
        <w:t xml:space="preserve">PN-EN 196-21 </w:t>
      </w:r>
      <w:r>
        <w:rPr>
          <w:rFonts w:ascii="Arial" w:hAnsi="Arial" w:cs="Arial"/>
          <w:sz w:val="18"/>
          <w:szCs w:val="18"/>
          <w:lang w:eastAsia="ar-SA"/>
        </w:rPr>
        <w:tab/>
        <w:t>Metody badania cementu. Oznaczanie zawartości chlorków, dwutlenku węgla                   i alkaliów w cemencie.</w:t>
      </w:r>
    </w:p>
    <w:p w14:paraId="0B18E6C6"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13808 </w:t>
      </w:r>
      <w:r>
        <w:rPr>
          <w:rFonts w:ascii="Arial" w:hAnsi="Arial" w:cs="Arial"/>
          <w:sz w:val="18"/>
          <w:szCs w:val="18"/>
          <w:lang w:eastAsia="ar-SA"/>
        </w:rPr>
        <w:tab/>
      </w:r>
      <w:r>
        <w:rPr>
          <w:rFonts w:ascii="Arial" w:hAnsi="Arial" w:cs="Arial"/>
          <w:sz w:val="18"/>
          <w:szCs w:val="18"/>
          <w:lang w:eastAsia="ar-SA"/>
        </w:rPr>
        <w:tab/>
        <w:t>Asfalty i lepiszcza. Zasady specyfikacji kationowych emulsji asfaltowych.</w:t>
      </w:r>
    </w:p>
    <w:p w14:paraId="5559FC77" w14:textId="77777777" w:rsidR="005E0BE2" w:rsidRDefault="006A6BD4">
      <w:pPr>
        <w:suppressAutoHyphens/>
        <w:autoSpaceDE w:val="0"/>
        <w:rPr>
          <w:rFonts w:ascii="Arial" w:hAnsi="Arial" w:cs="Arial"/>
          <w:sz w:val="18"/>
          <w:szCs w:val="18"/>
          <w:lang w:eastAsia="ar-SA"/>
        </w:rPr>
      </w:pPr>
      <w:r>
        <w:rPr>
          <w:rFonts w:ascii="Arial" w:hAnsi="Arial" w:cs="Arial"/>
          <w:sz w:val="18"/>
          <w:szCs w:val="18"/>
          <w:lang w:eastAsia="ar-SA"/>
        </w:rPr>
        <w:t xml:space="preserve">PN-EN 13108-21 </w:t>
      </w:r>
      <w:r>
        <w:rPr>
          <w:rFonts w:ascii="Arial" w:hAnsi="Arial" w:cs="Arial"/>
          <w:sz w:val="18"/>
          <w:szCs w:val="18"/>
          <w:lang w:eastAsia="ar-SA"/>
        </w:rPr>
        <w:tab/>
        <w:t>Mieszanki mineralno-asfaltowe. Wymagania. Część 21: Zakładowa kontrola produkcji.</w:t>
      </w:r>
    </w:p>
    <w:p w14:paraId="78374675" w14:textId="77777777" w:rsidR="005E0BE2" w:rsidRDefault="005E0BE2">
      <w:pPr>
        <w:suppressAutoHyphens/>
        <w:autoSpaceDE w:val="0"/>
        <w:rPr>
          <w:rFonts w:ascii="Arial" w:hAnsi="Arial" w:cs="Arial"/>
          <w:b/>
          <w:sz w:val="18"/>
          <w:szCs w:val="18"/>
          <w:lang w:eastAsia="ar-SA"/>
        </w:rPr>
      </w:pPr>
    </w:p>
    <w:p w14:paraId="7B96DF8D" w14:textId="77777777" w:rsidR="005E0BE2" w:rsidRDefault="006A6BD4">
      <w:pPr>
        <w:suppressAutoHyphens/>
        <w:autoSpaceDE w:val="0"/>
        <w:spacing w:after="60"/>
        <w:rPr>
          <w:rFonts w:ascii="Arial" w:hAnsi="Arial" w:cs="Arial"/>
          <w:b/>
          <w:sz w:val="18"/>
          <w:szCs w:val="18"/>
          <w:lang w:eastAsia="ar-SA"/>
        </w:rPr>
      </w:pPr>
      <w:r>
        <w:rPr>
          <w:rFonts w:ascii="Arial" w:hAnsi="Arial" w:cs="Arial"/>
          <w:b/>
          <w:sz w:val="18"/>
          <w:szCs w:val="18"/>
          <w:lang w:eastAsia="ar-SA"/>
        </w:rPr>
        <w:t>10.2. Inne dokumenty</w:t>
      </w:r>
    </w:p>
    <w:p w14:paraId="660B1789" w14:textId="77777777" w:rsidR="005E0BE2" w:rsidRDefault="006A6BD4">
      <w:pPr>
        <w:jc w:val="both"/>
        <w:rPr>
          <w:rFonts w:ascii="Arial" w:hAnsi="Arial" w:cs="Arial"/>
          <w:sz w:val="18"/>
          <w:szCs w:val="18"/>
        </w:rPr>
      </w:pPr>
      <w:r>
        <w:rPr>
          <w:rFonts w:ascii="Arial" w:hAnsi="Arial" w:cs="Arial"/>
          <w:sz w:val="18"/>
          <w:szCs w:val="18"/>
        </w:rPr>
        <w:t>Wymagania Techniczne. Kruszywa do mieszanek mineralno-asfaltowych i powierzchniowych utrwaleń na drogach krajowych. WT-1 Kruszywa 2014.</w:t>
      </w:r>
    </w:p>
    <w:p w14:paraId="5292D196"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2014 Część I. Mieszanki mineralno- asfaltowe.                                                               </w:t>
      </w:r>
    </w:p>
    <w:p w14:paraId="657F5A21" w14:textId="77777777" w:rsidR="005E0BE2" w:rsidRDefault="006A6BD4">
      <w:pPr>
        <w:jc w:val="both"/>
        <w:rPr>
          <w:rFonts w:ascii="Arial" w:hAnsi="Arial" w:cs="Arial"/>
          <w:sz w:val="18"/>
          <w:szCs w:val="18"/>
        </w:rPr>
      </w:pPr>
      <w:r>
        <w:rPr>
          <w:rFonts w:ascii="Arial" w:hAnsi="Arial" w:cs="Arial"/>
          <w:sz w:val="18"/>
          <w:szCs w:val="18"/>
        </w:rPr>
        <w:t xml:space="preserve">Wymagania Techniczne. Nawierzchnie asfaltowe na drogach krajowych. WT-2 2016 Część II. Wykonanie warstw nawierzchni asfaltowych. Wymagania Techniczne. </w:t>
      </w:r>
    </w:p>
    <w:p w14:paraId="61B1A0BE" w14:textId="77777777" w:rsidR="005E0BE2" w:rsidRDefault="006A6BD4">
      <w:pPr>
        <w:jc w:val="both"/>
        <w:rPr>
          <w:rFonts w:ascii="Verdana" w:hAnsi="Verdana" w:cs="Arial"/>
          <w:sz w:val="18"/>
          <w:szCs w:val="18"/>
        </w:rPr>
      </w:pPr>
      <w:r>
        <w:rPr>
          <w:rFonts w:ascii="Arial" w:hAnsi="Arial" w:cs="Arial"/>
          <w:sz w:val="18"/>
          <w:szCs w:val="18"/>
        </w:rPr>
        <w:t>Rozporządzenie Ministra Transportu i Gospodarki Morskiej  z dnia 2 marca 1999 r. w sprawie warunków technicznych, jakim powinny odpowiadać drogi publiczne i ich usytuowanie (Dz. U. z 2016 r., Nr 0, poz. 124).</w:t>
      </w:r>
    </w:p>
    <w:p w14:paraId="7670836B" w14:textId="77777777" w:rsidR="005E0BE2" w:rsidRDefault="005E0BE2">
      <w:pPr>
        <w:rPr>
          <w:rFonts w:ascii="Verdana" w:hAnsi="Verdana" w:cs="Arial"/>
          <w:sz w:val="18"/>
          <w:szCs w:val="18"/>
        </w:rPr>
      </w:pPr>
    </w:p>
    <w:p w14:paraId="556E9D60" w14:textId="77777777" w:rsidR="005E0BE2" w:rsidRDefault="005E0BE2">
      <w:pPr>
        <w:rPr>
          <w:rFonts w:ascii="Verdana" w:hAnsi="Verdana" w:cs="Arial"/>
          <w:sz w:val="18"/>
          <w:szCs w:val="18"/>
        </w:rPr>
      </w:pPr>
    </w:p>
    <w:p w14:paraId="0F984F4F" w14:textId="77777777" w:rsidR="005E0BE2" w:rsidRDefault="005E0BE2">
      <w:pPr>
        <w:rPr>
          <w:rFonts w:ascii="Verdana" w:hAnsi="Verdana" w:cs="Arial"/>
          <w:sz w:val="18"/>
          <w:szCs w:val="18"/>
        </w:rPr>
      </w:pPr>
    </w:p>
    <w:p w14:paraId="61273E99" w14:textId="77777777" w:rsidR="005E0BE2" w:rsidRDefault="005E0BE2">
      <w:pPr>
        <w:rPr>
          <w:rFonts w:ascii="Verdana" w:hAnsi="Verdana" w:cs="Arial"/>
          <w:sz w:val="18"/>
          <w:szCs w:val="18"/>
        </w:rPr>
      </w:pPr>
    </w:p>
    <w:p w14:paraId="39995690" w14:textId="77777777" w:rsidR="005E0BE2" w:rsidRDefault="005E0BE2">
      <w:pPr>
        <w:rPr>
          <w:rFonts w:ascii="Verdana" w:hAnsi="Verdana" w:cs="Arial"/>
          <w:sz w:val="18"/>
          <w:szCs w:val="18"/>
        </w:rPr>
      </w:pPr>
    </w:p>
    <w:p w14:paraId="4A9AAA21" w14:textId="77777777" w:rsidR="005E0BE2" w:rsidRDefault="005E0BE2">
      <w:pPr>
        <w:rPr>
          <w:rFonts w:ascii="Verdana" w:hAnsi="Verdana" w:cs="Arial"/>
          <w:sz w:val="18"/>
          <w:szCs w:val="18"/>
        </w:rPr>
      </w:pPr>
    </w:p>
    <w:p w14:paraId="2A7D8955" w14:textId="77777777" w:rsidR="005E0BE2" w:rsidRDefault="006A6BD4">
      <w:pPr>
        <w:tabs>
          <w:tab w:val="left" w:pos="7605"/>
        </w:tabs>
        <w:rPr>
          <w:rFonts w:ascii="Verdana" w:hAnsi="Verdana" w:cs="Arial"/>
          <w:sz w:val="18"/>
          <w:szCs w:val="18"/>
        </w:rPr>
      </w:pPr>
      <w:r>
        <w:rPr>
          <w:rFonts w:ascii="Verdana" w:hAnsi="Verdana" w:cs="Arial"/>
          <w:sz w:val="18"/>
          <w:szCs w:val="18"/>
        </w:rPr>
        <w:tab/>
      </w:r>
    </w:p>
    <w:sectPr w:rsidR="005E0BE2">
      <w:headerReference w:type="even" r:id="rId10"/>
      <w:headerReference w:type="default" r:id="rId11"/>
      <w:footerReference w:type="even" r:id="rId12"/>
      <w:footerReference w:type="default" r:id="rId13"/>
      <w:headerReference w:type="first" r:id="rId14"/>
      <w:footerReference w:type="first" r:id="rId15"/>
      <w:pgSz w:w="11907" w:h="16840" w:code="9"/>
      <w:pgMar w:top="1021" w:right="1418" w:bottom="1134" w:left="1418" w:header="709" w:footer="522"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D9D04" w14:textId="77777777" w:rsidR="001C4EE1" w:rsidRDefault="001C4EE1">
      <w:r>
        <w:separator/>
      </w:r>
    </w:p>
  </w:endnote>
  <w:endnote w:type="continuationSeparator" w:id="0">
    <w:p w14:paraId="33E631A0" w14:textId="77777777" w:rsidR="001C4EE1" w:rsidRDefault="001C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46EF8" w14:textId="77777777" w:rsidR="005E0BE2" w:rsidRDefault="005E0BE2">
    <w:pPr>
      <w:pStyle w:val="Stopka"/>
      <w:jc w:val="right"/>
    </w:pPr>
  </w:p>
  <w:p w14:paraId="1B12252B" w14:textId="77777777" w:rsidR="005E0BE2" w:rsidRDefault="005E0B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065017289"/>
      <w:docPartObj>
        <w:docPartGallery w:val="Page Numbers (Bottom of Page)"/>
        <w:docPartUnique/>
      </w:docPartObj>
    </w:sdtPr>
    <w:sdtContent>
      <w:sdt>
        <w:sdtPr>
          <w:id w:val="-858660591"/>
          <w:docPartObj>
            <w:docPartGallery w:val="Page Numbers (Bottom of Page)"/>
            <w:docPartUnique/>
          </w:docPartObj>
        </w:sdtPr>
        <w:sdtContent>
          <w:sdt>
            <w:sdtPr>
              <w:id w:val="-1343926416"/>
              <w:docPartObj>
                <w:docPartGallery w:val="Page Numbers (Top of Page)"/>
                <w:docPartUnique/>
              </w:docPartObj>
            </w:sdtPr>
            <w:sdtContent>
              <w:p w14:paraId="0D7CE771" w14:textId="77777777" w:rsidR="005E0BE2" w:rsidRDefault="006A6BD4">
                <w:pPr>
                  <w:pBdr>
                    <w:top w:val="single" w:sz="4" w:space="1" w:color="auto"/>
                  </w:pBdr>
                  <w:autoSpaceDE w:val="0"/>
                  <w:adjustRightInd w:val="0"/>
                  <w:spacing w:before="60" w:after="120"/>
                  <w:jc w:val="center"/>
                  <w:rPr>
                    <w:rFonts w:ascii="Arial" w:eastAsia="Calibri" w:hAnsi="Arial" w:cs="Arial"/>
                    <w:sz w:val="16"/>
                    <w:szCs w:val="16"/>
                  </w:rPr>
                </w:pPr>
                <w:r>
                  <w:rPr>
                    <w:rFonts w:ascii="Arial" w:eastAsia="Calibri" w:hAnsi="Arial" w:cs="Arial"/>
                    <w:sz w:val="16"/>
                    <w:szCs w:val="16"/>
                  </w:rPr>
                  <w:t>Budowa drogi gminnej publicznej klasy D Łańcut – Sonina od km 0+000,00 do km 0+914,00.</w:t>
                </w:r>
              </w:p>
              <w:p w14:paraId="0BC79A45" w14:textId="77777777" w:rsidR="005E0BE2" w:rsidRDefault="006A6BD4">
                <w:pPr>
                  <w:autoSpaceDE w:val="0"/>
                  <w:adjustRightInd w:val="0"/>
                  <w:jc w:val="right"/>
                  <w:rPr>
                    <w:rFonts w:ascii="Verdana" w:eastAsia="Calibri" w:hAnsi="Verdana"/>
                    <w:sz w:val="16"/>
                    <w:szCs w:val="16"/>
                  </w:rPr>
                </w:pPr>
                <w:r>
                  <w:rPr>
                    <w:rFonts w:ascii="Arial" w:hAnsi="Arial" w:cs="Arial"/>
                    <w:sz w:val="16"/>
                    <w:szCs w:val="16"/>
                  </w:rPr>
                  <w:t xml:space="preserve">XV - </w:t>
                </w:r>
                <w:sdt>
                  <w:sdtPr>
                    <w:rPr>
                      <w:rFonts w:ascii="Arial" w:hAnsi="Arial" w:cs="Arial"/>
                      <w:sz w:val="16"/>
                      <w:szCs w:val="16"/>
                    </w:rPr>
                    <w:id w:val="-605817276"/>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B67A93">
                      <w:rPr>
                        <w:rFonts w:ascii="Arial" w:hAnsi="Arial" w:cs="Arial"/>
                        <w:noProof/>
                        <w:sz w:val="16"/>
                        <w:szCs w:val="16"/>
                      </w:rPr>
                      <w:t>12</w:t>
                    </w:r>
                    <w:r>
                      <w:rPr>
                        <w:rFonts w:ascii="Arial" w:hAnsi="Arial" w:cs="Arial"/>
                        <w:sz w:val="16"/>
                        <w:szCs w:val="16"/>
                      </w:rPr>
                      <w:fldChar w:fldCharType="end"/>
                    </w:r>
                  </w:sdtContent>
                </w:sdt>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F2FA5" w14:textId="77777777" w:rsidR="005E0BE2" w:rsidRDefault="005E0B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A13C3" w14:textId="77777777" w:rsidR="001C4EE1" w:rsidRDefault="001C4EE1">
      <w:r>
        <w:separator/>
      </w:r>
    </w:p>
  </w:footnote>
  <w:footnote w:type="continuationSeparator" w:id="0">
    <w:p w14:paraId="3749B93D" w14:textId="77777777" w:rsidR="001C4EE1" w:rsidRDefault="001C4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2C019" w14:textId="77777777" w:rsidR="005E0BE2" w:rsidRDefault="005E0BE2">
    <w:pPr>
      <w:pStyle w:val="Nagwek"/>
      <w:framePr w:wrap="around" w:vAnchor="text" w:hAnchor="margin" w:xAlign="outside" w:y="1"/>
      <w:rPr>
        <w:rStyle w:val="Numerstrony"/>
      </w:rPr>
    </w:pPr>
  </w:p>
  <w:p w14:paraId="06303B07" w14:textId="77777777" w:rsidR="005E0BE2" w:rsidRDefault="006A6BD4">
    <w:pPr>
      <w:tabs>
        <w:tab w:val="center" w:pos="4536"/>
        <w:tab w:val="right" w:pos="9072"/>
      </w:tabs>
      <w:suppressAutoHyphens/>
      <w:rPr>
        <w:sz w:val="4"/>
        <w:szCs w:val="4"/>
        <w:lang w:eastAsia="ar-SA"/>
      </w:rPr>
    </w:pPr>
    <w:r>
      <w:rPr>
        <w:sz w:val="4"/>
        <w:szCs w:val="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553B03" w14:textId="77777777" w:rsidR="005E0BE2" w:rsidRDefault="005E0BE2">
    <w:pPr>
      <w:pStyle w:val="Nagwek"/>
      <w:rPr>
        <w:rFonts w:ascii="Verdana" w:hAnsi="Verdana"/>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574E" w14:textId="77777777" w:rsidR="005E0BE2" w:rsidRDefault="006A6BD4">
    <w:pPr>
      <w:jc w:val="right"/>
      <w:rPr>
        <w:rFonts w:ascii="Arial" w:hAnsi="Arial" w:cs="Arial"/>
        <w:b/>
        <w:sz w:val="16"/>
        <w:szCs w:val="16"/>
      </w:rPr>
    </w:pPr>
    <w:r>
      <w:rPr>
        <w:rFonts w:ascii="Arial" w:hAnsi="Arial" w:cs="Arial"/>
        <w:sz w:val="16"/>
        <w:szCs w:val="16"/>
      </w:rPr>
      <w:t xml:space="preserve">D-05.03.05.a. Nawierzchnia z betonu asfaltowego. Warstwa ścieralna. </w:t>
    </w:r>
  </w:p>
  <w:p w14:paraId="00644626" w14:textId="77777777" w:rsidR="005E0BE2" w:rsidRDefault="006A6BD4">
    <w:pPr>
      <w:pStyle w:val="Nagwek"/>
      <w:jc w:val="center"/>
      <w:rPr>
        <w:i/>
        <w:sz w:val="16"/>
      </w:rPr>
    </w:pPr>
    <w:r>
      <w:rPr>
        <w:noProof/>
      </w:rPr>
      <mc:AlternateContent>
        <mc:Choice Requires="wps">
          <w:drawing>
            <wp:anchor distT="4294967295" distB="4294967295" distL="114300" distR="114300" simplePos="0" relativeHeight="251659264" behindDoc="0" locked="0" layoutInCell="1" allowOverlap="1" wp14:anchorId="20E44769" wp14:editId="709447F4">
              <wp:simplePos x="0" y="0"/>
              <wp:positionH relativeFrom="column">
                <wp:posOffset>-33020</wp:posOffset>
              </wp:positionH>
              <wp:positionV relativeFrom="paragraph">
                <wp:posOffset>31750</wp:posOffset>
              </wp:positionV>
              <wp:extent cx="5838825" cy="0"/>
              <wp:effectExtent l="0" t="0" r="2857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88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CE784B"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pt,2.5pt" to="45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"/>
          </w:pict>
        </mc:Fallback>
      </mc:AlternateContent>
    </w:r>
  </w:p>
  <w:p w14:paraId="21E3C831" w14:textId="77777777" w:rsidR="005E0BE2" w:rsidRDefault="005E0BE2">
    <w:pPr>
      <w:pStyle w:val="Nagwek"/>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A848" w14:textId="77777777" w:rsidR="005E0BE2" w:rsidRDefault="005E0B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FE"/>
    <w:multiLevelType w:val="singleLevel"/>
    <w:tmpl w:val="C578381A"/>
    <w:lvl w:ilvl="0">
      <w:numFmt w:val="decimal"/>
      <w:lvlText w:val="*"/>
      <w:lvlJc w:val="left"/>
      <w:pPr>
        <w:ind w:left="0" w:firstLine="0"/>
      </w:pPr>
    </w:lvl>
  </w:abstractNum>
  <w:abstractNum w:abstractNumId="5"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sz w:val="18"/>
      </w:rPr>
    </w:lvl>
  </w:abstractNum>
  <w:abstractNum w:abstractNumId="6" w15:restartNumberingAfterBreak="0">
    <w:nsid w:val="00000003"/>
    <w:multiLevelType w:val="multilevel"/>
    <w:tmpl w:val="2A2EB2AE"/>
    <w:name w:val="WW8Num3"/>
    <w:lvl w:ilvl="0">
      <w:start w:val="1"/>
      <w:numFmt w:val="decimal"/>
      <w:lvlText w:val="%1."/>
      <w:lvlJc w:val="left"/>
      <w:pPr>
        <w:tabs>
          <w:tab w:val="num" w:pos="855"/>
        </w:tabs>
        <w:ind w:left="855" w:hanging="855"/>
      </w:pPr>
      <w:rPr>
        <w:rFonts w:ascii="Symbol" w:hAnsi="Symbol"/>
      </w:rPr>
    </w:lvl>
    <w:lvl w:ilvl="1">
      <w:start w:val="4"/>
      <w:numFmt w:val="decimal"/>
      <w:lvlText w:val="%1.%2."/>
      <w:lvlJc w:val="left"/>
      <w:pPr>
        <w:tabs>
          <w:tab w:val="num" w:pos="855"/>
        </w:tabs>
        <w:ind w:left="855" w:hanging="855"/>
      </w:pPr>
      <w:rPr>
        <w:rFonts w:ascii="Symbol" w:hAnsi="Symbol"/>
      </w:rPr>
    </w:lvl>
    <w:lvl w:ilvl="2">
      <w:start w:val="2"/>
      <w:numFmt w:val="decimal"/>
      <w:lvlText w:val="%1.%2.%3."/>
      <w:lvlJc w:val="left"/>
      <w:pPr>
        <w:tabs>
          <w:tab w:val="num" w:pos="855"/>
        </w:tabs>
        <w:ind w:left="855" w:hanging="855"/>
      </w:pPr>
      <w:rPr>
        <w:rFonts w:ascii="Arial" w:hAnsi="Arial" w:cs="Arial" w:hint="default"/>
        <w:b/>
      </w:rPr>
    </w:lvl>
    <w:lvl w:ilvl="3">
      <w:start w:val="1"/>
      <w:numFmt w:val="decimal"/>
      <w:lvlText w:val="%1.%2.%3.%4."/>
      <w:lvlJc w:val="left"/>
      <w:pPr>
        <w:tabs>
          <w:tab w:val="num" w:pos="855"/>
        </w:tabs>
        <w:ind w:left="855" w:hanging="855"/>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7"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5"/>
    <w:multiLevelType w:val="singleLevel"/>
    <w:tmpl w:val="00000005"/>
    <w:name w:val="WW8Num5"/>
    <w:lvl w:ilvl="0">
      <w:numFmt w:val="bullet"/>
      <w:lvlText w:val="-"/>
      <w:lvlJc w:val="left"/>
      <w:pPr>
        <w:tabs>
          <w:tab w:val="num" w:pos="720"/>
        </w:tabs>
        <w:ind w:left="720" w:hanging="720"/>
      </w:pPr>
      <w:rPr>
        <w:rFonts w:ascii="OpenSymbol" w:hAnsi="OpenSymbol"/>
      </w:rPr>
    </w:lvl>
  </w:abstractNum>
  <w:abstractNum w:abstractNumId="9"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rPr>
    </w:lvl>
  </w:abstractNum>
  <w:abstractNum w:abstractNumId="1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8"/>
    <w:multiLevelType w:val="singleLevel"/>
    <w:tmpl w:val="00000008"/>
    <w:name w:val="WW8Num8"/>
    <w:lvl w:ilvl="0">
      <w:start w:val="1"/>
      <w:numFmt w:val="lowerLetter"/>
      <w:lvlText w:val="%1)"/>
      <w:lvlJc w:val="left"/>
      <w:pPr>
        <w:tabs>
          <w:tab w:val="num" w:pos="720"/>
        </w:tabs>
        <w:ind w:left="720" w:hanging="360"/>
      </w:pPr>
    </w:lvl>
  </w:abstractNum>
  <w:abstractNum w:abstractNumId="12" w15:restartNumberingAfterBreak="0">
    <w:nsid w:val="00000009"/>
    <w:multiLevelType w:val="singleLevel"/>
    <w:tmpl w:val="00000009"/>
    <w:name w:val="WW8Num9"/>
    <w:lvl w:ilvl="0">
      <w:numFmt w:val="bullet"/>
      <w:lvlText w:val=""/>
      <w:lvlJc w:val="left"/>
      <w:pPr>
        <w:tabs>
          <w:tab w:val="num" w:pos="0"/>
        </w:tabs>
        <w:ind w:left="360" w:hanging="360"/>
      </w:pPr>
      <w:rPr>
        <w:rFonts w:ascii="Symbol" w:hAnsi="Symbol" w:cs="Times New Roman"/>
      </w:rPr>
    </w:lvl>
  </w:abstractNum>
  <w:abstractNum w:abstractNumId="13" w15:restartNumberingAfterBreak="0">
    <w:nsid w:val="0000000A"/>
    <w:multiLevelType w:val="singleLevel"/>
    <w:tmpl w:val="0000000A"/>
    <w:name w:val="WW8Num10"/>
    <w:lvl w:ilvl="0">
      <w:numFmt w:val="bullet"/>
      <w:lvlText w:val=""/>
      <w:lvlJc w:val="left"/>
      <w:pPr>
        <w:tabs>
          <w:tab w:val="num" w:pos="0"/>
        </w:tabs>
        <w:ind w:left="283" w:hanging="283"/>
      </w:pPr>
      <w:rPr>
        <w:rFonts w:ascii="Symbol" w:hAnsi="Symbol"/>
      </w:rPr>
    </w:lvl>
  </w:abstractNum>
  <w:abstractNum w:abstractNumId="14" w15:restartNumberingAfterBreak="0">
    <w:nsid w:val="0000000B"/>
    <w:multiLevelType w:val="singleLevel"/>
    <w:tmpl w:val="0000000B"/>
    <w:name w:val="WW8Num11"/>
    <w:lvl w:ilvl="0">
      <w:numFmt w:val="bullet"/>
      <w:lvlText w:val="-"/>
      <w:lvlJc w:val="left"/>
      <w:pPr>
        <w:tabs>
          <w:tab w:val="num" w:pos="0"/>
        </w:tabs>
        <w:ind w:left="360" w:hanging="360"/>
      </w:pPr>
      <w:rPr>
        <w:rFonts w:ascii="OpenSymbol" w:hAnsi="OpenSymbol"/>
      </w:rPr>
    </w:lvl>
  </w:abstractNum>
  <w:abstractNum w:abstractNumId="15" w15:restartNumberingAfterBreak="0">
    <w:nsid w:val="06D555C2"/>
    <w:multiLevelType w:val="hybridMultilevel"/>
    <w:tmpl w:val="76E83A28"/>
    <w:lvl w:ilvl="0" w:tplc="85EC16B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142982"/>
    <w:multiLevelType w:val="hybridMultilevel"/>
    <w:tmpl w:val="451E0F3E"/>
    <w:lvl w:ilvl="0" w:tplc="77427BC8">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4930548"/>
    <w:multiLevelType w:val="hybridMultilevel"/>
    <w:tmpl w:val="6FEE584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C264E2"/>
    <w:multiLevelType w:val="hybridMultilevel"/>
    <w:tmpl w:val="E1809F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807417"/>
    <w:multiLevelType w:val="hybridMultilevel"/>
    <w:tmpl w:val="C64CF70A"/>
    <w:lvl w:ilvl="0" w:tplc="F2FEA3D6">
      <w:start w:val="1"/>
      <w:numFmt w:val="bullet"/>
      <w:lvlText w:val=""/>
      <w:lvlJc w:val="left"/>
      <w:pPr>
        <w:ind w:left="1287" w:hanging="360"/>
      </w:pPr>
      <w:rPr>
        <w:rFonts w:ascii="Symbol" w:hAnsi="Symbol" w:hint="default"/>
        <w:sz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94F2B30"/>
    <w:multiLevelType w:val="hybridMultilevel"/>
    <w:tmpl w:val="14D69658"/>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B616A9"/>
    <w:multiLevelType w:val="hybridMultilevel"/>
    <w:tmpl w:val="BA98F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092D81"/>
    <w:multiLevelType w:val="hybridMultilevel"/>
    <w:tmpl w:val="F760E1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FC32FD3"/>
    <w:multiLevelType w:val="hybridMultilevel"/>
    <w:tmpl w:val="D3EA32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9B292E"/>
    <w:multiLevelType w:val="hybridMultilevel"/>
    <w:tmpl w:val="E5F81D8A"/>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D80F8E"/>
    <w:multiLevelType w:val="hybridMultilevel"/>
    <w:tmpl w:val="E48A3A86"/>
    <w:name w:val="WW8Num1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764DBA"/>
    <w:multiLevelType w:val="hybridMultilevel"/>
    <w:tmpl w:val="3ED4CB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EE3A5B"/>
    <w:multiLevelType w:val="hybridMultilevel"/>
    <w:tmpl w:val="5934BCFC"/>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8D1DBB"/>
    <w:multiLevelType w:val="hybridMultilevel"/>
    <w:tmpl w:val="6F08068A"/>
    <w:lvl w:ilvl="0" w:tplc="A4503200">
      <w:start w:val="1"/>
      <w:numFmt w:val="bullet"/>
      <w:lvlText w:val=""/>
      <w:lvlJc w:val="left"/>
      <w:pPr>
        <w:tabs>
          <w:tab w:val="num" w:pos="720"/>
        </w:tabs>
        <w:ind w:left="720" w:hanging="360"/>
      </w:pPr>
      <w:rPr>
        <w:rFonts w:ascii="Symbol" w:hAnsi="Symbol" w:hint="default"/>
      </w:rPr>
    </w:lvl>
    <w:lvl w:ilvl="1" w:tplc="848EB2D0">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50BC7858"/>
    <w:multiLevelType w:val="hybridMultilevel"/>
    <w:tmpl w:val="4BEAA26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E355A3"/>
    <w:multiLevelType w:val="multilevel"/>
    <w:tmpl w:val="11BCBB2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56386C1C"/>
    <w:multiLevelType w:val="hybridMultilevel"/>
    <w:tmpl w:val="928EEBA2"/>
    <w:lvl w:ilvl="0" w:tplc="A4503200">
      <w:start w:val="1"/>
      <w:numFmt w:val="bullet"/>
      <w:lvlText w:val=""/>
      <w:lvlJc w:val="left"/>
      <w:pPr>
        <w:tabs>
          <w:tab w:val="num" w:pos="360"/>
        </w:tabs>
        <w:ind w:left="360" w:hanging="360"/>
      </w:pPr>
      <w:rPr>
        <w:rFonts w:ascii="Symbol" w:hAnsi="Symbol" w:hint="default"/>
      </w:rPr>
    </w:lvl>
    <w:lvl w:ilvl="1" w:tplc="848EB2D0">
      <w:start w:val="1"/>
      <w:numFmt w:val="bullet"/>
      <w:lvlText w:val=""/>
      <w:lvlJc w:val="left"/>
      <w:pPr>
        <w:tabs>
          <w:tab w:val="num" w:pos="1080"/>
        </w:tabs>
        <w:ind w:left="1080" w:hanging="360"/>
      </w:pPr>
      <w:rPr>
        <w:rFonts w:ascii="Symbol" w:hAnsi="Symbol"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2" w15:restartNumberingAfterBreak="0">
    <w:nsid w:val="573672C3"/>
    <w:multiLevelType w:val="hybridMultilevel"/>
    <w:tmpl w:val="DB5271A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1C5C0C"/>
    <w:multiLevelType w:val="hybridMultilevel"/>
    <w:tmpl w:val="FF1465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97AB0"/>
    <w:multiLevelType w:val="hybridMultilevel"/>
    <w:tmpl w:val="0D2465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671166"/>
    <w:multiLevelType w:val="hybridMultilevel"/>
    <w:tmpl w:val="6BF29820"/>
    <w:lvl w:ilvl="0" w:tplc="F2FEA3D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3549B9"/>
    <w:multiLevelType w:val="hybridMultilevel"/>
    <w:tmpl w:val="1D28E2FE"/>
    <w:lvl w:ilvl="0" w:tplc="77427BC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F70E1D"/>
    <w:multiLevelType w:val="hybridMultilevel"/>
    <w:tmpl w:val="44E45D76"/>
    <w:lvl w:ilvl="0" w:tplc="F2FEA3D6">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08304767">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369962113">
    <w:abstractNumId w:val="3"/>
  </w:num>
  <w:num w:numId="3" w16cid:durableId="327246202">
    <w:abstractNumId w:val="2"/>
  </w:num>
  <w:num w:numId="4" w16cid:durableId="1722092318">
    <w:abstractNumId w:val="1"/>
  </w:num>
  <w:num w:numId="5" w16cid:durableId="1026713860">
    <w:abstractNumId w:val="0"/>
  </w:num>
  <w:num w:numId="6" w16cid:durableId="573199570">
    <w:abstractNumId w:val="18"/>
  </w:num>
  <w:num w:numId="7" w16cid:durableId="957490331">
    <w:abstractNumId w:val="23"/>
  </w:num>
  <w:num w:numId="8" w16cid:durableId="532380714">
    <w:abstractNumId w:val="34"/>
  </w:num>
  <w:num w:numId="9" w16cid:durableId="1792359742">
    <w:abstractNumId w:val="29"/>
  </w:num>
  <w:num w:numId="10" w16cid:durableId="1163355409">
    <w:abstractNumId w:val="26"/>
  </w:num>
  <w:num w:numId="11" w16cid:durableId="1097336176">
    <w:abstractNumId w:val="33"/>
  </w:num>
  <w:num w:numId="12" w16cid:durableId="9375353">
    <w:abstractNumId w:val="15"/>
  </w:num>
  <w:num w:numId="13" w16cid:durableId="80151633">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988315696">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765146870">
    <w:abstractNumId w:val="22"/>
  </w:num>
  <w:num w:numId="16" w16cid:durableId="1164466597">
    <w:abstractNumId w:val="21"/>
  </w:num>
  <w:num w:numId="17" w16cid:durableId="1380546608">
    <w:abstractNumId w:val="5"/>
  </w:num>
  <w:num w:numId="18" w16cid:durableId="535823519">
    <w:abstractNumId w:val="6"/>
  </w:num>
  <w:num w:numId="19" w16cid:durableId="1816409985">
    <w:abstractNumId w:val="7"/>
  </w:num>
  <w:num w:numId="20" w16cid:durableId="553352935">
    <w:abstractNumId w:val="8"/>
  </w:num>
  <w:num w:numId="21" w16cid:durableId="1665359463">
    <w:abstractNumId w:val="9"/>
  </w:num>
  <w:num w:numId="22" w16cid:durableId="795608102">
    <w:abstractNumId w:val="10"/>
  </w:num>
  <w:num w:numId="23" w16cid:durableId="360135050">
    <w:abstractNumId w:val="11"/>
  </w:num>
  <w:num w:numId="24" w16cid:durableId="1560360882">
    <w:abstractNumId w:val="12"/>
  </w:num>
  <w:num w:numId="25" w16cid:durableId="743574138">
    <w:abstractNumId w:val="13"/>
  </w:num>
  <w:num w:numId="26" w16cid:durableId="1958675708">
    <w:abstractNumId w:val="14"/>
  </w:num>
  <w:num w:numId="27" w16cid:durableId="612518308">
    <w:abstractNumId w:val="16"/>
  </w:num>
  <w:num w:numId="28" w16cid:durableId="1677531988">
    <w:abstractNumId w:val="36"/>
  </w:num>
  <w:num w:numId="29" w16cid:durableId="792751701">
    <w:abstractNumId w:val="37"/>
  </w:num>
  <w:num w:numId="30" w16cid:durableId="1240100042">
    <w:abstractNumId w:val="17"/>
  </w:num>
  <w:num w:numId="31" w16cid:durableId="474105015">
    <w:abstractNumId w:val="32"/>
  </w:num>
  <w:num w:numId="32" w16cid:durableId="995033975">
    <w:abstractNumId w:val="27"/>
  </w:num>
  <w:num w:numId="33" w16cid:durableId="2045517886">
    <w:abstractNumId w:val="35"/>
  </w:num>
  <w:num w:numId="34" w16cid:durableId="775710025">
    <w:abstractNumId w:val="24"/>
  </w:num>
  <w:num w:numId="35" w16cid:durableId="1618370748">
    <w:abstractNumId w:val="19"/>
  </w:num>
  <w:num w:numId="36" w16cid:durableId="1265573067">
    <w:abstractNumId w:val="20"/>
  </w:num>
  <w:num w:numId="37" w16cid:durableId="15002653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E2"/>
    <w:rsid w:val="001A6268"/>
    <w:rsid w:val="001C4EE1"/>
    <w:rsid w:val="001D5F44"/>
    <w:rsid w:val="00416367"/>
    <w:rsid w:val="005E0BE2"/>
    <w:rsid w:val="006A6BD4"/>
    <w:rsid w:val="007F07E2"/>
    <w:rsid w:val="00926AC4"/>
    <w:rsid w:val="00A425DD"/>
    <w:rsid w:val="00A55FFD"/>
    <w:rsid w:val="00B42716"/>
    <w:rsid w:val="00B67A93"/>
    <w:rsid w:val="00BD0772"/>
    <w:rsid w:val="00CE7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F838C"/>
  <w15:docId w15:val="{53E94E47-8EDB-4F69-972F-B8D2F6EF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owytekst"/>
    <w:next w:val="Standardowytekst"/>
    <w:link w:val="Nagwek1Znak"/>
    <w:qFormat/>
    <w:pPr>
      <w:keepNext/>
      <w:keepLines/>
      <w:suppressAutoHyphens/>
      <w:spacing w:before="120" w:after="120"/>
      <w:outlineLvl w:val="0"/>
    </w:pPr>
    <w:rPr>
      <w:b/>
      <w:caps/>
      <w:kern w:val="28"/>
    </w:rPr>
  </w:style>
  <w:style w:type="paragraph" w:styleId="Nagwek2">
    <w:name w:val="heading 2"/>
    <w:basedOn w:val="Standardowytekst"/>
    <w:next w:val="Standardowytekst"/>
    <w:link w:val="Nagwek2Znak"/>
    <w:qFormat/>
    <w:pPr>
      <w:keepNext/>
      <w:spacing w:before="120" w:after="120"/>
      <w:outlineLvl w:val="1"/>
    </w:pPr>
    <w:rPr>
      <w:b/>
    </w:rPr>
  </w:style>
  <w:style w:type="paragraph" w:styleId="Nagwek3">
    <w:name w:val="heading 3"/>
    <w:basedOn w:val="Normalny"/>
    <w:next w:val="Normalny"/>
    <w:link w:val="Nagwek3Znak"/>
    <w:qFormat/>
    <w:pPr>
      <w:keepNext/>
      <w:ind w:left="-709"/>
      <w:outlineLvl w:val="2"/>
    </w:pPr>
    <w:rPr>
      <w:sz w:val="24"/>
    </w:rPr>
  </w:style>
  <w:style w:type="paragraph" w:styleId="Nagwek4">
    <w:name w:val="heading 4"/>
    <w:basedOn w:val="Normalny"/>
    <w:next w:val="Normalny"/>
    <w:link w:val="Nagwek4Znak"/>
    <w:unhideWhenUsed/>
    <w:qFormat/>
    <w:pPr>
      <w:keepNext/>
      <w:spacing w:before="240" w:after="60"/>
      <w:ind w:left="1985" w:hanging="567"/>
      <w:jc w:val="both"/>
      <w:outlineLvl w:val="3"/>
    </w:pPr>
    <w:rPr>
      <w:b/>
      <w:i/>
    </w:rPr>
  </w:style>
  <w:style w:type="paragraph" w:styleId="Nagwek5">
    <w:name w:val="heading 5"/>
    <w:basedOn w:val="Normalny"/>
    <w:next w:val="Normalny"/>
    <w:link w:val="Nagwek5Znak"/>
    <w:unhideWhenUsed/>
    <w:qFormat/>
    <w:pPr>
      <w:tabs>
        <w:tab w:val="num" w:pos="0"/>
      </w:tabs>
      <w:spacing w:before="60" w:after="60"/>
      <w:ind w:left="2693" w:hanging="708"/>
      <w:jc w:val="both"/>
      <w:outlineLvl w:val="4"/>
    </w:pPr>
  </w:style>
  <w:style w:type="paragraph" w:styleId="Nagwek6">
    <w:name w:val="heading 6"/>
    <w:basedOn w:val="Normalny"/>
    <w:next w:val="Normalny"/>
    <w:link w:val="Nagwek6Znak"/>
    <w:unhideWhenUsed/>
    <w:qFormat/>
    <w:pPr>
      <w:tabs>
        <w:tab w:val="num" w:pos="0"/>
      </w:tabs>
      <w:spacing w:before="240" w:after="60"/>
      <w:ind w:left="3401" w:hanging="708"/>
      <w:jc w:val="both"/>
      <w:outlineLvl w:val="5"/>
    </w:pPr>
    <w:rPr>
      <w:i/>
      <w:sz w:val="22"/>
    </w:rPr>
  </w:style>
  <w:style w:type="paragraph" w:styleId="Nagwek7">
    <w:name w:val="heading 7"/>
    <w:basedOn w:val="Normalny"/>
    <w:next w:val="Normalny"/>
    <w:link w:val="Nagwek7Znak"/>
    <w:unhideWhenUsed/>
    <w:qFormat/>
    <w:pPr>
      <w:tabs>
        <w:tab w:val="num" w:pos="0"/>
      </w:tabs>
      <w:spacing w:before="240" w:after="60"/>
      <w:ind w:left="4109" w:hanging="708"/>
      <w:jc w:val="both"/>
      <w:outlineLvl w:val="6"/>
    </w:pPr>
    <w:rPr>
      <w:rFonts w:ascii="Arial" w:hAnsi="Arial"/>
    </w:rPr>
  </w:style>
  <w:style w:type="paragraph" w:styleId="Nagwek8">
    <w:name w:val="heading 8"/>
    <w:basedOn w:val="Normalny"/>
    <w:next w:val="Normalny"/>
    <w:link w:val="Nagwek8Znak"/>
    <w:unhideWhenUsed/>
    <w:qFormat/>
    <w:pPr>
      <w:tabs>
        <w:tab w:val="num" w:pos="0"/>
      </w:tabs>
      <w:spacing w:before="240" w:after="60"/>
      <w:ind w:left="4817" w:hanging="708"/>
      <w:jc w:val="both"/>
      <w:outlineLvl w:val="7"/>
    </w:pPr>
    <w:rPr>
      <w:rFonts w:ascii="Arial" w:hAnsi="Arial"/>
      <w:i/>
    </w:rPr>
  </w:style>
  <w:style w:type="paragraph" w:styleId="Nagwek9">
    <w:name w:val="heading 9"/>
    <w:basedOn w:val="Normalny"/>
    <w:next w:val="Normalny"/>
    <w:link w:val="Nagwek9Znak"/>
    <w:unhideWhenUsed/>
    <w:qFormat/>
    <w:pPr>
      <w:tabs>
        <w:tab w:val="num" w:pos="0"/>
      </w:tabs>
      <w:spacing w:before="240" w:after="60"/>
      <w:ind w:left="5525" w:hanging="708"/>
      <w:jc w:val="both"/>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pPr>
      <w:jc w:val="both"/>
    </w:pPr>
  </w:style>
  <w:style w:type="paragraph" w:customStyle="1" w:styleId="StylIwony">
    <w:name w:val="Styl Iwony"/>
    <w:basedOn w:val="Standardowytekst"/>
    <w:pPr>
      <w:spacing w:before="120" w:after="120"/>
    </w:pPr>
    <w:rPr>
      <w:rFonts w:ascii="Bookman Old Style" w:hAnsi="Bookman Old Style"/>
      <w:sz w:val="24"/>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uiPriority w:val="99"/>
  </w:style>
  <w:style w:type="paragraph" w:customStyle="1" w:styleId="Tekstpodstawowy21">
    <w:name w:val="Tekst podstawowy 21"/>
    <w:basedOn w:val="Normalny"/>
    <w:pPr>
      <w:widowControl w:val="0"/>
      <w:tabs>
        <w:tab w:val="left" w:pos="-1440"/>
        <w:tab w:val="right" w:pos="-802"/>
      </w:tabs>
      <w:spacing w:before="144"/>
      <w:ind w:left="284" w:hanging="284"/>
    </w:pPr>
    <w:rPr>
      <w:rFonts w:ascii="Arial" w:hAnsi="Arial"/>
      <w:sz w:val="18"/>
    </w:rPr>
  </w:style>
  <w:style w:type="paragraph" w:customStyle="1" w:styleId="Plandokumentu">
    <w:name w:val="Plan dokumentu"/>
    <w:basedOn w:val="Normalny"/>
    <w:semiHidden/>
    <w:pPr>
      <w:shd w:val="clear" w:color="auto" w:fill="000080"/>
    </w:pPr>
    <w:rPr>
      <w:rFonts w:ascii="Tahoma" w:hAnsi="Tahoma"/>
    </w:rPr>
  </w:style>
  <w:style w:type="paragraph" w:customStyle="1" w:styleId="Tekstpodstawowywcity21">
    <w:name w:val="Tekst podstawowy wcięty 21"/>
    <w:basedOn w:val="Normalny"/>
    <w:pPr>
      <w:widowControl w:val="0"/>
      <w:tabs>
        <w:tab w:val="left" w:pos="-1440"/>
        <w:tab w:val="right" w:pos="-1368"/>
        <w:tab w:val="left" w:pos="720"/>
      </w:tabs>
      <w:ind w:left="709"/>
      <w:jc w:val="both"/>
    </w:pPr>
    <w:rPr>
      <w:sz w:val="24"/>
    </w:rPr>
  </w:style>
  <w:style w:type="paragraph" w:customStyle="1" w:styleId="Tekstpodstawowywcity31">
    <w:name w:val="Tekst podstawowy wcięty 31"/>
    <w:basedOn w:val="Normalny"/>
    <w:pPr>
      <w:widowControl w:val="0"/>
      <w:tabs>
        <w:tab w:val="right" w:pos="-1368"/>
        <w:tab w:val="left" w:pos="-677"/>
      </w:tabs>
      <w:ind w:left="709"/>
    </w:pPr>
    <w:rPr>
      <w:sz w:val="24"/>
    </w:rPr>
  </w:style>
  <w:style w:type="paragraph" w:customStyle="1" w:styleId="BodyText21">
    <w:name w:val="Body Text 21"/>
    <w:basedOn w:val="Normalny"/>
    <w:pPr>
      <w:widowControl w:val="0"/>
      <w:jc w:val="both"/>
    </w:pPr>
    <w:rPr>
      <w:b/>
      <w:sz w:val="24"/>
    </w:rPr>
  </w:style>
  <w:style w:type="paragraph" w:styleId="Tekstpodstawowywcity">
    <w:name w:val="Body Text Indent"/>
    <w:basedOn w:val="Normalny"/>
    <w:link w:val="TekstpodstawowywcityZnak"/>
    <w:pPr>
      <w:numPr>
        <w:ilvl w:val="12"/>
      </w:numPr>
      <w:ind w:left="-709"/>
      <w:jc w:val="both"/>
    </w:pPr>
    <w:rPr>
      <w:sz w:val="24"/>
    </w:rPr>
  </w:style>
  <w:style w:type="paragraph" w:styleId="Tekstpodstawowy">
    <w:name w:val="Body Text"/>
    <w:basedOn w:val="Normalny"/>
    <w:rPr>
      <w:sz w:val="24"/>
    </w:rPr>
  </w:style>
  <w:style w:type="paragraph" w:styleId="Tekstpodstawowywcity2">
    <w:name w:val="Body Text Indent 2"/>
    <w:basedOn w:val="Normalny"/>
    <w:link w:val="Tekstpodstawowywcity2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spacing w:line="288" w:lineRule="auto"/>
      <w:ind w:left="2700" w:hanging="2700"/>
    </w:pPr>
    <w:rPr>
      <w:noProof/>
      <w:sz w:val="24"/>
    </w:rPr>
  </w:style>
  <w:style w:type="paragraph" w:styleId="Tekstpodstawowywcity3">
    <w:name w:val="Body Text Indent 3"/>
    <w:basedOn w:val="Normalny"/>
    <w:link w:val="Tekstpodstawowywcity3Znak"/>
    <w:pPr>
      <w:tabs>
        <w:tab w:val="left" w:pos="-895"/>
        <w:tab w:val="left" w:pos="-175"/>
        <w:tab w:val="left" w:pos="545"/>
        <w:tab w:val="left" w:pos="1055"/>
        <w:tab w:val="left" w:pos="1265"/>
        <w:tab w:val="left" w:pos="1463"/>
        <w:tab w:val="left" w:pos="1667"/>
        <w:tab w:val="left" w:pos="1871"/>
        <w:tab w:val="left" w:pos="2075"/>
        <w:tab w:val="left" w:pos="2279"/>
        <w:tab w:val="left" w:pos="2483"/>
        <w:tab w:val="left" w:pos="2705"/>
        <w:tab w:val="left" w:pos="2891"/>
        <w:tab w:val="left" w:pos="3095"/>
        <w:tab w:val="left" w:pos="3299"/>
        <w:tab w:val="left" w:pos="3503"/>
        <w:tab w:val="left" w:pos="5033"/>
        <w:tab w:val="left" w:pos="5339"/>
        <w:tab w:val="left" w:pos="5645"/>
        <w:tab w:val="left" w:pos="5849"/>
        <w:tab w:val="left" w:pos="6053"/>
        <w:tab w:val="left" w:pos="6305"/>
        <w:tab w:val="left" w:pos="7025"/>
        <w:tab w:val="left" w:pos="7745"/>
        <w:tab w:val="left" w:pos="8465"/>
        <w:tab w:val="left" w:pos="9185"/>
        <w:tab w:val="left" w:pos="9905"/>
        <w:tab w:val="left" w:pos="10625"/>
        <w:tab w:val="left" w:pos="11345"/>
        <w:tab w:val="left" w:pos="12065"/>
        <w:tab w:val="left" w:pos="12785"/>
        <w:tab w:val="left" w:pos="13505"/>
        <w:tab w:val="left" w:pos="14225"/>
        <w:tab w:val="left" w:pos="14945"/>
        <w:tab w:val="left" w:pos="15665"/>
        <w:tab w:val="left" w:pos="16385"/>
        <w:tab w:val="left" w:pos="17105"/>
        <w:tab w:val="left" w:pos="17825"/>
        <w:tab w:val="left" w:pos="18545"/>
        <w:tab w:val="left" w:pos="19265"/>
      </w:tabs>
      <w:suppressAutoHyphens/>
      <w:ind w:left="2958" w:hanging="2958"/>
    </w:pPr>
    <w:rPr>
      <w:noProof/>
      <w:sz w:val="24"/>
    </w:rPr>
  </w:style>
  <w:style w:type="paragraph" w:styleId="Tekstkomentarza">
    <w:name w:val="annotation text"/>
    <w:basedOn w:val="Normalny"/>
    <w:link w:val="TekstkomentarzaZnak"/>
    <w:semiHidden/>
  </w:style>
  <w:style w:type="paragraph" w:styleId="Tekstpodstawowy2">
    <w:name w:val="Body Text 2"/>
    <w:basedOn w:val="Normalny"/>
    <w:link w:val="Tekstpodstawowy2Znak"/>
    <w:rPr>
      <w:sz w:val="24"/>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styleId="Tekstdymka">
    <w:name w:val="Balloon Text"/>
    <w:basedOn w:val="Normalny"/>
    <w:link w:val="TekstdymkaZnak"/>
    <w:rPr>
      <w:rFonts w:ascii="Tahoma" w:hAnsi="Tahoma" w:cs="Tahoma"/>
      <w:sz w:val="16"/>
      <w:szCs w:val="16"/>
    </w:rPr>
  </w:style>
  <w:style w:type="paragraph" w:styleId="Listapunktowana">
    <w:name w:val="List Bullet"/>
    <w:basedOn w:val="Normalny"/>
    <w:pPr>
      <w:spacing w:line="360" w:lineRule="auto"/>
      <w:ind w:left="360" w:hanging="360"/>
    </w:pPr>
    <w:rPr>
      <w:sz w:val="24"/>
    </w:rPr>
  </w:style>
  <w:style w:type="paragraph" w:customStyle="1" w:styleId="tekstost">
    <w:name w:val="tekst ost"/>
    <w:basedOn w:val="Normalny"/>
    <w:pPr>
      <w:overflowPunct w:val="0"/>
      <w:autoSpaceDE w:val="0"/>
      <w:autoSpaceDN w:val="0"/>
      <w:adjustRightInd w:val="0"/>
      <w:jc w:val="both"/>
      <w:textAlignment w:val="baseline"/>
    </w:pPr>
  </w:style>
  <w:style w:type="character" w:customStyle="1" w:styleId="Nagwek4Znak">
    <w:name w:val="Nagłówek 4 Znak"/>
    <w:link w:val="Nagwek4"/>
    <w:rPr>
      <w:b/>
      <w:i/>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Legenda">
    <w:name w:val="caption"/>
    <w:basedOn w:val="Normalny"/>
    <w:next w:val="Normalny"/>
    <w:qFormat/>
    <w:rPr>
      <w:b/>
      <w:bCs/>
    </w:rPr>
  </w:style>
  <w:style w:type="character" w:customStyle="1" w:styleId="LegendaZnak">
    <w:name w:val="Legenda Znak"/>
    <w:rPr>
      <w:b/>
      <w:bCs/>
      <w:lang w:val="pl-PL" w:eastAsia="pl-PL" w:bidi="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TekstpodstawowyZnak">
    <w:name w:val="Tekst podstawowy Znak"/>
    <w:rPr>
      <w:sz w:val="24"/>
    </w:rPr>
  </w:style>
  <w:style w:type="character" w:customStyle="1" w:styleId="Nagwek5Znak">
    <w:name w:val="Nagłówek 5 Znak"/>
    <w:basedOn w:val="Domylnaczcionkaakapitu"/>
    <w:link w:val="Nagwek5"/>
  </w:style>
  <w:style w:type="character" w:customStyle="1" w:styleId="Nagwek6Znak">
    <w:name w:val="Nagłówek 6 Znak"/>
    <w:link w:val="Nagwek6"/>
    <w:rPr>
      <w:i/>
      <w:sz w:val="22"/>
    </w:rPr>
  </w:style>
  <w:style w:type="character" w:customStyle="1" w:styleId="Nagwek7Znak">
    <w:name w:val="Nagłówek 7 Znak"/>
    <w:link w:val="Nagwek7"/>
    <w:rPr>
      <w:rFonts w:ascii="Arial" w:hAnsi="Arial"/>
    </w:rPr>
  </w:style>
  <w:style w:type="character" w:customStyle="1" w:styleId="Nagwek8Znak">
    <w:name w:val="Nagłówek 8 Znak"/>
    <w:link w:val="Nagwek8"/>
    <w:rPr>
      <w:rFonts w:ascii="Arial" w:hAnsi="Arial"/>
      <w:i/>
    </w:rPr>
  </w:style>
  <w:style w:type="character" w:customStyle="1" w:styleId="Nagwek9Znak">
    <w:name w:val="Nagłówek 9 Znak"/>
    <w:link w:val="Nagwek9"/>
    <w:rPr>
      <w:rFonts w:ascii="Arial" w:hAnsi="Arial"/>
      <w:b/>
      <w:i/>
      <w:sz w:val="18"/>
    </w:rPr>
  </w:style>
  <w:style w:type="table" w:customStyle="1" w:styleId="Tabela-Siatka1">
    <w:name w:val="Tabela - Siatka1"/>
    <w:basedOn w:val="Standardowy"/>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pPr>
      <w:spacing w:after="120"/>
    </w:pPr>
    <w:rPr>
      <w:sz w:val="16"/>
      <w:szCs w:val="16"/>
    </w:rPr>
  </w:style>
  <w:style w:type="character" w:customStyle="1" w:styleId="Tekstpodstawowy3Znak">
    <w:name w:val="Tekst podstawowy 3 Znak"/>
    <w:link w:val="Tekstpodstawowy3"/>
    <w:rPr>
      <w:sz w:val="16"/>
      <w:szCs w:val="16"/>
    </w:rPr>
  </w:style>
  <w:style w:type="table" w:customStyle="1" w:styleId="Tabela-Siatka11">
    <w:name w:val="Tabela - Siatka11"/>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semiHidden/>
  </w:style>
  <w:style w:type="paragraph" w:styleId="Listapunktowana2">
    <w:name w:val="List Bullet 2"/>
    <w:basedOn w:val="Normalny"/>
    <w:autoRedefine/>
    <w:pPr>
      <w:numPr>
        <w:numId w:val="2"/>
      </w:numPr>
    </w:pPr>
  </w:style>
  <w:style w:type="paragraph" w:styleId="Listapunktowana3">
    <w:name w:val="List Bullet 3"/>
    <w:basedOn w:val="Normalny"/>
    <w:autoRedefine/>
    <w:pPr>
      <w:numPr>
        <w:numId w:val="3"/>
      </w:numPr>
    </w:pPr>
  </w:style>
  <w:style w:type="paragraph" w:styleId="Listapunktowana4">
    <w:name w:val="List Bullet 4"/>
    <w:basedOn w:val="Normalny"/>
    <w:autoRedefine/>
    <w:pPr>
      <w:numPr>
        <w:numId w:val="4"/>
      </w:numPr>
    </w:pPr>
  </w:style>
  <w:style w:type="paragraph" w:styleId="Listapunktowana5">
    <w:name w:val="List Bullet 5"/>
    <w:basedOn w:val="Normalny"/>
    <w:autoRedefine/>
    <w:pPr>
      <w:numPr>
        <w:numId w:val="5"/>
      </w:numPr>
    </w:p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tabs>
        <w:tab w:val="num" w:pos="397"/>
      </w:tabs>
      <w:ind w:left="397" w:hanging="397"/>
    </w:pPr>
    <w:rPr>
      <w:rFonts w:ascii="Arial" w:hAnsi="Arial"/>
      <w:sz w:val="24"/>
    </w:rPr>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hAnsi="Courier New"/>
    </w:rPr>
  </w:style>
  <w:style w:type="paragraph" w:customStyle="1" w:styleId="Standardowytekst1">
    <w:name w:val="Standardowy.tekst1"/>
    <w:pPr>
      <w:overflowPunct w:val="0"/>
      <w:autoSpaceDE w:val="0"/>
      <w:autoSpaceDN w:val="0"/>
      <w:adjustRightInd w:val="0"/>
      <w:jc w:val="both"/>
      <w:textAlignment w:val="baseline"/>
    </w:pPr>
  </w:style>
  <w:style w:type="paragraph" w:styleId="Tytu">
    <w:name w:val="Title"/>
    <w:basedOn w:val="Normalny"/>
    <w:link w:val="TytuZnak"/>
    <w:qFormat/>
    <w:pPr>
      <w:tabs>
        <w:tab w:val="left" w:pos="0"/>
        <w:tab w:val="right" w:pos="8953"/>
      </w:tabs>
      <w:jc w:val="center"/>
    </w:pPr>
    <w:rPr>
      <w:b/>
      <w:sz w:val="24"/>
    </w:rPr>
  </w:style>
  <w:style w:type="character" w:customStyle="1" w:styleId="TytuZnak">
    <w:name w:val="Tytuł Znak"/>
    <w:link w:val="Tytu"/>
    <w:rPr>
      <w:b/>
      <w:sz w:val="24"/>
    </w:rPr>
  </w:style>
  <w:style w:type="paragraph" w:styleId="Spistreci1">
    <w:name w:val="toc 1"/>
    <w:basedOn w:val="Normalny"/>
    <w:next w:val="Normalny"/>
    <w:autoRedefine/>
    <w:semiHidden/>
    <w:pPr>
      <w:tabs>
        <w:tab w:val="right" w:leader="dot" w:pos="9060"/>
      </w:tabs>
    </w:pPr>
    <w:rPr>
      <w:noProof/>
      <w:szCs w:val="24"/>
    </w:rPr>
  </w:style>
  <w:style w:type="paragraph" w:styleId="Spistreci2">
    <w:name w:val="toc 2"/>
    <w:basedOn w:val="Normalny"/>
    <w:next w:val="Normalny"/>
    <w:autoRedefine/>
    <w:semiHidden/>
    <w:pPr>
      <w:tabs>
        <w:tab w:val="right" w:leader="dot" w:pos="9060"/>
      </w:tabs>
      <w:ind w:left="240"/>
    </w:pPr>
    <w:rPr>
      <w:noProof/>
      <w:szCs w:val="24"/>
    </w:rPr>
  </w:style>
  <w:style w:type="paragraph" w:styleId="Spistreci3">
    <w:name w:val="toc 3"/>
    <w:basedOn w:val="Normalny"/>
    <w:next w:val="Normalny"/>
    <w:autoRedefine/>
    <w:semiHidden/>
    <w:pPr>
      <w:ind w:left="480"/>
    </w:pPr>
    <w:rPr>
      <w:sz w:val="24"/>
      <w:szCs w:val="24"/>
    </w:rPr>
  </w:style>
  <w:style w:type="paragraph" w:styleId="Spistreci4">
    <w:name w:val="toc 4"/>
    <w:basedOn w:val="Normalny"/>
    <w:next w:val="Normalny"/>
    <w:autoRedefine/>
    <w:semiHidden/>
    <w:pPr>
      <w:ind w:left="720"/>
    </w:pPr>
    <w:rPr>
      <w:sz w:val="24"/>
      <w:szCs w:val="24"/>
    </w:rPr>
  </w:style>
  <w:style w:type="paragraph" w:styleId="Spistreci5">
    <w:name w:val="toc 5"/>
    <w:basedOn w:val="Normalny"/>
    <w:next w:val="Normalny"/>
    <w:autoRedefine/>
    <w:semiHidden/>
    <w:pPr>
      <w:ind w:left="960"/>
    </w:pPr>
    <w:rPr>
      <w:sz w:val="24"/>
      <w:szCs w:val="24"/>
    </w:rPr>
  </w:style>
  <w:style w:type="paragraph" w:styleId="Spistreci6">
    <w:name w:val="toc 6"/>
    <w:basedOn w:val="Normalny"/>
    <w:next w:val="Normalny"/>
    <w:autoRedefine/>
    <w:semiHidden/>
    <w:pPr>
      <w:ind w:left="1200"/>
    </w:pPr>
    <w:rPr>
      <w:sz w:val="24"/>
      <w:szCs w:val="24"/>
    </w:rPr>
  </w:style>
  <w:style w:type="paragraph" w:styleId="Spistreci7">
    <w:name w:val="toc 7"/>
    <w:basedOn w:val="Normalny"/>
    <w:next w:val="Normalny"/>
    <w:autoRedefine/>
    <w:semiHidden/>
    <w:pPr>
      <w:ind w:left="1440"/>
    </w:pPr>
    <w:rPr>
      <w:sz w:val="24"/>
      <w:szCs w:val="24"/>
    </w:rPr>
  </w:style>
  <w:style w:type="paragraph" w:styleId="Spistreci8">
    <w:name w:val="toc 8"/>
    <w:basedOn w:val="Normalny"/>
    <w:next w:val="Normalny"/>
    <w:autoRedefine/>
    <w:semiHidden/>
    <w:pPr>
      <w:ind w:left="1680"/>
    </w:pPr>
    <w:rPr>
      <w:sz w:val="24"/>
      <w:szCs w:val="24"/>
    </w:rPr>
  </w:style>
  <w:style w:type="paragraph" w:styleId="Spistreci9">
    <w:name w:val="toc 9"/>
    <w:basedOn w:val="Normalny"/>
    <w:next w:val="Normalny"/>
    <w:autoRedefine/>
    <w:semiHidden/>
    <w:pPr>
      <w:jc w:val="center"/>
    </w:pPr>
    <w:rPr>
      <w:b/>
      <w:snapToGrid w:val="0"/>
      <w:color w:val="000000"/>
      <w:sz w:val="24"/>
      <w:szCs w:val="24"/>
    </w:rPr>
  </w:style>
  <w:style w:type="character" w:styleId="Hipercze">
    <w:name w:val="Hyperlink"/>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style>
  <w:style w:type="character" w:customStyle="1" w:styleId="TekstprzypisudolnegoZnak">
    <w:name w:val="Tekst przypisu dolnego Znak"/>
    <w:basedOn w:val="Domylnaczcionkaakapitu"/>
    <w:link w:val="Tekstprzypisudolnego"/>
    <w:semiHidden/>
  </w:style>
  <w:style w:type="character" w:customStyle="1" w:styleId="StandardowytekstZnakZnakZnakZnakZnak">
    <w:name w:val="Standardowy.tekst Znak Znak Znak Znak Znak"/>
    <w:rPr>
      <w:noProof w:val="0"/>
      <w:lang w:val="pl-PL" w:eastAsia="pl-PL" w:bidi="ar-SA"/>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paragraph" w:customStyle="1" w:styleId="Zwykytekst1">
    <w:name w:val="Zwykły tekst1"/>
    <w:basedOn w:val="Normalny"/>
    <w:pPr>
      <w:suppressAutoHyphens/>
    </w:pPr>
    <w:rPr>
      <w:rFonts w:ascii="Courier New" w:hAnsi="Courier New"/>
      <w:lang w:eastAsia="ar-SA"/>
    </w:rPr>
  </w:style>
  <w:style w:type="paragraph" w:customStyle="1" w:styleId="Rysunek">
    <w:name w:val="Rysunek"/>
    <w:basedOn w:val="Normalny"/>
    <w:next w:val="Tekstpodstawowy"/>
    <w:pPr>
      <w:keepLines/>
      <w:tabs>
        <w:tab w:val="left" w:pos="-720"/>
      </w:tabs>
      <w:suppressAutoHyphens/>
      <w:overflowPunct w:val="0"/>
      <w:autoSpaceDE w:val="0"/>
      <w:autoSpaceDN w:val="0"/>
      <w:adjustRightInd w:val="0"/>
      <w:spacing w:before="260"/>
      <w:jc w:val="center"/>
      <w:textAlignment w:val="baseline"/>
    </w:pPr>
    <w:rPr>
      <w:b/>
      <w:noProof/>
      <w:sz w:val="24"/>
    </w:rPr>
  </w:style>
  <w:style w:type="character" w:customStyle="1" w:styleId="TekstdymkaZnak">
    <w:name w:val="Tekst dymka Znak"/>
    <w:link w:val="Tekstdymka"/>
    <w:rPr>
      <w:rFonts w:ascii="Tahoma" w:hAnsi="Tahoma" w:cs="Tahoma"/>
      <w:sz w:val="16"/>
      <w:szCs w:val="16"/>
    </w:rPr>
  </w:style>
  <w:style w:type="character" w:customStyle="1" w:styleId="Nagwek1Znak">
    <w:name w:val="Nagłówek 1 Znak"/>
    <w:link w:val="Nagwek1"/>
    <w:rPr>
      <w:b/>
      <w:caps/>
      <w:kern w:val="28"/>
    </w:rPr>
  </w:style>
  <w:style w:type="character" w:customStyle="1" w:styleId="Nagwek2Znak">
    <w:name w:val="Nagłówek 2 Znak"/>
    <w:link w:val="Nagwek2"/>
    <w:rPr>
      <w:b/>
    </w:rPr>
  </w:style>
  <w:style w:type="character" w:customStyle="1" w:styleId="Nagwek3Znak">
    <w:name w:val="Nagłówek 3 Znak"/>
    <w:link w:val="Nagwek3"/>
    <w:rPr>
      <w:sz w:val="24"/>
    </w:rPr>
  </w:style>
  <w:style w:type="character" w:customStyle="1" w:styleId="TekstpodstawowywcityZnak">
    <w:name w:val="Tekst podstawowy wcięty Znak"/>
    <w:link w:val="Tekstpodstawowywcity"/>
    <w:rPr>
      <w:sz w:val="24"/>
    </w:rPr>
  </w:style>
  <w:style w:type="character" w:customStyle="1" w:styleId="Tekstpodstawowywcity2Znak">
    <w:name w:val="Tekst podstawowy wcięty 2 Znak"/>
    <w:link w:val="Tekstpodstawowywcity2"/>
    <w:rPr>
      <w:noProof/>
      <w:sz w:val="24"/>
    </w:rPr>
  </w:style>
  <w:style w:type="character" w:customStyle="1" w:styleId="Tekstpodstawowy2Znak">
    <w:name w:val="Tekst podstawowy 2 Znak"/>
    <w:link w:val="Tekstpodstawowy2"/>
    <w:rPr>
      <w:sz w:val="24"/>
    </w:rPr>
  </w:style>
  <w:style w:type="character" w:customStyle="1" w:styleId="Tekstpodstawowywcity3Znak">
    <w:name w:val="Tekst podstawowy wcięty 3 Znak"/>
    <w:link w:val="Tekstpodstawowywcity3"/>
    <w:rPr>
      <w:noProof/>
      <w:sz w:val="24"/>
    </w:rPr>
  </w:style>
  <w:style w:type="character" w:customStyle="1" w:styleId="TekstkomentarzaZnak">
    <w:name w:val="Tekst komentarza Znak"/>
    <w:link w:val="Tekstkomentarza"/>
    <w:semiHidden/>
  </w:style>
  <w:style w:type="table" w:customStyle="1" w:styleId="Tabela-Siatka12">
    <w:name w:val="Tabela - Siatka12"/>
    <w:basedOn w:val="Standardowy"/>
    <w:next w:val="Tabela-Siatka"/>
    <w:uiPriority w:val="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4780">
      <w:bodyDiv w:val="1"/>
      <w:marLeft w:val="0"/>
      <w:marRight w:val="0"/>
      <w:marTop w:val="0"/>
      <w:marBottom w:val="0"/>
      <w:divBdr>
        <w:top w:val="none" w:sz="0" w:space="0" w:color="auto"/>
        <w:left w:val="none" w:sz="0" w:space="0" w:color="auto"/>
        <w:bottom w:val="none" w:sz="0" w:space="0" w:color="auto"/>
        <w:right w:val="none" w:sz="0" w:space="0" w:color="auto"/>
      </w:divBdr>
    </w:div>
    <w:div w:id="199123778">
      <w:bodyDiv w:val="1"/>
      <w:marLeft w:val="0"/>
      <w:marRight w:val="0"/>
      <w:marTop w:val="0"/>
      <w:marBottom w:val="0"/>
      <w:divBdr>
        <w:top w:val="none" w:sz="0" w:space="0" w:color="auto"/>
        <w:left w:val="none" w:sz="0" w:space="0" w:color="auto"/>
        <w:bottom w:val="none" w:sz="0" w:space="0" w:color="auto"/>
        <w:right w:val="none" w:sz="0" w:space="0" w:color="auto"/>
      </w:divBdr>
    </w:div>
    <w:div w:id="330959964">
      <w:bodyDiv w:val="1"/>
      <w:marLeft w:val="0"/>
      <w:marRight w:val="0"/>
      <w:marTop w:val="0"/>
      <w:marBottom w:val="0"/>
      <w:divBdr>
        <w:top w:val="none" w:sz="0" w:space="0" w:color="auto"/>
        <w:left w:val="none" w:sz="0" w:space="0" w:color="auto"/>
        <w:bottom w:val="none" w:sz="0" w:space="0" w:color="auto"/>
        <w:right w:val="none" w:sz="0" w:space="0" w:color="auto"/>
      </w:divBdr>
    </w:div>
    <w:div w:id="1000547524">
      <w:bodyDiv w:val="1"/>
      <w:marLeft w:val="0"/>
      <w:marRight w:val="0"/>
      <w:marTop w:val="0"/>
      <w:marBottom w:val="0"/>
      <w:divBdr>
        <w:top w:val="none" w:sz="0" w:space="0" w:color="auto"/>
        <w:left w:val="none" w:sz="0" w:space="0" w:color="auto"/>
        <w:bottom w:val="none" w:sz="0" w:space="0" w:color="auto"/>
        <w:right w:val="none" w:sz="0" w:space="0" w:color="auto"/>
      </w:divBdr>
    </w:div>
    <w:div w:id="1080247862">
      <w:bodyDiv w:val="1"/>
      <w:marLeft w:val="0"/>
      <w:marRight w:val="0"/>
      <w:marTop w:val="0"/>
      <w:marBottom w:val="0"/>
      <w:divBdr>
        <w:top w:val="none" w:sz="0" w:space="0" w:color="auto"/>
        <w:left w:val="none" w:sz="0" w:space="0" w:color="auto"/>
        <w:bottom w:val="none" w:sz="0" w:space="0" w:color="auto"/>
        <w:right w:val="none" w:sz="0" w:space="0" w:color="auto"/>
      </w:divBdr>
    </w:div>
    <w:div w:id="118470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DBC-9FD9-4C4E-940E-4870E294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6425</Words>
  <Characters>38551</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1</vt:lpstr>
    </vt:vector>
  </TitlesOfParts>
  <Company>Arcadis</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Hanna Radecka</dc:creator>
  <cp:lastModifiedBy>Sławomir Sabaj</cp:lastModifiedBy>
  <cp:revision>10</cp:revision>
  <cp:lastPrinted>2023-01-31T09:06:00Z</cp:lastPrinted>
  <dcterms:created xsi:type="dcterms:W3CDTF">2021-09-15T17:58:00Z</dcterms:created>
  <dcterms:modified xsi:type="dcterms:W3CDTF">2024-04-04T10:22:00Z</dcterms:modified>
</cp:coreProperties>
</file>