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6DE80" w14:textId="77777777" w:rsidR="00117296" w:rsidRDefault="00117296" w:rsidP="00117296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496AA" wp14:editId="3924BE44">
                <wp:simplePos x="0" y="0"/>
                <wp:positionH relativeFrom="column">
                  <wp:posOffset>4691381</wp:posOffset>
                </wp:positionH>
                <wp:positionV relativeFrom="paragraph">
                  <wp:posOffset>-4445</wp:posOffset>
                </wp:positionV>
                <wp:extent cx="887730" cy="540689"/>
                <wp:effectExtent l="0" t="0" r="26670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6BDE3" w14:textId="3346CD7D" w:rsidR="00CA5F69" w:rsidRDefault="00CA5F69" w:rsidP="00117296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X</w:t>
                            </w:r>
                            <w:r w:rsidR="00DA66FE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CF444B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8B73DF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5496AA" id="Prostokąt 5" o:spid="_x0000_s1026" style="position:absolute;left:0;text-align:left;margin-left:369.4pt;margin-top:-.35pt;width:69.9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" fillcolor="white [3201]" strokecolor="black [3213]" strokeweight=".25pt">
                <v:textbox>
                  <w:txbxContent>
                    <w:p w14:paraId="32C6BDE3" w14:textId="3346CD7D" w:rsidR="00CA5F69" w:rsidRDefault="00CA5F69" w:rsidP="00117296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X</w:t>
                      </w:r>
                      <w:r w:rsidR="00DA66FE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CF444B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8B73DF"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35D292B1" w14:textId="77777777" w:rsidR="00117296" w:rsidRDefault="00117296" w:rsidP="00117296">
      <w:pPr>
        <w:suppressAutoHyphens/>
        <w:spacing w:before="120" w:after="120" w:line="276" w:lineRule="auto"/>
        <w:contextualSpacing/>
        <w:jc w:val="center"/>
        <w:rPr>
          <w:rFonts w:ascii="Arial" w:hAnsi="Arial" w:cs="Arial"/>
          <w:b/>
          <w:kern w:val="3"/>
          <w:lang w:eastAsia="ar-SA"/>
        </w:rPr>
      </w:pPr>
    </w:p>
    <w:p w14:paraId="6A5260FF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75600886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0034007C" w14:textId="77777777" w:rsidR="00117296" w:rsidRDefault="00117296" w:rsidP="0011729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660335A4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42DAEF2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79D3E07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6614A4A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D6BD81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3D4ECB91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2E45D42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bookmarkStart w:id="0" w:name="_Hlk113533898"/>
      <w:r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bookmarkEnd w:id="0"/>
    <w:p w14:paraId="5DDA6FD0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2000594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86EB78A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A83F76E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13B8300C" w14:textId="77777777" w:rsidR="00117296" w:rsidRDefault="00117296" w:rsidP="00117296">
      <w:pPr>
        <w:spacing w:before="120" w:after="120" w:line="276" w:lineRule="auto"/>
        <w:contextualSpacing/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r w:rsidRPr="00117296">
        <w:rPr>
          <w:rFonts w:ascii="Arial" w:eastAsiaTheme="majorEastAsia" w:hAnsi="Arial" w:cs="Arial"/>
          <w:bCs/>
          <w:iCs/>
          <w:sz w:val="22"/>
          <w:szCs w:val="22"/>
        </w:rPr>
        <w:t>D-05.03.05</w:t>
      </w:r>
      <w:r>
        <w:rPr>
          <w:rFonts w:ascii="Arial" w:eastAsiaTheme="majorEastAsia" w:hAnsi="Arial" w:cs="Arial"/>
          <w:bCs/>
          <w:iCs/>
          <w:sz w:val="22"/>
          <w:szCs w:val="22"/>
        </w:rPr>
        <w:t>.</w:t>
      </w:r>
      <w:r w:rsidR="00D17FA7">
        <w:rPr>
          <w:rFonts w:ascii="Arial" w:eastAsiaTheme="majorEastAsia" w:hAnsi="Arial" w:cs="Arial"/>
          <w:bCs/>
          <w:iCs/>
          <w:sz w:val="22"/>
          <w:szCs w:val="22"/>
        </w:rPr>
        <w:t>a</w:t>
      </w:r>
    </w:p>
    <w:p w14:paraId="1C180438" w14:textId="77777777" w:rsidR="00384E2A" w:rsidRDefault="00384E2A" w:rsidP="00384E2A">
      <w:pPr>
        <w:tabs>
          <w:tab w:val="right" w:pos="9072"/>
        </w:tabs>
        <w:ind w:right="-108"/>
        <w:jc w:val="center"/>
        <w:rPr>
          <w:rFonts w:ascii="Arial" w:hAnsi="Arial" w:cs="Arial"/>
          <w:b/>
        </w:rPr>
      </w:pPr>
    </w:p>
    <w:p w14:paraId="6066933C" w14:textId="77777777" w:rsidR="00117296" w:rsidRPr="00384E2A" w:rsidRDefault="00117296" w:rsidP="00384E2A">
      <w:pPr>
        <w:tabs>
          <w:tab w:val="right" w:pos="9072"/>
        </w:tabs>
        <w:ind w:right="-108"/>
        <w:jc w:val="center"/>
        <w:rPr>
          <w:rFonts w:ascii="Arial" w:hAnsi="Arial" w:cs="Arial"/>
          <w:b/>
        </w:rPr>
      </w:pPr>
    </w:p>
    <w:p w14:paraId="5A2B5C28" w14:textId="77777777" w:rsidR="00CA5F69" w:rsidRDefault="00384E2A" w:rsidP="00DB7D16">
      <w:pPr>
        <w:spacing w:line="360" w:lineRule="auto"/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bookmarkStart w:id="1" w:name="_Toc343865966"/>
      <w:bookmarkStart w:id="2" w:name="_Toc414971072"/>
      <w:bookmarkStart w:id="3" w:name="_Toc438497704"/>
      <w:r w:rsidRPr="00117296">
        <w:rPr>
          <w:rFonts w:ascii="Arial" w:eastAsiaTheme="majorEastAsia" w:hAnsi="Arial" w:cs="Arial"/>
          <w:bCs/>
          <w:iCs/>
          <w:sz w:val="22"/>
          <w:szCs w:val="22"/>
        </w:rPr>
        <w:t xml:space="preserve">NAWIERZCHNIA Z BETONU ASFALTOWEGO. </w:t>
      </w:r>
    </w:p>
    <w:p w14:paraId="4C7B51EF" w14:textId="77777777" w:rsidR="00117296" w:rsidRDefault="00384E2A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  <w:r w:rsidRPr="00117296">
        <w:rPr>
          <w:rFonts w:ascii="Arial" w:eastAsiaTheme="majorEastAsia" w:hAnsi="Arial" w:cs="Arial"/>
          <w:bCs/>
          <w:iCs/>
          <w:sz w:val="22"/>
          <w:szCs w:val="22"/>
        </w:rPr>
        <w:t>WARSTWA WIĄŻĄCA</w:t>
      </w:r>
      <w:bookmarkEnd w:id="1"/>
      <w:bookmarkEnd w:id="2"/>
      <w:bookmarkEnd w:id="3"/>
      <w:r w:rsidR="00680AF4">
        <w:rPr>
          <w:rFonts w:ascii="Arial" w:eastAsiaTheme="majorEastAsia" w:hAnsi="Arial" w:cs="Arial"/>
          <w:bCs/>
          <w:iCs/>
          <w:sz w:val="22"/>
          <w:szCs w:val="22"/>
        </w:rPr>
        <w:t xml:space="preserve"> I WYRÓWNACZA</w:t>
      </w:r>
    </w:p>
    <w:p w14:paraId="32030AC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9C13CA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5417E28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C919F0B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8F530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A70C18F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2BE3D3A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73FAF56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1366B3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FBB988E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AD88AA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04C074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FC0FE9F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9F4F7F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5D8E51D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1CDA8073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57E797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005D0B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A24250A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7ADCB7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162B3F3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29E3B7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6B5BCA99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3B783A48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0E60A8D0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2D38E012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F8E85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CF5DDE4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F4E6BF0" w14:textId="77777777" w:rsidR="00E30CB1" w:rsidRDefault="00E30CB1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5E8FB68B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4A5AE2F7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1BC1E9DC" w14:textId="77777777" w:rsidR="00117296" w:rsidRDefault="00117296" w:rsidP="00117296">
      <w:pPr>
        <w:jc w:val="center"/>
        <w:rPr>
          <w:rFonts w:ascii="Arial" w:eastAsiaTheme="majorEastAsia" w:hAnsi="Arial" w:cs="Arial"/>
          <w:bCs/>
          <w:iCs/>
          <w:sz w:val="22"/>
          <w:szCs w:val="22"/>
        </w:rPr>
      </w:pPr>
    </w:p>
    <w:p w14:paraId="79356560" w14:textId="397D911F" w:rsidR="00117296" w:rsidRDefault="00CF444B" w:rsidP="0011729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>
        <w:rPr>
          <w:rFonts w:ascii="Arial" w:eastAsia="Arial Unicode MS" w:hAnsi="Arial" w:cs="Arial"/>
          <w:sz w:val="22"/>
          <w:szCs w:val="22"/>
          <w:lang w:val="pl" w:eastAsia="ar-SA"/>
        </w:rPr>
        <w:t>Grudzień</w:t>
      </w:r>
      <w:r w:rsidR="00A71BE8">
        <w:rPr>
          <w:rFonts w:ascii="Arial" w:eastAsia="Arial Unicode MS" w:hAnsi="Arial" w:cs="Arial"/>
          <w:sz w:val="22"/>
          <w:szCs w:val="22"/>
          <w:lang w:val="pl" w:eastAsia="ar-SA"/>
        </w:rPr>
        <w:t xml:space="preserve"> 2023</w:t>
      </w:r>
    </w:p>
    <w:p w14:paraId="107F0685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7429CC7E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0296F61D" w14:textId="77777777" w:rsidR="00D854D3" w:rsidRDefault="00D854D3" w:rsidP="00117296">
      <w:pPr>
        <w:rPr>
          <w:rFonts w:ascii="Arial" w:eastAsia="Arial Unicode MS" w:hAnsi="Arial" w:cs="Arial"/>
          <w:lang w:val="pl" w:eastAsia="ar-SA"/>
        </w:rPr>
      </w:pPr>
    </w:p>
    <w:p w14:paraId="746C5F38" w14:textId="77777777" w:rsidR="00D17FA7" w:rsidRDefault="00D17FA7" w:rsidP="00117296">
      <w:pPr>
        <w:rPr>
          <w:rFonts w:ascii="Arial" w:eastAsia="Arial Unicode MS" w:hAnsi="Arial" w:cs="Arial"/>
          <w:lang w:val="pl" w:eastAsia="ar-SA"/>
        </w:rPr>
      </w:pPr>
    </w:p>
    <w:p w14:paraId="7C8DD962" w14:textId="77777777" w:rsidR="00117296" w:rsidRDefault="00D854D3" w:rsidP="00117296">
      <w:pPr>
        <w:rPr>
          <w:rFonts w:ascii="Arial" w:eastAsia="Arial Unicode MS" w:hAnsi="Arial" w:cs="Arial"/>
          <w:lang w:val="pl" w:eastAsia="ar-SA"/>
        </w:rPr>
      </w:pPr>
      <w:r>
        <w:rPr>
          <w:rFonts w:ascii="Arial" w:eastAsia="Arial Unicode MS" w:hAnsi="Arial" w:cs="Arial"/>
          <w:lang w:val="pl" w:eastAsia="ar-SA"/>
        </w:rPr>
        <w:t>SPIS TREŚCI</w:t>
      </w:r>
      <w:r w:rsidR="00117296">
        <w:rPr>
          <w:rFonts w:ascii="Arial" w:eastAsia="Arial Unicode MS" w:hAnsi="Arial" w:cs="Arial"/>
          <w:lang w:val="pl" w:eastAsia="ar-SA"/>
        </w:rPr>
        <w:t>:</w:t>
      </w:r>
    </w:p>
    <w:p w14:paraId="68D9870D" w14:textId="77777777" w:rsidR="00117296" w:rsidRDefault="00117296" w:rsidP="00117296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C1EE0B3" w14:textId="77777777" w:rsidR="00D17FA7" w:rsidRDefault="00D17FA7" w:rsidP="00117296">
      <w:pPr>
        <w:spacing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79F3135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0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>1.WSTĘP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  <w:t>3</w:t>
        </w:r>
      </w:hyperlink>
    </w:p>
    <w:p w14:paraId="412F9399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6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2. MATERIAŁY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4</w:t>
        </w:r>
      </w:hyperlink>
    </w:p>
    <w:p w14:paraId="593E2A26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7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3. SPRZĘT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40E3DE47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39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4. TRANSPORT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5</w:t>
        </w:r>
      </w:hyperlink>
    </w:p>
    <w:p w14:paraId="00D327E8" w14:textId="77777777" w:rsidR="00117296" w:rsidRPr="00117296" w:rsidRDefault="00117296" w:rsidP="00117296">
      <w:pPr>
        <w:pStyle w:val="Spistreci1"/>
        <w:spacing w:before="0" w:line="276" w:lineRule="auto"/>
        <w:ind w:right="-1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117296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5. WYKONANIE ROBÓT </w:t>
      </w:r>
      <w:r w:rsidRPr="00117296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5807BD">
        <w:rPr>
          <w:rStyle w:val="Hipercze"/>
          <w:rFonts w:ascii="Arial" w:hAnsi="Arial" w:cs="Arial"/>
          <w:b w:val="0"/>
          <w:color w:val="000000" w:themeColor="text1"/>
          <w:u w:val="none"/>
        </w:rPr>
        <w:t>6</w:t>
      </w:r>
    </w:p>
    <w:p w14:paraId="3FAEA827" w14:textId="77777777" w:rsidR="00117296" w:rsidRPr="00117296" w:rsidRDefault="00117296" w:rsidP="00117296">
      <w:pPr>
        <w:pStyle w:val="Spistreci1"/>
        <w:spacing w:before="0" w:line="276" w:lineRule="auto"/>
        <w:ind w:right="-1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r w:rsidRPr="00117296">
        <w:rPr>
          <w:rStyle w:val="Hipercze"/>
          <w:rFonts w:ascii="Arial" w:hAnsi="Arial" w:cs="Arial"/>
          <w:b w:val="0"/>
          <w:color w:val="000000" w:themeColor="text1"/>
          <w:u w:val="none"/>
        </w:rPr>
        <w:t xml:space="preserve">6. KONTROLA JAKOŚCI ROBÓT </w:t>
      </w:r>
      <w:r w:rsidRPr="00117296">
        <w:rPr>
          <w:rStyle w:val="Hipercze"/>
          <w:rFonts w:ascii="Arial" w:hAnsi="Arial" w:cs="Arial"/>
          <w:b w:val="0"/>
          <w:webHidden/>
          <w:color w:val="000000" w:themeColor="text1"/>
          <w:u w:val="none"/>
        </w:rPr>
        <w:tab/>
      </w:r>
      <w:r w:rsidR="005807BD">
        <w:rPr>
          <w:rStyle w:val="Hipercze"/>
          <w:rFonts w:ascii="Arial" w:hAnsi="Arial" w:cs="Arial"/>
          <w:b w:val="0"/>
          <w:color w:val="000000" w:themeColor="text1"/>
          <w:u w:val="none"/>
        </w:rPr>
        <w:t>9</w:t>
      </w:r>
    </w:p>
    <w:p w14:paraId="2A75B4D7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6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7. OBMIAR ROBÓT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00A764CA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7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8. ODBIÓR ROBÓT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30D25434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rFonts w:ascii="Arial" w:hAnsi="Arial" w:cs="Arial"/>
          <w:b w:val="0"/>
          <w:color w:val="000000" w:themeColor="text1"/>
          <w:u w:val="none"/>
        </w:rPr>
      </w:pPr>
      <w:hyperlink w:anchor="_Toc34917748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9. PODSTAWA PŁATNOŚCI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0FF518ED" w14:textId="77777777" w:rsidR="00117296" w:rsidRPr="00117296" w:rsidRDefault="00000000" w:rsidP="00117296">
      <w:pPr>
        <w:pStyle w:val="Spistreci1"/>
        <w:spacing w:before="0" w:line="276" w:lineRule="auto"/>
        <w:rPr>
          <w:rStyle w:val="Hipercze"/>
          <w:color w:val="000000" w:themeColor="text1"/>
          <w:u w:val="none"/>
        </w:rPr>
      </w:pPr>
      <w:hyperlink w:anchor="_Toc34917750" w:history="1">
        <w:r w:rsidR="00117296" w:rsidRPr="00117296">
          <w:rPr>
            <w:rStyle w:val="Hipercze"/>
            <w:rFonts w:ascii="Arial" w:hAnsi="Arial" w:cs="Arial"/>
            <w:b w:val="0"/>
            <w:color w:val="000000" w:themeColor="text1"/>
            <w:u w:val="none"/>
          </w:rPr>
          <w:t xml:space="preserve">10. PRZEPISY ZWIĄZANE </w:t>
        </w:r>
        <w:r w:rsidR="00117296" w:rsidRPr="00117296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ab/>
        </w:r>
        <w:r w:rsidR="005807BD">
          <w:rPr>
            <w:rStyle w:val="Hipercze"/>
            <w:rFonts w:ascii="Arial" w:hAnsi="Arial" w:cs="Arial"/>
            <w:b w:val="0"/>
            <w:webHidden/>
            <w:color w:val="000000" w:themeColor="text1"/>
            <w:u w:val="none"/>
          </w:rPr>
          <w:t>12</w:t>
        </w:r>
      </w:hyperlink>
    </w:p>
    <w:p w14:paraId="48C9E665" w14:textId="77777777" w:rsidR="00384E2A" w:rsidRPr="00117296" w:rsidRDefault="00384E2A" w:rsidP="00117296">
      <w:pPr>
        <w:jc w:val="center"/>
        <w:rPr>
          <w:rFonts w:ascii="Arial" w:eastAsiaTheme="majorEastAsia" w:hAnsi="Arial" w:cs="Arial"/>
          <w:bCs/>
          <w:iCs/>
          <w:color w:val="000000" w:themeColor="text1"/>
          <w:sz w:val="22"/>
          <w:szCs w:val="22"/>
        </w:rPr>
      </w:pPr>
    </w:p>
    <w:p w14:paraId="04988BEC" w14:textId="77777777" w:rsidR="00384E2A" w:rsidRPr="00117296" w:rsidRDefault="00384E2A" w:rsidP="00384E2A">
      <w:pPr>
        <w:jc w:val="center"/>
        <w:rPr>
          <w:rFonts w:ascii="Arial" w:hAnsi="Arial" w:cs="Arial"/>
          <w:color w:val="000000" w:themeColor="text1"/>
        </w:rPr>
      </w:pPr>
    </w:p>
    <w:p w14:paraId="6B3C82A5" w14:textId="77777777" w:rsidR="00117296" w:rsidRDefault="00117296" w:rsidP="00F50DE8">
      <w:pPr>
        <w:pStyle w:val="TOMEK-NAGWEK3"/>
        <w:rPr>
          <w:rFonts w:ascii="Arial" w:hAnsi="Arial"/>
          <w:sz w:val="18"/>
          <w:szCs w:val="18"/>
        </w:rPr>
      </w:pPr>
      <w:bookmarkStart w:id="4" w:name="_Toc343865967"/>
      <w:bookmarkStart w:id="5" w:name="_Toc414971073"/>
      <w:bookmarkStart w:id="6" w:name="_Toc438497705"/>
      <w:r>
        <w:rPr>
          <w:rFonts w:ascii="Arial" w:hAnsi="Arial"/>
          <w:sz w:val="18"/>
          <w:szCs w:val="18"/>
        </w:rPr>
        <w:br w:type="page"/>
      </w:r>
    </w:p>
    <w:p w14:paraId="0B6CF0B3" w14:textId="77777777" w:rsidR="00F50DE8" w:rsidRPr="00AA65C4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AA65C4">
        <w:rPr>
          <w:rFonts w:ascii="Arial" w:hAnsi="Arial"/>
          <w:sz w:val="18"/>
          <w:szCs w:val="18"/>
        </w:rPr>
        <w:lastRenderedPageBreak/>
        <w:t xml:space="preserve">1.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A65C4">
        <w:rPr>
          <w:rFonts w:ascii="Arial" w:hAnsi="Arial"/>
          <w:sz w:val="18"/>
          <w:szCs w:val="18"/>
        </w:rPr>
        <w:t>WSTĘP</w:t>
      </w:r>
      <w:bookmarkEnd w:id="4"/>
      <w:bookmarkEnd w:id="5"/>
      <w:bookmarkEnd w:id="6"/>
    </w:p>
    <w:p w14:paraId="6D5AC722" w14:textId="77777777" w:rsidR="00F50DE8" w:rsidRPr="00AA65C4" w:rsidRDefault="00F50DE8" w:rsidP="00E30CB1">
      <w:pPr>
        <w:pStyle w:val="TOMEK-NAGWEK4"/>
        <w:spacing w:after="60"/>
        <w:ind w:left="0"/>
        <w:rPr>
          <w:rFonts w:ascii="Arial" w:hAnsi="Arial"/>
          <w:sz w:val="18"/>
          <w:szCs w:val="18"/>
        </w:rPr>
      </w:pPr>
      <w:r w:rsidRPr="00AA65C4">
        <w:rPr>
          <w:rFonts w:ascii="Arial" w:hAnsi="Arial"/>
          <w:sz w:val="18"/>
          <w:szCs w:val="18"/>
        </w:rPr>
        <w:t xml:space="preserve">1.1.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A65C4">
        <w:rPr>
          <w:rFonts w:ascii="Arial" w:hAnsi="Arial"/>
          <w:sz w:val="18"/>
          <w:szCs w:val="18"/>
        </w:rPr>
        <w:t>Przedmiot  STWiORB</w:t>
      </w:r>
    </w:p>
    <w:p w14:paraId="4E9667D3" w14:textId="77777777" w:rsidR="00F50DE8" w:rsidRPr="00AA65C4" w:rsidRDefault="00F50DE8" w:rsidP="008B73DF">
      <w:pPr>
        <w:pStyle w:val="Standardowytekst"/>
        <w:ind w:left="567"/>
        <w:rPr>
          <w:rFonts w:ascii="Arial" w:hAnsi="Arial" w:cs="Arial"/>
          <w:sz w:val="18"/>
          <w:szCs w:val="18"/>
        </w:rPr>
      </w:pPr>
      <w:r w:rsidRPr="00AA65C4">
        <w:rPr>
          <w:rFonts w:ascii="Arial" w:hAnsi="Arial" w:cs="Arial"/>
          <w:sz w:val="18"/>
          <w:szCs w:val="18"/>
        </w:rPr>
        <w:t xml:space="preserve">Przedmiotem niniejszej specyfikacji technicznej ( STWiORB) są wymagania dotyczące wykonania i odbioru robót związanych z wykonaniem warstwy wiążącej </w:t>
      </w:r>
      <w:r w:rsidR="00AE1367">
        <w:rPr>
          <w:rFonts w:ascii="Arial" w:hAnsi="Arial" w:cs="Arial"/>
          <w:sz w:val="18"/>
          <w:szCs w:val="18"/>
        </w:rPr>
        <w:t xml:space="preserve">i wyrównawczej </w:t>
      </w:r>
      <w:r w:rsidRPr="00AA65C4">
        <w:rPr>
          <w:rFonts w:ascii="Arial" w:hAnsi="Arial" w:cs="Arial"/>
          <w:sz w:val="18"/>
          <w:szCs w:val="18"/>
        </w:rPr>
        <w:t>z betonu asfaltowego w ramach zadania p.n.</w:t>
      </w:r>
    </w:p>
    <w:p w14:paraId="7B19E8E2" w14:textId="6A7CA610" w:rsidR="00F50DE8" w:rsidRDefault="008B73DF" w:rsidP="008B73DF">
      <w:pPr>
        <w:pStyle w:val="Tekstpodstawowywcity"/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spacing w:before="60" w:after="60"/>
        <w:ind w:firstLine="1"/>
        <w:jc w:val="left"/>
        <w:textAlignment w:val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„</w:t>
      </w:r>
      <w:r w:rsidRPr="008B73DF">
        <w:rPr>
          <w:rFonts w:ascii="Arial" w:eastAsia="Calibri" w:hAnsi="Arial" w:cs="Arial"/>
          <w:sz w:val="18"/>
          <w:szCs w:val="18"/>
        </w:rPr>
        <w:t>Przebudowa drogi gminnej wewnętrznej ul. Kopernika w jej pasie drogowym od km  0+000 do  km 0+350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8B73DF">
        <w:rPr>
          <w:rFonts w:ascii="Arial" w:eastAsia="Calibri" w:hAnsi="Arial" w:cs="Arial"/>
          <w:sz w:val="18"/>
          <w:szCs w:val="18"/>
        </w:rPr>
        <w:t>w miejscowości Radomyśl Wielki</w:t>
      </w:r>
      <w:r w:rsidR="00CF444B" w:rsidRPr="00CF444B">
        <w:rPr>
          <w:rFonts w:ascii="Arial" w:eastAsia="Calibri" w:hAnsi="Arial" w:cs="Arial"/>
          <w:sz w:val="18"/>
          <w:szCs w:val="18"/>
        </w:rPr>
        <w:t>;</w:t>
      </w:r>
      <w:r w:rsidR="00A71BE8" w:rsidRPr="00A71BE8">
        <w:rPr>
          <w:rFonts w:ascii="Arial" w:eastAsia="Calibri" w:hAnsi="Arial" w:cs="Arial"/>
          <w:sz w:val="18"/>
          <w:szCs w:val="18"/>
        </w:rPr>
        <w:t>”</w:t>
      </w:r>
      <w:r w:rsidR="00CA5F69" w:rsidRPr="00CA5F69">
        <w:rPr>
          <w:rFonts w:ascii="Arial" w:eastAsia="Calibri" w:hAnsi="Arial" w:cs="Arial"/>
          <w:sz w:val="18"/>
          <w:szCs w:val="18"/>
        </w:rPr>
        <w:t>.</w:t>
      </w:r>
    </w:p>
    <w:p w14:paraId="2C082123" w14:textId="77777777" w:rsidR="00CA5F69" w:rsidRPr="00E30CB1" w:rsidRDefault="00CA5F69" w:rsidP="00CA5F69">
      <w:pPr>
        <w:pStyle w:val="Tekstpodstawowywcity"/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spacing w:after="0"/>
        <w:ind w:left="0"/>
        <w:jc w:val="center"/>
        <w:textAlignment w:val="auto"/>
        <w:rPr>
          <w:rFonts w:ascii="Arial" w:hAnsi="Arial" w:cs="Arial"/>
          <w:b/>
          <w:sz w:val="18"/>
          <w:szCs w:val="18"/>
        </w:rPr>
      </w:pPr>
    </w:p>
    <w:p w14:paraId="4EEBF915" w14:textId="77777777" w:rsidR="00F50DE8" w:rsidRPr="00AA65C4" w:rsidRDefault="009B30EF" w:rsidP="00E30CB1">
      <w:pPr>
        <w:pStyle w:val="TOMEK-NAGWEK4"/>
        <w:spacing w:before="0" w:after="60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1.2.</w:t>
      </w:r>
      <w:r w:rsidR="00E30CB1">
        <w:rPr>
          <w:rFonts w:ascii="Arial" w:hAnsi="Arial"/>
          <w:sz w:val="18"/>
          <w:szCs w:val="18"/>
        </w:rPr>
        <w:t xml:space="preserve">      </w:t>
      </w:r>
      <w:r>
        <w:rPr>
          <w:rFonts w:ascii="Arial" w:hAnsi="Arial"/>
          <w:sz w:val="18"/>
          <w:szCs w:val="18"/>
        </w:rPr>
        <w:t>Zakres stosowania</w:t>
      </w:r>
      <w:r w:rsidR="00F50DE8" w:rsidRPr="00AA65C4">
        <w:rPr>
          <w:rFonts w:ascii="Arial" w:hAnsi="Arial"/>
          <w:sz w:val="18"/>
          <w:szCs w:val="18"/>
        </w:rPr>
        <w:t xml:space="preserve"> STWiORB</w:t>
      </w:r>
    </w:p>
    <w:p w14:paraId="4DBF6B67" w14:textId="77777777" w:rsidR="00F50DE8" w:rsidRPr="00AA65C4" w:rsidRDefault="00F50DE8" w:rsidP="00E30CB1">
      <w:pPr>
        <w:pStyle w:val="Tekstpodstawowy"/>
        <w:tabs>
          <w:tab w:val="clear" w:pos="1008"/>
        </w:tabs>
        <w:ind w:firstLine="567"/>
        <w:jc w:val="both"/>
        <w:rPr>
          <w:rFonts w:cs="Arial"/>
          <w:b w:val="0"/>
          <w:sz w:val="18"/>
          <w:szCs w:val="18"/>
        </w:rPr>
      </w:pPr>
      <w:r w:rsidRPr="00AA65C4">
        <w:rPr>
          <w:rFonts w:cs="Arial"/>
          <w:b w:val="0"/>
          <w:sz w:val="18"/>
          <w:szCs w:val="18"/>
        </w:rPr>
        <w:t xml:space="preserve"> STWiORB jest stosowana</w:t>
      </w:r>
      <w:r w:rsidR="009B30EF">
        <w:rPr>
          <w:rFonts w:cs="Arial"/>
          <w:b w:val="0"/>
          <w:sz w:val="18"/>
          <w:szCs w:val="18"/>
        </w:rPr>
        <w:t xml:space="preserve">, jako dokument przetargowy i kontraktowy przy zlecaniu </w:t>
      </w:r>
      <w:r w:rsidRPr="00AA65C4">
        <w:rPr>
          <w:rFonts w:cs="Arial"/>
          <w:b w:val="0"/>
          <w:sz w:val="18"/>
          <w:szCs w:val="18"/>
        </w:rPr>
        <w:t>i realizacji robót wymienionych w pkt 1.1.</w:t>
      </w:r>
    </w:p>
    <w:p w14:paraId="438820EA" w14:textId="77777777" w:rsidR="00F50DE8" w:rsidRPr="00AA65C4" w:rsidRDefault="009B30EF" w:rsidP="00384E2A">
      <w:pPr>
        <w:pStyle w:val="TOMEK-NAGWEK4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1.3. </w:t>
      </w:r>
      <w:r w:rsidR="00E30CB1">
        <w:rPr>
          <w:rFonts w:ascii="Arial" w:hAnsi="Arial"/>
          <w:sz w:val="18"/>
          <w:szCs w:val="18"/>
        </w:rPr>
        <w:t xml:space="preserve">     </w:t>
      </w:r>
      <w:r>
        <w:rPr>
          <w:rFonts w:ascii="Arial" w:hAnsi="Arial"/>
          <w:sz w:val="18"/>
          <w:szCs w:val="18"/>
        </w:rPr>
        <w:t xml:space="preserve">Zakres robót objętych </w:t>
      </w:r>
      <w:r w:rsidR="00F50DE8" w:rsidRPr="00AA65C4">
        <w:rPr>
          <w:rFonts w:ascii="Arial" w:hAnsi="Arial"/>
          <w:sz w:val="18"/>
          <w:szCs w:val="18"/>
        </w:rPr>
        <w:t>STWiORB</w:t>
      </w:r>
    </w:p>
    <w:p w14:paraId="58638A52" w14:textId="77777777" w:rsidR="0094558D" w:rsidRPr="00563CFD" w:rsidRDefault="0094558D" w:rsidP="0094558D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Ustalenia zawarte w niniejszej STWiORB dotyczą robót wymienionych w pkt. 1.1. i obejmują wykonanie  nawierzchni z betonu asfaltowego wg normy PN-EN 13108-1 oraz Wymagań Technicznych. WT-2 2014 część I</w:t>
      </w:r>
      <w:r>
        <w:rPr>
          <w:rFonts w:ascii="Arial" w:hAnsi="Arial" w:cs="Arial"/>
          <w:sz w:val="18"/>
          <w:szCs w:val="18"/>
        </w:rPr>
        <w:t>. Mieszanki mineralno-asfaltowe</w:t>
      </w:r>
      <w:r w:rsidRPr="00563CFD">
        <w:rPr>
          <w:rFonts w:ascii="Arial" w:hAnsi="Arial" w:cs="Arial"/>
          <w:sz w:val="18"/>
          <w:szCs w:val="18"/>
        </w:rPr>
        <w:t xml:space="preserve"> i WT-2 2016 część II. Wykonanie warstw nawierzchni asfaltowych. </w:t>
      </w:r>
    </w:p>
    <w:p w14:paraId="7DBE5968" w14:textId="77777777" w:rsidR="0094558D" w:rsidRPr="00563CFD" w:rsidRDefault="0094558D" w:rsidP="0094558D">
      <w:pPr>
        <w:ind w:firstLine="567"/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Dokładne informacje dotyczące zakresu wykonania robót, znajdują się w Dokumentacji Technicznej.</w:t>
      </w:r>
    </w:p>
    <w:p w14:paraId="0A78E106" w14:textId="77777777" w:rsidR="0094558D" w:rsidRPr="00563CFD" w:rsidRDefault="0094558D" w:rsidP="0094558D">
      <w:pPr>
        <w:rPr>
          <w:rFonts w:ascii="Arial" w:hAnsi="Arial" w:cs="Arial"/>
          <w:sz w:val="18"/>
          <w:szCs w:val="18"/>
        </w:rPr>
      </w:pPr>
      <w:r w:rsidRPr="00563CFD">
        <w:rPr>
          <w:rFonts w:ascii="Arial" w:hAnsi="Arial" w:cs="Arial"/>
          <w:sz w:val="18"/>
          <w:szCs w:val="18"/>
        </w:rPr>
        <w:t>Wykonawca Robót zobowiązany jest prowadzić Zakładową Kontrolę Produkcji ( ZKP) zgodnie z normą PN-EN 13108-21.</w:t>
      </w:r>
    </w:p>
    <w:p w14:paraId="5A5D4891" w14:textId="77777777" w:rsidR="00F50DE8" w:rsidRPr="0094558D" w:rsidRDefault="0094558D" w:rsidP="00AE1367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Należy z</w:t>
      </w:r>
      <w:r w:rsidR="00F50DE8" w:rsidRPr="0094558D">
        <w:rPr>
          <w:rFonts w:ascii="Arial" w:hAnsi="Arial" w:cs="Arial"/>
          <w:sz w:val="18"/>
          <w:szCs w:val="18"/>
        </w:rPr>
        <w:t>astosować mieszankę betonu asfaltowego o wymiarze D podaną w tablicy 1.</w:t>
      </w:r>
    </w:p>
    <w:p w14:paraId="47B5D504" w14:textId="77777777" w:rsidR="00F50DE8" w:rsidRPr="0094558D" w:rsidRDefault="00F50DE8" w:rsidP="00F50DE8">
      <w:pPr>
        <w:spacing w:before="60" w:after="6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1. Zastosowana mieszanka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286"/>
      </w:tblGrid>
      <w:tr w:rsidR="00F50DE8" w:rsidRPr="0094558D" w14:paraId="7F477C7B" w14:textId="77777777" w:rsidTr="00E30CB1">
        <w:trPr>
          <w:trHeight w:val="710"/>
          <w:jc w:val="center"/>
        </w:trPr>
        <w:tc>
          <w:tcPr>
            <w:tcW w:w="2122" w:type="dxa"/>
            <w:vAlign w:val="center"/>
          </w:tcPr>
          <w:p w14:paraId="25B9DB56" w14:textId="77777777" w:rsidR="00F50DE8" w:rsidRPr="0094558D" w:rsidRDefault="00F50DE8" w:rsidP="00E30CB1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Kategoria</w:t>
            </w:r>
            <w:r w:rsidR="00E30C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558D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5286" w:type="dxa"/>
            <w:vAlign w:val="center"/>
          </w:tcPr>
          <w:p w14:paraId="662046C2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Mieszanki o wymiarze D</w:t>
            </w:r>
            <w:r w:rsidRPr="0094558D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94558D">
              <w:rPr>
                <w:rFonts w:ascii="Arial" w:hAnsi="Arial" w:cs="Arial"/>
                <w:sz w:val="18"/>
                <w:szCs w:val="18"/>
              </w:rPr>
              <w:t>, mm</w:t>
            </w:r>
          </w:p>
        </w:tc>
      </w:tr>
      <w:tr w:rsidR="00F50DE8" w:rsidRPr="0094558D" w14:paraId="2DD8E376" w14:textId="77777777" w:rsidTr="00E30CB1">
        <w:trPr>
          <w:jc w:val="center"/>
        </w:trPr>
        <w:tc>
          <w:tcPr>
            <w:tcW w:w="2122" w:type="dxa"/>
          </w:tcPr>
          <w:p w14:paraId="747F6C1F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KR3</w:t>
            </w:r>
            <w:r w:rsidR="00CA5F69">
              <w:rPr>
                <w:rFonts w:ascii="Arial" w:hAnsi="Arial" w:cs="Arial"/>
                <w:sz w:val="18"/>
                <w:szCs w:val="18"/>
              </w:rPr>
              <w:t xml:space="preserve"> – KR4</w:t>
            </w:r>
          </w:p>
        </w:tc>
        <w:tc>
          <w:tcPr>
            <w:tcW w:w="5286" w:type="dxa"/>
          </w:tcPr>
          <w:p w14:paraId="5763E1C3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</w:tr>
    </w:tbl>
    <w:p w14:paraId="749AF5BD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</w:p>
    <w:p w14:paraId="77D2459F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94558D">
        <w:rPr>
          <w:rFonts w:ascii="Arial" w:hAnsi="Arial" w:cs="Arial"/>
          <w:sz w:val="18"/>
          <w:szCs w:val="18"/>
        </w:rPr>
        <w:t>Podział ze względu na wymiar największego kruszywa w mieszance.</w:t>
      </w:r>
    </w:p>
    <w:p w14:paraId="58C5EF9A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1.4.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Określenia podstawowe</w:t>
      </w:r>
    </w:p>
    <w:p w14:paraId="3C85D71D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Nawierzchnia</w:t>
      </w:r>
      <w:r w:rsidRPr="0094558D">
        <w:rPr>
          <w:rFonts w:ascii="Arial" w:hAnsi="Arial" w:cs="Arial"/>
          <w:sz w:val="18"/>
          <w:szCs w:val="18"/>
        </w:rPr>
        <w:t xml:space="preserve"> – konstrukcja składająca się z jednej lub kilku warstw służących do przejmowania i rozkładania obciążeń od ruchu pojazdów na podłoże.</w:t>
      </w:r>
    </w:p>
    <w:p w14:paraId="759A4A26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1.4.2.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Warstwa wiążąca</w:t>
      </w:r>
      <w:r w:rsidRPr="0094558D">
        <w:rPr>
          <w:rFonts w:ascii="Arial" w:hAnsi="Arial" w:cs="Arial"/>
          <w:sz w:val="18"/>
          <w:szCs w:val="18"/>
        </w:rPr>
        <w:t xml:space="preserve"> – warstwa nawierzchni między warstwą ścieralną a podbudową.</w:t>
      </w:r>
    </w:p>
    <w:p w14:paraId="3B1B931C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1.4.3.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Warstwa wyrównawcza</w:t>
      </w:r>
      <w:r w:rsidRPr="0094558D">
        <w:rPr>
          <w:rFonts w:ascii="Arial" w:hAnsi="Arial" w:cs="Arial"/>
          <w:sz w:val="18"/>
          <w:szCs w:val="18"/>
        </w:rPr>
        <w:t xml:space="preserve"> – warstwa o zmiennej grubości, ułożona na istniejącej warstwie w celu uzyskania odpowiedniego profilu potrzebnego do ułożenia kolejnej warstwy.</w:t>
      </w:r>
    </w:p>
    <w:p w14:paraId="2BE76407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1.4.4</w:t>
      </w:r>
      <w:r w:rsidRPr="00AE1367">
        <w:rPr>
          <w:rFonts w:ascii="Arial" w:hAnsi="Arial" w:cs="Arial"/>
          <w:b/>
          <w:sz w:val="18"/>
          <w:szCs w:val="18"/>
        </w:rPr>
        <w:t>.</w:t>
      </w:r>
      <w:r w:rsidR="004F3220" w:rsidRPr="00AE1367">
        <w:rPr>
          <w:rFonts w:ascii="Arial" w:hAnsi="Arial" w:cs="Arial"/>
          <w:b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Mieszanka mineralno-asfaltowa</w:t>
      </w:r>
      <w:r w:rsidRPr="0094558D">
        <w:rPr>
          <w:rFonts w:ascii="Arial" w:hAnsi="Arial" w:cs="Arial"/>
          <w:sz w:val="18"/>
          <w:szCs w:val="18"/>
        </w:rPr>
        <w:t xml:space="preserve"> – mieszanka kruszyw i lepiszcza asfaltowego.</w:t>
      </w:r>
    </w:p>
    <w:p w14:paraId="66F525A0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1.4.5.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Wymiar mieszanki mineralno-asfaltowej</w:t>
      </w:r>
      <w:r w:rsidRPr="0094558D">
        <w:rPr>
          <w:rFonts w:ascii="Arial" w:hAnsi="Arial" w:cs="Arial"/>
          <w:sz w:val="18"/>
          <w:szCs w:val="18"/>
        </w:rPr>
        <w:t xml:space="preserve"> – określenie mieszanki mineralno-asfaltowej, wyróżniające tę mieszankę ze zbioru mieszanek tego samego typu ze względu na największy wymiar kruszywa, np. wymiar 11 </w:t>
      </w:r>
      <w:r w:rsidR="0094558D" w:rsidRPr="0094558D">
        <w:rPr>
          <w:rFonts w:ascii="Arial" w:hAnsi="Arial" w:cs="Arial"/>
          <w:sz w:val="18"/>
          <w:szCs w:val="18"/>
        </w:rPr>
        <w:br/>
      </w:r>
      <w:r w:rsidRPr="0094558D">
        <w:rPr>
          <w:rFonts w:ascii="Arial" w:hAnsi="Arial" w:cs="Arial"/>
          <w:sz w:val="18"/>
          <w:szCs w:val="18"/>
        </w:rPr>
        <w:t xml:space="preserve">lub </w:t>
      </w:r>
      <w:r w:rsidR="0094558D" w:rsidRPr="0094558D">
        <w:rPr>
          <w:rFonts w:ascii="Arial" w:hAnsi="Arial" w:cs="Arial"/>
          <w:sz w:val="18"/>
          <w:szCs w:val="18"/>
        </w:rPr>
        <w:t>1</w:t>
      </w:r>
      <w:r w:rsidRPr="0094558D">
        <w:rPr>
          <w:rFonts w:ascii="Arial" w:hAnsi="Arial" w:cs="Arial"/>
          <w:sz w:val="18"/>
          <w:szCs w:val="18"/>
        </w:rPr>
        <w:t>6.</w:t>
      </w:r>
    </w:p>
    <w:p w14:paraId="65B15718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1.4.6.</w:t>
      </w:r>
      <w:r w:rsidR="004F3220">
        <w:rPr>
          <w:rFonts w:ascii="Arial" w:hAnsi="Arial" w:cs="Arial"/>
          <w:sz w:val="18"/>
          <w:szCs w:val="18"/>
        </w:rPr>
        <w:t>     </w:t>
      </w:r>
      <w:r w:rsidR="004F3220" w:rsidRPr="00AE1367">
        <w:rPr>
          <w:rFonts w:ascii="Arial" w:hAnsi="Arial" w:cs="Arial"/>
          <w:b/>
          <w:sz w:val="18"/>
          <w:szCs w:val="18"/>
        </w:rPr>
        <w:t>B</w:t>
      </w:r>
      <w:r w:rsidRPr="00AE1367">
        <w:rPr>
          <w:rFonts w:ascii="Arial" w:hAnsi="Arial" w:cs="Arial"/>
          <w:b/>
          <w:sz w:val="18"/>
          <w:szCs w:val="18"/>
        </w:rPr>
        <w:t>eton asfaltowy</w:t>
      </w:r>
      <w:r w:rsidRPr="0094558D">
        <w:rPr>
          <w:rFonts w:ascii="Arial" w:hAnsi="Arial" w:cs="Arial"/>
          <w:sz w:val="18"/>
          <w:szCs w:val="18"/>
        </w:rPr>
        <w:t xml:space="preserve"> – mieszanka mineralno-asfaltowa, w której kruszywo o uziarnieniu ciągłym lub nieciągłym tworzy strukturę wzajemnie klinującą się.</w:t>
      </w:r>
    </w:p>
    <w:p w14:paraId="5F672A1B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1.4.7.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Uziarnienie</w:t>
      </w:r>
      <w:r w:rsidRPr="0094558D">
        <w:rPr>
          <w:rFonts w:ascii="Arial" w:hAnsi="Arial" w:cs="Arial"/>
          <w:sz w:val="18"/>
          <w:szCs w:val="18"/>
        </w:rPr>
        <w:t xml:space="preserve"> – skład ziarnowy kruszywa, wyrażony w procentach masy ziaren przechodzących przez określony zestaw sit.</w:t>
      </w:r>
    </w:p>
    <w:p w14:paraId="13C7275A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1.4.8.</w:t>
      </w:r>
      <w:r w:rsidR="004F3220">
        <w:rPr>
          <w:rFonts w:ascii="Arial" w:hAnsi="Arial" w:cs="Arial"/>
          <w:sz w:val="18"/>
          <w:szCs w:val="18"/>
        </w:rPr>
        <w:t>     </w:t>
      </w:r>
      <w:r w:rsidRPr="00AE1367">
        <w:rPr>
          <w:rFonts w:ascii="Arial" w:hAnsi="Arial" w:cs="Arial"/>
          <w:b/>
          <w:sz w:val="18"/>
          <w:szCs w:val="18"/>
        </w:rPr>
        <w:t>Kategoria ruchu</w:t>
      </w:r>
      <w:r w:rsidRPr="0094558D">
        <w:rPr>
          <w:rFonts w:ascii="Arial" w:hAnsi="Arial" w:cs="Arial"/>
          <w:sz w:val="18"/>
          <w:szCs w:val="18"/>
        </w:rPr>
        <w:t xml:space="preserve"> – obciążenie drogi ruchem samochodowym, wyrażone w osiach obliczeniowych (100 kN) wg „Katalogu typowych konstrukcji nawierzchni podatnych i półsztywnych” GDDP-IBDiM [68].</w:t>
      </w:r>
    </w:p>
    <w:p w14:paraId="5A3D5D7E" w14:textId="77777777" w:rsidR="00F50DE8" w:rsidRPr="0094558D" w:rsidRDefault="004F3220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1.4.9.     </w:t>
      </w:r>
      <w:r w:rsidR="00F50DE8" w:rsidRPr="00AE1367">
        <w:rPr>
          <w:rFonts w:ascii="Arial" w:hAnsi="Arial" w:cs="Arial"/>
          <w:b/>
          <w:sz w:val="18"/>
          <w:szCs w:val="18"/>
        </w:rPr>
        <w:t>Wymiar kruszywa</w:t>
      </w:r>
      <w:r w:rsidR="00F50DE8" w:rsidRPr="0094558D">
        <w:rPr>
          <w:rFonts w:ascii="Arial" w:hAnsi="Arial" w:cs="Arial"/>
          <w:sz w:val="18"/>
          <w:szCs w:val="18"/>
        </w:rPr>
        <w:t xml:space="preserve"> – wielkość ziaren kruszywa, określona przez dolny (d) i górny (D) wymiar sita.</w:t>
      </w:r>
    </w:p>
    <w:p w14:paraId="7F3894A5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1.4.10.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Kruszywo grube</w:t>
      </w:r>
      <w:r w:rsidRPr="0094558D">
        <w:rPr>
          <w:rFonts w:ascii="Arial" w:hAnsi="Arial" w:cs="Arial"/>
          <w:sz w:val="18"/>
          <w:szCs w:val="18"/>
        </w:rPr>
        <w:t xml:space="preserve"> – kruszywo z ziaren o wymiarze: D ≤ 45 mm oraz d &gt; 2 mm.</w:t>
      </w:r>
    </w:p>
    <w:p w14:paraId="38AB7108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1.4.11.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Kruszywo drobne</w:t>
      </w:r>
      <w:r w:rsidRPr="0094558D">
        <w:rPr>
          <w:rFonts w:ascii="Arial" w:hAnsi="Arial" w:cs="Arial"/>
          <w:sz w:val="18"/>
          <w:szCs w:val="18"/>
        </w:rPr>
        <w:t xml:space="preserve"> – kruszywo z ziaren o wymiarze: D ≤ 2 mm, którego większa część pozostaje na sicie 0,063 mm.</w:t>
      </w:r>
    </w:p>
    <w:p w14:paraId="241C19BF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1.4.12.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Pył</w:t>
      </w:r>
      <w:r w:rsidRPr="0094558D">
        <w:rPr>
          <w:rFonts w:ascii="Arial" w:hAnsi="Arial" w:cs="Arial"/>
          <w:sz w:val="18"/>
          <w:szCs w:val="18"/>
        </w:rPr>
        <w:t xml:space="preserve"> – kruszywo z ziaren przechodzących przez sito 0,063 mm.</w:t>
      </w:r>
    </w:p>
    <w:p w14:paraId="6514860E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1.4.13.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Wypełniacz</w:t>
      </w:r>
      <w:r w:rsidRPr="0094558D">
        <w:rPr>
          <w:rFonts w:ascii="Arial" w:hAnsi="Arial" w:cs="Arial"/>
          <w:sz w:val="18"/>
          <w:szCs w:val="18"/>
        </w:rPr>
        <w:t xml:space="preserve"> – kruszywo, którego większa część przechodzi przez sito 0,063 mm. (Wypełniacz mieszany – kruszywo, które składa się z wypełniacza pochodzenia mineralnego i wodorotlenku wapnia. Wypełniacz dodany – wypełniacz pochodzenia mineralnego, wyprodukowany oddzielnie).</w:t>
      </w:r>
    </w:p>
    <w:p w14:paraId="5F67C6D6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1.4.14.</w:t>
      </w:r>
      <w:r w:rsidR="004F3220">
        <w:rPr>
          <w:rFonts w:ascii="Arial" w:hAnsi="Arial" w:cs="Arial"/>
          <w:sz w:val="18"/>
          <w:szCs w:val="18"/>
        </w:rPr>
        <w:t>   </w:t>
      </w:r>
      <w:r w:rsidRPr="00AE1367">
        <w:rPr>
          <w:rFonts w:ascii="Arial" w:hAnsi="Arial" w:cs="Arial"/>
          <w:b/>
          <w:sz w:val="18"/>
          <w:szCs w:val="18"/>
        </w:rPr>
        <w:t>Kationowa emulsja asfaltowa</w:t>
      </w:r>
      <w:r w:rsidRPr="0094558D">
        <w:rPr>
          <w:rFonts w:ascii="Arial" w:hAnsi="Arial" w:cs="Arial"/>
          <w:sz w:val="18"/>
          <w:szCs w:val="18"/>
        </w:rPr>
        <w:t xml:space="preserve"> – emulsja, w której emulgator nadaje dodatnie ładunki cząstkom zdyspergowanego asfaltu.</w:t>
      </w:r>
    </w:p>
    <w:p w14:paraId="2B43F455" w14:textId="77777777" w:rsidR="00F50DE8" w:rsidRPr="0094558D" w:rsidRDefault="00F50DE8" w:rsidP="004F3220">
      <w:pPr>
        <w:pStyle w:val="StylIwony"/>
        <w:spacing w:after="120"/>
        <w:ind w:left="709" w:hanging="709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lastRenderedPageBreak/>
        <w:t>1.4.15.</w:t>
      </w:r>
      <w:r w:rsidR="004F3220">
        <w:rPr>
          <w:rFonts w:ascii="Arial" w:hAnsi="Arial" w:cs="Arial"/>
          <w:sz w:val="18"/>
          <w:szCs w:val="18"/>
        </w:rPr>
        <w:t>   </w:t>
      </w:r>
      <w:r w:rsidRPr="0094558D">
        <w:rPr>
          <w:rFonts w:ascii="Arial" w:hAnsi="Arial" w:cs="Arial"/>
          <w:sz w:val="18"/>
          <w:szCs w:val="18"/>
        </w:rPr>
        <w:t>Pozostałe określenia podstawowe są zgodne z obowiązującymi, odpowiednimi polskimi normami i z definicjami podanymi w  STWiORB D-M-00.00.00 „Wymagania ogólne” pkt 1.4.</w:t>
      </w:r>
    </w:p>
    <w:p w14:paraId="69012CA1" w14:textId="77777777" w:rsidR="00F50DE8" w:rsidRPr="0094558D" w:rsidRDefault="00F50DE8" w:rsidP="0094558D">
      <w:pPr>
        <w:pStyle w:val="StylIwony"/>
        <w:spacing w:after="120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1.4.16.</w:t>
      </w:r>
      <w:r w:rsidR="004F3220">
        <w:rPr>
          <w:rFonts w:ascii="Arial" w:hAnsi="Arial" w:cs="Arial"/>
          <w:sz w:val="18"/>
          <w:szCs w:val="18"/>
        </w:rPr>
        <w:t>   </w:t>
      </w:r>
      <w:r w:rsidRPr="0094558D">
        <w:rPr>
          <w:rFonts w:ascii="Arial" w:hAnsi="Arial" w:cs="Arial"/>
          <w:sz w:val="18"/>
          <w:szCs w:val="18"/>
        </w:rPr>
        <w:t>Symbole i skróty dodatkowe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694"/>
      </w:tblGrid>
      <w:tr w:rsidR="00F50DE8" w:rsidRPr="0094558D" w14:paraId="72B03B25" w14:textId="77777777" w:rsidTr="00E30CB1">
        <w:trPr>
          <w:jc w:val="center"/>
        </w:trPr>
        <w:tc>
          <w:tcPr>
            <w:tcW w:w="817" w:type="dxa"/>
          </w:tcPr>
          <w:p w14:paraId="6D1A0ED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ACW</w:t>
            </w:r>
          </w:p>
        </w:tc>
        <w:tc>
          <w:tcPr>
            <w:tcW w:w="6694" w:type="dxa"/>
          </w:tcPr>
          <w:p w14:paraId="1BB7BBE7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beton asfaltowy do warstwy wiążącej i wyrównawczej</w:t>
            </w:r>
          </w:p>
        </w:tc>
      </w:tr>
      <w:tr w:rsidR="00F50DE8" w:rsidRPr="0094558D" w14:paraId="2E4E7775" w14:textId="77777777" w:rsidTr="00E30CB1">
        <w:trPr>
          <w:jc w:val="center"/>
        </w:trPr>
        <w:tc>
          <w:tcPr>
            <w:tcW w:w="817" w:type="dxa"/>
          </w:tcPr>
          <w:p w14:paraId="6DD9FD6A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PMB</w:t>
            </w:r>
          </w:p>
        </w:tc>
        <w:tc>
          <w:tcPr>
            <w:tcW w:w="6694" w:type="dxa"/>
          </w:tcPr>
          <w:p w14:paraId="5EDBB8D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polimeroasfalt,</w:t>
            </w:r>
          </w:p>
        </w:tc>
      </w:tr>
      <w:tr w:rsidR="00F50DE8" w:rsidRPr="0094558D" w14:paraId="5F74277F" w14:textId="77777777" w:rsidTr="00E30CB1">
        <w:trPr>
          <w:jc w:val="center"/>
        </w:trPr>
        <w:tc>
          <w:tcPr>
            <w:tcW w:w="817" w:type="dxa"/>
          </w:tcPr>
          <w:p w14:paraId="13498033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694" w:type="dxa"/>
          </w:tcPr>
          <w:p w14:paraId="05C7DCF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górny wymiar sita (przy określaniu wielkości ziaren kruszywa),</w:t>
            </w:r>
          </w:p>
        </w:tc>
      </w:tr>
      <w:tr w:rsidR="00F50DE8" w:rsidRPr="0094558D" w14:paraId="0E7B94DF" w14:textId="77777777" w:rsidTr="00E30CB1">
        <w:trPr>
          <w:jc w:val="center"/>
        </w:trPr>
        <w:tc>
          <w:tcPr>
            <w:tcW w:w="817" w:type="dxa"/>
          </w:tcPr>
          <w:p w14:paraId="061C2F7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6694" w:type="dxa"/>
          </w:tcPr>
          <w:p w14:paraId="0254E90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dolny wymiar sita (przy określaniu wielkości ziaren kruszywa),</w:t>
            </w:r>
          </w:p>
        </w:tc>
      </w:tr>
      <w:tr w:rsidR="00F50DE8" w:rsidRPr="0094558D" w14:paraId="05FA41B7" w14:textId="77777777" w:rsidTr="00E30CB1">
        <w:trPr>
          <w:jc w:val="center"/>
        </w:trPr>
        <w:tc>
          <w:tcPr>
            <w:tcW w:w="817" w:type="dxa"/>
          </w:tcPr>
          <w:p w14:paraId="360AE9C2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6694" w:type="dxa"/>
          </w:tcPr>
          <w:p w14:paraId="5BB6918A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kationowa emulsja asfaltowa,</w:t>
            </w:r>
          </w:p>
        </w:tc>
      </w:tr>
      <w:tr w:rsidR="00F50DE8" w:rsidRPr="0094558D" w14:paraId="735B0F01" w14:textId="77777777" w:rsidTr="00E30CB1">
        <w:trPr>
          <w:jc w:val="center"/>
        </w:trPr>
        <w:tc>
          <w:tcPr>
            <w:tcW w:w="817" w:type="dxa"/>
          </w:tcPr>
          <w:p w14:paraId="6CB7B024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NPD</w:t>
            </w:r>
          </w:p>
        </w:tc>
        <w:tc>
          <w:tcPr>
            <w:tcW w:w="6694" w:type="dxa"/>
          </w:tcPr>
          <w:p w14:paraId="5DED4ACA" w14:textId="77777777" w:rsidR="00F50DE8" w:rsidRPr="0094558D" w:rsidRDefault="00F50DE8" w:rsidP="0094558D">
            <w:pPr>
              <w:pStyle w:val="StylIwony"/>
              <w:ind w:left="113" w:hanging="113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 właściwość użytkowa nie określana (ang. No Performance Determined; producent może jej nie określać),</w:t>
            </w:r>
          </w:p>
        </w:tc>
      </w:tr>
      <w:tr w:rsidR="00F50DE8" w:rsidRPr="0094558D" w14:paraId="3CC32EC4" w14:textId="77777777" w:rsidTr="00E30CB1">
        <w:trPr>
          <w:jc w:val="center"/>
        </w:trPr>
        <w:tc>
          <w:tcPr>
            <w:tcW w:w="817" w:type="dxa"/>
          </w:tcPr>
          <w:p w14:paraId="075BA196" w14:textId="77777777" w:rsidR="00F50DE8" w:rsidRPr="0094558D" w:rsidRDefault="00F50DE8" w:rsidP="0094558D">
            <w:pPr>
              <w:pStyle w:val="StylIwony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TBR</w:t>
            </w:r>
          </w:p>
        </w:tc>
        <w:tc>
          <w:tcPr>
            <w:tcW w:w="6694" w:type="dxa"/>
          </w:tcPr>
          <w:p w14:paraId="6152B3A8" w14:textId="77777777" w:rsidR="00F50DE8" w:rsidRPr="0094558D" w:rsidRDefault="00F50DE8" w:rsidP="0094558D">
            <w:pPr>
              <w:pStyle w:val="StylIwony"/>
              <w:ind w:left="176" w:hanging="142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 do zadeklarowania (ang. To Be Reported; producent może dostarczyć odpowiednie informacje, jednak nie jest do tego zobowiązany),</w:t>
            </w:r>
          </w:p>
        </w:tc>
      </w:tr>
    </w:tbl>
    <w:p w14:paraId="26E5DCE9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1.5.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Ogólne wymagania dotyczące robót</w:t>
      </w:r>
    </w:p>
    <w:p w14:paraId="5B58A9F7" w14:textId="77777777" w:rsidR="00F50DE8" w:rsidRDefault="00F50DE8" w:rsidP="0094558D">
      <w:pPr>
        <w:pStyle w:val="StylIwony"/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Ogólne wymagania dotyczące robót podano w  STWiORB D-M-00.00.00 „Wymagania ogólne” [1] pkt 1.5.</w:t>
      </w:r>
    </w:p>
    <w:p w14:paraId="737D41F8" w14:textId="77777777" w:rsidR="00E30CB1" w:rsidRDefault="00E30CB1" w:rsidP="00E30CB1">
      <w:pPr>
        <w:pStyle w:val="Default"/>
      </w:pPr>
    </w:p>
    <w:p w14:paraId="2758ADBF" w14:textId="77777777" w:rsidR="00E30CB1" w:rsidRPr="00E30CB1" w:rsidRDefault="00E30CB1" w:rsidP="00E30CB1">
      <w:pPr>
        <w:pStyle w:val="Default"/>
      </w:pPr>
    </w:p>
    <w:p w14:paraId="100E4C89" w14:textId="77777777" w:rsidR="00F50DE8" w:rsidRPr="0094558D" w:rsidRDefault="00F50DE8" w:rsidP="00E30CB1">
      <w:pPr>
        <w:pStyle w:val="TOMEK-NAGWEK3"/>
        <w:spacing w:before="0" w:after="60"/>
        <w:rPr>
          <w:rFonts w:ascii="Arial" w:hAnsi="Arial"/>
          <w:sz w:val="18"/>
          <w:szCs w:val="18"/>
        </w:rPr>
      </w:pPr>
      <w:bookmarkStart w:id="7" w:name="_Toc343865968"/>
      <w:bookmarkStart w:id="8" w:name="_Toc414971074"/>
      <w:bookmarkStart w:id="9" w:name="_Toc438497706"/>
      <w:r w:rsidRPr="0094558D">
        <w:rPr>
          <w:rFonts w:ascii="Arial" w:hAnsi="Arial"/>
          <w:sz w:val="18"/>
          <w:szCs w:val="18"/>
        </w:rPr>
        <w:t>2.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94558D">
        <w:rPr>
          <w:rFonts w:ascii="Arial" w:hAnsi="Arial"/>
          <w:sz w:val="18"/>
          <w:szCs w:val="18"/>
        </w:rPr>
        <w:t xml:space="preserve"> MATERIAŁY</w:t>
      </w:r>
      <w:bookmarkEnd w:id="7"/>
      <w:bookmarkEnd w:id="8"/>
      <w:bookmarkEnd w:id="9"/>
    </w:p>
    <w:p w14:paraId="0F9AD693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>2.1.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 xml:space="preserve"> Ogólne wymagania dotyczące materiałów</w:t>
      </w:r>
    </w:p>
    <w:p w14:paraId="42267EB9" w14:textId="77777777" w:rsidR="00F50DE8" w:rsidRPr="0094558D" w:rsidRDefault="00F50DE8" w:rsidP="0094558D">
      <w:pPr>
        <w:pStyle w:val="StylIwony"/>
        <w:ind w:firstLine="567"/>
        <w:jc w:val="both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Ogólne wymagania dotyczące materiałów, ich pozyskiwania i składowania, podano w  STWiORB D-M-00.00.00 „Wymagania ogólne” [1] pkt 2.</w:t>
      </w:r>
    </w:p>
    <w:p w14:paraId="59D85752" w14:textId="77777777" w:rsidR="00F50DE8" w:rsidRPr="0094558D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94558D">
        <w:rPr>
          <w:rFonts w:ascii="Arial" w:hAnsi="Arial"/>
          <w:sz w:val="18"/>
          <w:szCs w:val="18"/>
        </w:rPr>
        <w:t xml:space="preserve">2.2.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94558D">
        <w:rPr>
          <w:rFonts w:ascii="Arial" w:hAnsi="Arial"/>
          <w:sz w:val="18"/>
          <w:szCs w:val="18"/>
        </w:rPr>
        <w:t>Lepiszcza asfaltowe</w:t>
      </w:r>
    </w:p>
    <w:p w14:paraId="5B9AD601" w14:textId="77777777" w:rsidR="00F50DE8" w:rsidRPr="0094558D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Należy stosować asfalty drogowe wg PN-EN 12591 [27]. Rodzaje stosowanych lepiszcz asfaltowych podano w tablicy 2. Oprócz lepiszcz wymienionych w tablicy 2 można stosować inne lepiszcza nienormowe według aprobat technicznych.</w:t>
      </w:r>
    </w:p>
    <w:p w14:paraId="5E10CFCF" w14:textId="77777777" w:rsidR="00F50DE8" w:rsidRPr="0094558D" w:rsidRDefault="00F50DE8" w:rsidP="00F50DE8">
      <w:pPr>
        <w:spacing w:before="60" w:after="60"/>
        <w:ind w:left="900" w:hanging="90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2. Zalecane lepiszcza asfaltowe do warstwy wiążącej i wyrównawczej z betonu asfaltowego</w:t>
      </w:r>
    </w:p>
    <w:tbl>
      <w:tblPr>
        <w:tblW w:w="7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604"/>
        <w:gridCol w:w="1980"/>
        <w:gridCol w:w="2543"/>
      </w:tblGrid>
      <w:tr w:rsidR="00F50DE8" w:rsidRPr="0094558D" w14:paraId="3315FF70" w14:textId="77777777" w:rsidTr="00CA5F69">
        <w:trPr>
          <w:jc w:val="center"/>
        </w:trPr>
        <w:tc>
          <w:tcPr>
            <w:tcW w:w="1673" w:type="dxa"/>
            <w:vMerge w:val="restart"/>
          </w:tcPr>
          <w:p w14:paraId="4601242C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Kategoria</w:t>
            </w:r>
          </w:p>
          <w:p w14:paraId="34D57C0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ruchu</w:t>
            </w:r>
          </w:p>
        </w:tc>
        <w:tc>
          <w:tcPr>
            <w:tcW w:w="1604" w:type="dxa"/>
            <w:vMerge w:val="restart"/>
          </w:tcPr>
          <w:p w14:paraId="7D03324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Mieszanka</w:t>
            </w:r>
          </w:p>
          <w:p w14:paraId="7EAC36D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ACS</w:t>
            </w:r>
          </w:p>
        </w:tc>
        <w:tc>
          <w:tcPr>
            <w:tcW w:w="4523" w:type="dxa"/>
            <w:gridSpan w:val="2"/>
          </w:tcPr>
          <w:p w14:paraId="2FC1A64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Gatunek lepiszcza </w:t>
            </w:r>
          </w:p>
        </w:tc>
      </w:tr>
      <w:tr w:rsidR="00F50DE8" w:rsidRPr="0094558D" w14:paraId="2E865F7A" w14:textId="77777777" w:rsidTr="00CA5F69">
        <w:trPr>
          <w:jc w:val="center"/>
        </w:trPr>
        <w:tc>
          <w:tcPr>
            <w:tcW w:w="1673" w:type="dxa"/>
            <w:vMerge/>
          </w:tcPr>
          <w:p w14:paraId="6DF5444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</w:tcPr>
          <w:p w14:paraId="75483FE9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6FC8C6C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asfalt drogowy</w:t>
            </w:r>
          </w:p>
        </w:tc>
        <w:tc>
          <w:tcPr>
            <w:tcW w:w="2543" w:type="dxa"/>
          </w:tcPr>
          <w:p w14:paraId="047F9BBD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polimeroasfalt</w:t>
            </w:r>
          </w:p>
        </w:tc>
      </w:tr>
      <w:tr w:rsidR="00F50DE8" w:rsidRPr="0094558D" w14:paraId="4C6EF563" w14:textId="77777777" w:rsidTr="00CA5F69">
        <w:trPr>
          <w:jc w:val="center"/>
        </w:trPr>
        <w:tc>
          <w:tcPr>
            <w:tcW w:w="1673" w:type="dxa"/>
          </w:tcPr>
          <w:p w14:paraId="74099F89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KR3 </w:t>
            </w:r>
            <w:r w:rsidR="00CA5F69">
              <w:rPr>
                <w:rFonts w:ascii="Arial" w:hAnsi="Arial" w:cs="Arial"/>
                <w:sz w:val="18"/>
                <w:szCs w:val="18"/>
              </w:rPr>
              <w:t>– KR4</w:t>
            </w:r>
          </w:p>
        </w:tc>
        <w:tc>
          <w:tcPr>
            <w:tcW w:w="1604" w:type="dxa"/>
          </w:tcPr>
          <w:p w14:paraId="303A5144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  <w:tc>
          <w:tcPr>
            <w:tcW w:w="1980" w:type="dxa"/>
          </w:tcPr>
          <w:p w14:paraId="484C7957" w14:textId="77777777" w:rsidR="00F50DE8" w:rsidRPr="0094558D" w:rsidRDefault="00F50DE8" w:rsidP="0094558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14:paraId="38D7DE11" w14:textId="77777777" w:rsidR="00F50DE8" w:rsidRPr="0094558D" w:rsidRDefault="00F50DE8" w:rsidP="0094558D">
            <w:pPr>
              <w:spacing w:before="40" w:after="4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57C8AE2E" w14:textId="77777777" w:rsidR="00F50DE8" w:rsidRPr="0094558D" w:rsidRDefault="00F50DE8" w:rsidP="00F50DE8">
      <w:pPr>
        <w:ind w:left="993" w:hanging="993"/>
        <w:rPr>
          <w:rFonts w:ascii="Arial" w:hAnsi="Arial" w:cs="Arial"/>
          <w:sz w:val="18"/>
          <w:szCs w:val="18"/>
        </w:rPr>
      </w:pPr>
    </w:p>
    <w:p w14:paraId="48CF0509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 xml:space="preserve">Asfalty drogowe powinny spełniać wymagania podane w tablicy 3. </w:t>
      </w:r>
    </w:p>
    <w:p w14:paraId="4900FA71" w14:textId="77777777" w:rsidR="00F50DE8" w:rsidRPr="0094558D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>Tablica 3. Wymagania wobec asfaltów drogowych wg PN-EN 12591 [27]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1984"/>
        <w:gridCol w:w="1733"/>
      </w:tblGrid>
      <w:tr w:rsidR="00F50DE8" w:rsidRPr="0094558D" w14:paraId="7BA0C518" w14:textId="77777777" w:rsidTr="00E30CB1">
        <w:trPr>
          <w:jc w:val="center"/>
        </w:trPr>
        <w:tc>
          <w:tcPr>
            <w:tcW w:w="534" w:type="dxa"/>
            <w:vMerge w:val="restart"/>
            <w:vAlign w:val="center"/>
          </w:tcPr>
          <w:p w14:paraId="4594A88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731216F6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984" w:type="dxa"/>
            <w:vMerge w:val="restart"/>
            <w:vAlign w:val="center"/>
          </w:tcPr>
          <w:p w14:paraId="1807C5FE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Metoda</w:t>
            </w:r>
          </w:p>
          <w:p w14:paraId="7D43670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badania</w:t>
            </w:r>
          </w:p>
        </w:tc>
        <w:tc>
          <w:tcPr>
            <w:tcW w:w="1733" w:type="dxa"/>
          </w:tcPr>
          <w:p w14:paraId="1DD47BDE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Rodzaj asfaltu</w:t>
            </w:r>
          </w:p>
        </w:tc>
      </w:tr>
      <w:tr w:rsidR="00F50DE8" w:rsidRPr="0094558D" w14:paraId="29F3589D" w14:textId="77777777" w:rsidTr="00E30CB1">
        <w:trPr>
          <w:jc w:val="center"/>
        </w:trPr>
        <w:tc>
          <w:tcPr>
            <w:tcW w:w="534" w:type="dxa"/>
            <w:vMerge/>
          </w:tcPr>
          <w:p w14:paraId="61B6149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vMerge/>
          </w:tcPr>
          <w:p w14:paraId="213FD96B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984901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3" w:type="dxa"/>
          </w:tcPr>
          <w:p w14:paraId="5D97F73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50/70</w:t>
            </w:r>
          </w:p>
        </w:tc>
      </w:tr>
      <w:tr w:rsidR="00F50DE8" w:rsidRPr="0094558D" w14:paraId="1AFB7A16" w14:textId="77777777" w:rsidTr="00E30CB1">
        <w:trPr>
          <w:jc w:val="center"/>
        </w:trPr>
        <w:tc>
          <w:tcPr>
            <w:tcW w:w="7511" w:type="dxa"/>
            <w:gridSpan w:val="5"/>
          </w:tcPr>
          <w:p w14:paraId="779B46E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 OBLIGATORYJNE</w:t>
            </w:r>
          </w:p>
        </w:tc>
      </w:tr>
      <w:tr w:rsidR="00F50DE8" w:rsidRPr="0094558D" w14:paraId="1C36000D" w14:textId="77777777" w:rsidTr="00E30CB1">
        <w:trPr>
          <w:jc w:val="center"/>
        </w:trPr>
        <w:tc>
          <w:tcPr>
            <w:tcW w:w="534" w:type="dxa"/>
          </w:tcPr>
          <w:p w14:paraId="3C876F24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32BF870E" w14:textId="77777777" w:rsidR="00F50DE8" w:rsidRPr="0094558D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Penetracja w 25°C</w:t>
            </w:r>
          </w:p>
        </w:tc>
        <w:tc>
          <w:tcPr>
            <w:tcW w:w="851" w:type="dxa"/>
          </w:tcPr>
          <w:p w14:paraId="78ACE8CB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0,1 mm</w:t>
            </w:r>
          </w:p>
        </w:tc>
        <w:tc>
          <w:tcPr>
            <w:tcW w:w="1984" w:type="dxa"/>
          </w:tcPr>
          <w:p w14:paraId="1C6BA33E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733" w:type="dxa"/>
          </w:tcPr>
          <w:p w14:paraId="68623FC9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50÷70</w:t>
            </w:r>
          </w:p>
        </w:tc>
      </w:tr>
      <w:tr w:rsidR="00F50DE8" w:rsidRPr="0094558D" w14:paraId="712ACB54" w14:textId="77777777" w:rsidTr="00E30CB1">
        <w:trPr>
          <w:jc w:val="center"/>
        </w:trPr>
        <w:tc>
          <w:tcPr>
            <w:tcW w:w="534" w:type="dxa"/>
          </w:tcPr>
          <w:p w14:paraId="5EACBA21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236D61CD" w14:textId="77777777" w:rsidR="00F50DE8" w:rsidRPr="0094558D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Temperatura mięknienia</w:t>
            </w:r>
          </w:p>
        </w:tc>
        <w:tc>
          <w:tcPr>
            <w:tcW w:w="851" w:type="dxa"/>
          </w:tcPr>
          <w:p w14:paraId="364DB8D6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5EB8A888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6D264B7C" w14:textId="77777777" w:rsidR="00F50DE8" w:rsidRPr="0094558D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46÷54</w:t>
            </w:r>
          </w:p>
        </w:tc>
      </w:tr>
      <w:tr w:rsidR="00F50DE8" w:rsidRPr="0094558D" w14:paraId="1E1037CA" w14:textId="77777777" w:rsidTr="00E30CB1">
        <w:trPr>
          <w:jc w:val="center"/>
        </w:trPr>
        <w:tc>
          <w:tcPr>
            <w:tcW w:w="534" w:type="dxa"/>
          </w:tcPr>
          <w:p w14:paraId="11C75C5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282D3A36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Temperatura zapłonu, </w:t>
            </w:r>
          </w:p>
          <w:p w14:paraId="6A1EF89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851" w:type="dxa"/>
          </w:tcPr>
          <w:p w14:paraId="4133A3EE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7524AA97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22592 [62]</w:t>
            </w:r>
          </w:p>
        </w:tc>
        <w:tc>
          <w:tcPr>
            <w:tcW w:w="1733" w:type="dxa"/>
          </w:tcPr>
          <w:p w14:paraId="1AB1477D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</w:tr>
      <w:tr w:rsidR="00F50DE8" w:rsidRPr="0094558D" w14:paraId="63CDF1E3" w14:textId="77777777" w:rsidTr="00E30CB1">
        <w:trPr>
          <w:jc w:val="center"/>
        </w:trPr>
        <w:tc>
          <w:tcPr>
            <w:tcW w:w="534" w:type="dxa"/>
          </w:tcPr>
          <w:p w14:paraId="6F390EC1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14:paraId="7AF8022A" w14:textId="77777777" w:rsidR="00F50DE8" w:rsidRPr="0094558D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Zawartość składników rozpuszczalnych, </w:t>
            </w:r>
          </w:p>
          <w:p w14:paraId="1777EF6F" w14:textId="77777777" w:rsidR="00F50DE8" w:rsidRPr="0094558D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mniej niż</w:t>
            </w:r>
          </w:p>
        </w:tc>
        <w:tc>
          <w:tcPr>
            <w:tcW w:w="851" w:type="dxa"/>
          </w:tcPr>
          <w:p w14:paraId="6F2937A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48388A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1984" w:type="dxa"/>
          </w:tcPr>
          <w:p w14:paraId="3CADD52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D837C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12592 [28]</w:t>
            </w:r>
          </w:p>
        </w:tc>
        <w:tc>
          <w:tcPr>
            <w:tcW w:w="1733" w:type="dxa"/>
          </w:tcPr>
          <w:p w14:paraId="48DFAC1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DB0657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F12B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99</w:t>
            </w:r>
          </w:p>
        </w:tc>
      </w:tr>
      <w:tr w:rsidR="00F50DE8" w:rsidRPr="0094558D" w14:paraId="040BC7E1" w14:textId="77777777" w:rsidTr="00E30CB1">
        <w:trPr>
          <w:jc w:val="center"/>
        </w:trPr>
        <w:tc>
          <w:tcPr>
            <w:tcW w:w="534" w:type="dxa"/>
          </w:tcPr>
          <w:p w14:paraId="6EC57185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09" w:type="dxa"/>
          </w:tcPr>
          <w:p w14:paraId="27A0F64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Zmiana masy po starzeniu (ubytek lub przyrost), </w:t>
            </w:r>
          </w:p>
          <w:p w14:paraId="6514B81D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851" w:type="dxa"/>
          </w:tcPr>
          <w:p w14:paraId="66E824D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988E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 m/m</w:t>
            </w:r>
          </w:p>
        </w:tc>
        <w:tc>
          <w:tcPr>
            <w:tcW w:w="1984" w:type="dxa"/>
          </w:tcPr>
          <w:p w14:paraId="1E6595A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2B073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12607-1 [31]</w:t>
            </w:r>
          </w:p>
        </w:tc>
        <w:tc>
          <w:tcPr>
            <w:tcW w:w="1733" w:type="dxa"/>
          </w:tcPr>
          <w:p w14:paraId="1FC02012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9B25A3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FFA28C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F50DE8" w:rsidRPr="0094558D" w14:paraId="0123BBA1" w14:textId="77777777" w:rsidTr="00E30CB1">
        <w:trPr>
          <w:jc w:val="center"/>
        </w:trPr>
        <w:tc>
          <w:tcPr>
            <w:tcW w:w="534" w:type="dxa"/>
          </w:tcPr>
          <w:p w14:paraId="52FFAF3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409" w:type="dxa"/>
          </w:tcPr>
          <w:p w14:paraId="35F2D9AE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Pozostała penetracja po starzeniu, nie mniej niż</w:t>
            </w:r>
          </w:p>
        </w:tc>
        <w:tc>
          <w:tcPr>
            <w:tcW w:w="851" w:type="dxa"/>
          </w:tcPr>
          <w:p w14:paraId="4095C13A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984" w:type="dxa"/>
          </w:tcPr>
          <w:p w14:paraId="4C229FD1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1426 [21]</w:t>
            </w:r>
          </w:p>
        </w:tc>
        <w:tc>
          <w:tcPr>
            <w:tcW w:w="1733" w:type="dxa"/>
          </w:tcPr>
          <w:p w14:paraId="6759F54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94558D" w14:paraId="55EEF2D1" w14:textId="77777777" w:rsidTr="00E30CB1">
        <w:trPr>
          <w:jc w:val="center"/>
        </w:trPr>
        <w:tc>
          <w:tcPr>
            <w:tcW w:w="534" w:type="dxa"/>
          </w:tcPr>
          <w:p w14:paraId="52E1B540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09" w:type="dxa"/>
          </w:tcPr>
          <w:p w14:paraId="37F34712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Temperatura mięknienia po starzeniu, nie mniej niż</w:t>
            </w:r>
          </w:p>
        </w:tc>
        <w:tc>
          <w:tcPr>
            <w:tcW w:w="851" w:type="dxa"/>
          </w:tcPr>
          <w:p w14:paraId="0AFA5549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40A6798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4D913018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F50DE8" w:rsidRPr="0094558D" w14:paraId="7908C46C" w14:textId="77777777" w:rsidTr="00E30CB1">
        <w:trPr>
          <w:jc w:val="center"/>
        </w:trPr>
        <w:tc>
          <w:tcPr>
            <w:tcW w:w="7511" w:type="dxa"/>
            <w:gridSpan w:val="5"/>
          </w:tcPr>
          <w:p w14:paraId="4AE61D8F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WŁAŚCIWOŚCI SPECJALNE KRAJOWE</w:t>
            </w:r>
          </w:p>
        </w:tc>
      </w:tr>
      <w:tr w:rsidR="00F50DE8" w:rsidRPr="00384E2A" w14:paraId="266372A6" w14:textId="77777777" w:rsidTr="00E30CB1">
        <w:trPr>
          <w:jc w:val="center"/>
        </w:trPr>
        <w:tc>
          <w:tcPr>
            <w:tcW w:w="534" w:type="dxa"/>
          </w:tcPr>
          <w:p w14:paraId="60645C64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09" w:type="dxa"/>
          </w:tcPr>
          <w:p w14:paraId="05395D98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 xml:space="preserve">Zawartość parafiny, </w:t>
            </w:r>
          </w:p>
          <w:p w14:paraId="04C84DF7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nie więcej niż</w:t>
            </w:r>
          </w:p>
        </w:tc>
        <w:tc>
          <w:tcPr>
            <w:tcW w:w="851" w:type="dxa"/>
          </w:tcPr>
          <w:p w14:paraId="1363A39F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984" w:type="dxa"/>
          </w:tcPr>
          <w:p w14:paraId="7088C8A6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12606-1 [30]</w:t>
            </w:r>
          </w:p>
        </w:tc>
        <w:tc>
          <w:tcPr>
            <w:tcW w:w="1733" w:type="dxa"/>
          </w:tcPr>
          <w:p w14:paraId="4A8689D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</w:tr>
      <w:tr w:rsidR="00F50DE8" w:rsidRPr="00384E2A" w14:paraId="504866D7" w14:textId="77777777" w:rsidTr="00E30CB1">
        <w:trPr>
          <w:jc w:val="center"/>
        </w:trPr>
        <w:tc>
          <w:tcPr>
            <w:tcW w:w="534" w:type="dxa"/>
          </w:tcPr>
          <w:p w14:paraId="503206D9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409" w:type="dxa"/>
          </w:tcPr>
          <w:p w14:paraId="2A3D83AE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Wzrost temp. mięknienia po starzeniu, nie więcej niż</w:t>
            </w:r>
          </w:p>
        </w:tc>
        <w:tc>
          <w:tcPr>
            <w:tcW w:w="851" w:type="dxa"/>
          </w:tcPr>
          <w:p w14:paraId="14F183AE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1055590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1427 [22]</w:t>
            </w:r>
          </w:p>
        </w:tc>
        <w:tc>
          <w:tcPr>
            <w:tcW w:w="1733" w:type="dxa"/>
          </w:tcPr>
          <w:p w14:paraId="3545C2A1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50DE8" w:rsidRPr="00384E2A" w14:paraId="36779FA6" w14:textId="77777777" w:rsidTr="00E30CB1">
        <w:trPr>
          <w:jc w:val="center"/>
        </w:trPr>
        <w:tc>
          <w:tcPr>
            <w:tcW w:w="534" w:type="dxa"/>
          </w:tcPr>
          <w:p w14:paraId="049E2378" w14:textId="77777777" w:rsidR="00F50DE8" w:rsidRPr="0094558D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409" w:type="dxa"/>
          </w:tcPr>
          <w:p w14:paraId="41C37282" w14:textId="77777777" w:rsidR="00F50DE8" w:rsidRPr="0094558D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Temperatura łamliwości Fraassa, nie więcej niż</w:t>
            </w:r>
          </w:p>
        </w:tc>
        <w:tc>
          <w:tcPr>
            <w:tcW w:w="851" w:type="dxa"/>
          </w:tcPr>
          <w:p w14:paraId="020CBCBF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984" w:type="dxa"/>
          </w:tcPr>
          <w:p w14:paraId="3DB1A4DB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PN-EN 12593 [29]</w:t>
            </w:r>
          </w:p>
        </w:tc>
        <w:tc>
          <w:tcPr>
            <w:tcW w:w="1733" w:type="dxa"/>
          </w:tcPr>
          <w:p w14:paraId="630E4B9D" w14:textId="77777777" w:rsidR="00F50DE8" w:rsidRPr="0094558D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58D">
              <w:rPr>
                <w:rFonts w:ascii="Arial" w:hAnsi="Arial" w:cs="Arial"/>
                <w:sz w:val="18"/>
                <w:szCs w:val="18"/>
              </w:rPr>
              <w:t>-8</w:t>
            </w:r>
          </w:p>
        </w:tc>
      </w:tr>
    </w:tbl>
    <w:p w14:paraId="26348670" w14:textId="77777777" w:rsidR="00F50DE8" w:rsidRPr="0094558D" w:rsidRDefault="00F50DE8" w:rsidP="00F50DE8">
      <w:pPr>
        <w:rPr>
          <w:rFonts w:ascii="Arial" w:hAnsi="Arial" w:cs="Arial"/>
          <w:sz w:val="18"/>
          <w:szCs w:val="18"/>
        </w:rPr>
      </w:pPr>
    </w:p>
    <w:p w14:paraId="48163614" w14:textId="77777777" w:rsidR="0094558D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94558D">
        <w:rPr>
          <w:rFonts w:ascii="Arial" w:hAnsi="Arial" w:cs="Arial"/>
          <w:sz w:val="18"/>
          <w:szCs w:val="18"/>
        </w:rPr>
        <w:t xml:space="preserve">Składowanie asfaltu </w:t>
      </w:r>
      <w:r w:rsidRPr="00A63C03">
        <w:rPr>
          <w:rFonts w:ascii="Arial" w:hAnsi="Arial" w:cs="Arial"/>
          <w:sz w:val="18"/>
          <w:szCs w:val="18"/>
        </w:rPr>
        <w:t xml:space="preserve">drogowego powinno się odbywać w zbiornikach, wykluczających zanieczyszczenie asfaltu i wyposażonych w system grzewczy pośredni (bez kontaktu asfaltu z przewodami grzewczymi). </w:t>
      </w:r>
    </w:p>
    <w:p w14:paraId="17256A5F" w14:textId="77777777" w:rsidR="00F50DE8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lastRenderedPageBreak/>
        <w:t>Zbiornik roboczy otaczarki powinien być izolowany termicznie, posiadać automatyczny system grzewczy z tolerancją ± 5°C oraz układ cyrkulacji asfaltu.</w:t>
      </w:r>
    </w:p>
    <w:p w14:paraId="116E6E78" w14:textId="77777777" w:rsidR="00F50DE8" w:rsidRPr="00A63C03" w:rsidRDefault="00F50DE8" w:rsidP="0094558D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2.3.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Kruszywo </w:t>
      </w:r>
    </w:p>
    <w:p w14:paraId="5490AEA9" w14:textId="77777777" w:rsidR="00A63C03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warstwy wiążącej z betonu asfaltowego należy stosować kruszywo według PN-EN 13043 [44] i WT-1 Kruszywa 2014</w:t>
      </w:r>
      <w:r w:rsidR="00A63C03" w:rsidRPr="00A63C03">
        <w:rPr>
          <w:rFonts w:ascii="Arial" w:hAnsi="Arial" w:cs="Arial"/>
          <w:sz w:val="18"/>
          <w:szCs w:val="18"/>
        </w:rPr>
        <w:t>[64], obejmujące kruszywo grube</w:t>
      </w:r>
      <w:r w:rsidRPr="00A63C03">
        <w:rPr>
          <w:rFonts w:ascii="Arial" w:hAnsi="Arial" w:cs="Arial"/>
          <w:sz w:val="18"/>
          <w:szCs w:val="18"/>
        </w:rPr>
        <w:t xml:space="preserve">, kruszywo drobne i wypełniacz. </w:t>
      </w:r>
    </w:p>
    <w:p w14:paraId="4D8964A8" w14:textId="77777777" w:rsidR="00F50DE8" w:rsidRPr="00A63C03" w:rsidRDefault="00F50DE8" w:rsidP="0094558D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Kruszywa powinny spełniać wymagania podane w WT-1 Kruszywa 2014 –punkt 5.2</w:t>
      </w:r>
    </w:p>
    <w:p w14:paraId="2AE7640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kruszywa powinno się odbywać w warunkach zabezpieczających je przed zanieczyszczeniem i zmieszaniem z kruszywem o innym wymiarze lub pochodzeniu.</w:t>
      </w:r>
    </w:p>
    <w:p w14:paraId="09F49EE9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Podłoże składowiska musi być równe, utwardzone i odwodnione. Składowanie wypełniacza powinno się odbywać w silosach wyposażonych w urządzenia do aeracji.</w:t>
      </w:r>
    </w:p>
    <w:p w14:paraId="0880FFA1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Środek adhezyjny</w:t>
      </w:r>
    </w:p>
    <w:p w14:paraId="57DB72B1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celu poprawy powinowactwa fizykochemicznego lepiszcza asfaltowego i kruszywa, gwarantującego odpowiednią przyczepność (adhezję) lepiszcza do kruszywa i odporność mieszanki mineralno-asfaltowej na działanie wody, należy dobrać i zastosować środek adhezyjny, tak aby dla konkretnej pary kruszywo-lepiszcze wartość przyczepności określona według PN-EN 12697-11, metoda C [34] wynosiła</w:t>
      </w:r>
      <w:r w:rsidR="009B30EF">
        <w:rPr>
          <w:rFonts w:ascii="Arial" w:hAnsi="Arial" w:cs="Arial"/>
          <w:sz w:val="18"/>
          <w:szCs w:val="18"/>
        </w:rPr>
        <w:t>,</w:t>
      </w:r>
      <w:r w:rsidRPr="00A63C03">
        <w:rPr>
          <w:rFonts w:ascii="Arial" w:hAnsi="Arial" w:cs="Arial"/>
          <w:sz w:val="18"/>
          <w:szCs w:val="18"/>
        </w:rPr>
        <w:t xml:space="preserve"> co najmniej 80%.</w:t>
      </w:r>
    </w:p>
    <w:p w14:paraId="18CBDAC7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środka adhezyjnego jest dozwolone tylko w oryginalnych opakowaniach producenta.</w:t>
      </w:r>
    </w:p>
    <w:p w14:paraId="5F94BC0A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2.5.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Materiały do uszczelnienia połączeń i krawędzi</w:t>
      </w:r>
    </w:p>
    <w:p w14:paraId="67FEAADD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uszczelnienia połączeń technologicznych (tj. złączy podłużnych i poprzecznych z tego samego materiału wykonywanego w różnym czasie oraz spoin stanowiących połączenia różnych materiałów lub połączenie warstwy asfaltowej z urządzeniami obcymi w nawierzchni lub ją ograniczającymi, należy stosować:</w:t>
      </w:r>
    </w:p>
    <w:p w14:paraId="2FEDDB52" w14:textId="77777777" w:rsidR="00F50DE8" w:rsidRPr="00A63C03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materiały termoplastyczne, jak taśmy asfaltowe, pasty itp. według norm lub aprobat technicznych,</w:t>
      </w:r>
    </w:p>
    <w:p w14:paraId="53039601" w14:textId="77777777" w:rsidR="00F50DE8" w:rsidRPr="00A63C03" w:rsidRDefault="00F50DE8" w:rsidP="003C1D75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emulsję asfaltową według PN-EN 13808 [58] lub inne lepiszcza według norm lub aprobat technicznych </w:t>
      </w:r>
    </w:p>
    <w:p w14:paraId="4B9E8D90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Grubość materiału termoplastycznego do spoiny powinna wynosić:</w:t>
      </w:r>
    </w:p>
    <w:p w14:paraId="1CA9A80E" w14:textId="77777777" w:rsidR="00F50DE8" w:rsidRPr="00A63C03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nie mniej niż 10 mm przy grubości warstwy technologicznej do 2,5 cm,</w:t>
      </w:r>
    </w:p>
    <w:p w14:paraId="33A0D34A" w14:textId="77777777" w:rsidR="00F50DE8" w:rsidRPr="00A63C03" w:rsidRDefault="00F50DE8" w:rsidP="003C1D75">
      <w:pPr>
        <w:numPr>
          <w:ilvl w:val="1"/>
          <w:numId w:val="3"/>
        </w:numPr>
        <w:tabs>
          <w:tab w:val="clear" w:pos="1477"/>
          <w:tab w:val="num" w:pos="284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nie mniej niż 15 mm przy grubości warstwy technologicznej większej niż 2,5 cm.</w:t>
      </w:r>
    </w:p>
    <w:p w14:paraId="3BD68C2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Składowanie materiałów termoplastycznych jest dozwolone tylko w oryginalnych opakowaniach producenta, w warunkach określonych w aprobacie technicznej.</w:t>
      </w:r>
    </w:p>
    <w:p w14:paraId="30CCB9CC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uszczelnienia krawędzi należy stosować asfalt drogowy wg PN-EN 12591 [27], asfalt modyfikowany polimerami wg PN-EN 14023 [59] „metodą na gorąco”. Dopuszcza się inne rodzaje lepiszcza wg norm lub aprobat technicznych.</w:t>
      </w:r>
    </w:p>
    <w:p w14:paraId="39008EF7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2.6.</w:t>
      </w:r>
      <w:r w:rsidR="00E30CB1">
        <w:rPr>
          <w:rFonts w:ascii="Arial" w:hAnsi="Arial"/>
          <w:sz w:val="18"/>
          <w:szCs w:val="18"/>
        </w:rPr>
        <w:t xml:space="preserve">     </w:t>
      </w:r>
      <w:r w:rsidRPr="00A63C03">
        <w:rPr>
          <w:rFonts w:ascii="Arial" w:hAnsi="Arial"/>
          <w:sz w:val="18"/>
          <w:szCs w:val="18"/>
        </w:rPr>
        <w:t>Materiały do złączenia warstw konstrukcji</w:t>
      </w:r>
    </w:p>
    <w:p w14:paraId="65797AF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 złączania warstw konstrukcji nawierzchni (warstwa wiążąca z warstwą ścieralną) należy stosować kationowe emulsje asfaltowe lub kationowe emulsje modyfikowane polimerami według PN-EN 13808 [58] i WT-3 Emulsje asfaltowe 2009 punkt 5.1 tablica 2 i tablica 3 [66].</w:t>
      </w:r>
    </w:p>
    <w:p w14:paraId="00700CE9" w14:textId="77777777" w:rsidR="00F50DE8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Emulsję asfaltową można składować w opakowaniach transportowych lub w stacjonarnych zbiornikach pionowych z nalewaniem od dna. Nie należy nalewać emulsji do opakowań i zbiorników zanieczyszczonych materiałami mineralnymi. </w:t>
      </w:r>
    </w:p>
    <w:p w14:paraId="65AC07AE" w14:textId="77777777" w:rsidR="00E30CB1" w:rsidRDefault="00E30CB1" w:rsidP="00E30CB1">
      <w:pPr>
        <w:ind w:firstLine="567"/>
        <w:rPr>
          <w:rFonts w:ascii="Arial" w:hAnsi="Arial" w:cs="Arial"/>
          <w:sz w:val="18"/>
          <w:szCs w:val="18"/>
        </w:rPr>
      </w:pPr>
    </w:p>
    <w:p w14:paraId="13AF9188" w14:textId="77777777" w:rsidR="00E30CB1" w:rsidRPr="00A63C03" w:rsidRDefault="00E30CB1" w:rsidP="00E30CB1">
      <w:pPr>
        <w:ind w:firstLine="567"/>
        <w:rPr>
          <w:rFonts w:ascii="Arial" w:hAnsi="Arial" w:cs="Arial"/>
          <w:sz w:val="18"/>
          <w:szCs w:val="18"/>
        </w:rPr>
      </w:pPr>
    </w:p>
    <w:p w14:paraId="516EBBE3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0" w:name="_Toc343865969"/>
      <w:bookmarkStart w:id="11" w:name="_Toc414971075"/>
      <w:bookmarkStart w:id="12" w:name="_Toc438497707"/>
      <w:r w:rsidRPr="00A63C03">
        <w:rPr>
          <w:rFonts w:ascii="Arial" w:hAnsi="Arial"/>
          <w:sz w:val="18"/>
          <w:szCs w:val="18"/>
        </w:rPr>
        <w:t xml:space="preserve">3.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SPRZĘT</w:t>
      </w:r>
      <w:bookmarkEnd w:id="10"/>
      <w:bookmarkEnd w:id="11"/>
      <w:bookmarkEnd w:id="12"/>
    </w:p>
    <w:p w14:paraId="202AD71F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3.1.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wymagania dotyczące sprzętu</w:t>
      </w:r>
    </w:p>
    <w:p w14:paraId="268B8A11" w14:textId="77777777" w:rsidR="00F50DE8" w:rsidRPr="00A63C03" w:rsidRDefault="00F50DE8" w:rsidP="00A63C03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wymagania dotyczące sprzętu podano w  STWiORB D-M-00.00.00 „Wymagania ogólne” [1] pkt 3.</w:t>
      </w:r>
    </w:p>
    <w:p w14:paraId="523C84CB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3.2.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 Sprzęt stosowany do wykonania robót</w:t>
      </w:r>
    </w:p>
    <w:p w14:paraId="76BF38AF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Przy wykonywaniu robót Wykonawca w zależności od potrzeb, powinien wykazać się możliwością korzystania ze sprzętu dostosowanego do przyjętej metody robót, jak:</w:t>
      </w:r>
    </w:p>
    <w:p w14:paraId="20EE82B8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wytwórnia (otaczarka) o mieszaniu cyklicznym lub ciągłym, z automatycznym komputerowym sterowaniem produkcji, do wytwarzania mieszanek mineralno-asfaltowych, </w:t>
      </w:r>
    </w:p>
    <w:p w14:paraId="79198B1B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układarka gąsienicowa, z elektronicznym sterowaniem równości układanej warstwy,</w:t>
      </w:r>
    </w:p>
    <w:p w14:paraId="63FA88D6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skrapiarka,</w:t>
      </w:r>
    </w:p>
    <w:p w14:paraId="1D6067AA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walce stalowe gładkie, </w:t>
      </w:r>
    </w:p>
    <w:p w14:paraId="1675AA25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walce ogumione</w:t>
      </w:r>
    </w:p>
    <w:p w14:paraId="3B0D088F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szczotki mechaniczne i/lub inne urządzenia czyszczące,</w:t>
      </w:r>
    </w:p>
    <w:p w14:paraId="7E0E3BD9" w14:textId="77777777" w:rsidR="00F50DE8" w:rsidRPr="00A63C03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samochody samowyładowcze z przykryciem brezentowym lub termosami,</w:t>
      </w:r>
    </w:p>
    <w:p w14:paraId="031AF53D" w14:textId="77777777" w:rsidR="00F50DE8" w:rsidRDefault="00F50DE8" w:rsidP="00E30CB1">
      <w:pPr>
        <w:numPr>
          <w:ilvl w:val="0"/>
          <w:numId w:val="4"/>
        </w:numPr>
        <w:tabs>
          <w:tab w:val="clear" w:pos="397"/>
        </w:tabs>
        <w:ind w:left="284" w:hanging="284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sprzęt drobny.</w:t>
      </w:r>
    </w:p>
    <w:p w14:paraId="3C3ECCF3" w14:textId="77777777" w:rsidR="00E30CB1" w:rsidRDefault="00E30CB1" w:rsidP="00E30CB1">
      <w:pPr>
        <w:rPr>
          <w:rFonts w:ascii="Arial" w:hAnsi="Arial" w:cs="Arial"/>
          <w:sz w:val="18"/>
          <w:szCs w:val="18"/>
        </w:rPr>
      </w:pPr>
    </w:p>
    <w:p w14:paraId="50494B10" w14:textId="77777777" w:rsidR="00E30CB1" w:rsidRPr="00A63C03" w:rsidRDefault="00E30CB1" w:rsidP="00E30CB1">
      <w:pPr>
        <w:rPr>
          <w:rFonts w:ascii="Arial" w:hAnsi="Arial" w:cs="Arial"/>
          <w:sz w:val="18"/>
          <w:szCs w:val="18"/>
        </w:rPr>
      </w:pPr>
    </w:p>
    <w:p w14:paraId="26D18BEA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3" w:name="_Toc343865970"/>
      <w:bookmarkStart w:id="14" w:name="_Toc414971076"/>
      <w:bookmarkStart w:id="15" w:name="_Toc438497708"/>
      <w:r w:rsidRPr="00A63C03">
        <w:rPr>
          <w:rFonts w:ascii="Arial" w:hAnsi="Arial"/>
          <w:sz w:val="18"/>
          <w:szCs w:val="18"/>
        </w:rPr>
        <w:t xml:space="preserve">4.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TRANSPORT</w:t>
      </w:r>
      <w:bookmarkEnd w:id="13"/>
      <w:bookmarkEnd w:id="14"/>
      <w:bookmarkEnd w:id="15"/>
    </w:p>
    <w:p w14:paraId="4FF16773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4.1.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wymagania dotyczące transportu</w:t>
      </w:r>
    </w:p>
    <w:p w14:paraId="7B1A7FA4" w14:textId="77777777" w:rsidR="00F50DE8" w:rsidRPr="00A63C03" w:rsidRDefault="00F50DE8" w:rsidP="00E30CB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wymagania dotyczące transportu podano w  STWiORB D-M-00.00.00 „Wymagania ogólne” [1] pkt 4.</w:t>
      </w:r>
    </w:p>
    <w:p w14:paraId="429FA0C0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lastRenderedPageBreak/>
        <w:t xml:space="preserve">4.2.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 xml:space="preserve">Transport materiałów </w:t>
      </w:r>
    </w:p>
    <w:p w14:paraId="00E6CE6E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Asfalt należy przewozić w cysternach kolejowych lub samochodach izolowanych i zaopatrzonych w urządzenia umożliwiające pośrednie ogrzewanie oraz w zawory spustowe.</w:t>
      </w:r>
    </w:p>
    <w:p w14:paraId="3189FBE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Kruszywa można przewozić dowolnymi środkami transportu, w warunkach zabezpieczających je przed zanieczyszczeniem, zmieszaniem z innymi materiałami i nadmiernym zawilgoceniem.</w:t>
      </w:r>
    </w:p>
    <w:p w14:paraId="15925BCA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Wypełniacz należy przewozić w sposób chroniący go przed zawilgoceniem, zbryleniem i zanieczyszczeniem. Wypełniacz luzem powinien być przewożony w odpowiednich cysternach przystosowanych do przewozu materiałów sypkich, umożliwiających rozładunek pneumatyczny.</w:t>
      </w:r>
    </w:p>
    <w:p w14:paraId="2AD8053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Emulsja asfaltowa może być transportowana w zamkniętych cysternach, autocysternach, beczkach i innych opakowaniach pod warunkiem, że nie będą korodowały pod wpływem emulsji i nie będą powodowały jej rozpadu. Cysterny powinny być wyposażone w przegrody. Nie należy używać do transportu opakowań z metali lekkich (może zachodzić wydzielanie wodoru i groźba wybuchu przy emulsjach o pH ≤ 4).</w:t>
      </w:r>
    </w:p>
    <w:p w14:paraId="3C4C492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Mieszankę mineralno-asfaltową należy dowozić na budowę pojazdami samowyładowczymi w zależności od postępu robót. Podczas transportu i postoju przed wbudowaniem mieszanka powinna być zabezpieczona przed ostygnięciem i dopływem powietrza (przez przykrycie, pojemniki termoizolacyjne lub ogrzewane itp.). </w:t>
      </w:r>
    </w:p>
    <w:p w14:paraId="55A0757D" w14:textId="77777777" w:rsidR="00F50DE8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Warunki i czas transportu mieszanki, od produkcji do wbudowania, powinna zapewniać utrzymanie temperatury w wymaganym przedziale. Powierzchnie pojemników używanych do transportu mieszanki powinny być czyste, a do zwilżania tych powierzchni można używać tylko środki antyadhezyjne niewpływające szkodliwie na mieszankę.</w:t>
      </w:r>
    </w:p>
    <w:p w14:paraId="07C823AA" w14:textId="77777777" w:rsidR="00E30CB1" w:rsidRDefault="00E30CB1" w:rsidP="00A63C03">
      <w:pPr>
        <w:ind w:firstLine="567"/>
        <w:rPr>
          <w:rFonts w:ascii="Arial" w:hAnsi="Arial" w:cs="Arial"/>
          <w:sz w:val="18"/>
          <w:szCs w:val="18"/>
        </w:rPr>
      </w:pPr>
    </w:p>
    <w:p w14:paraId="240CEFC6" w14:textId="77777777" w:rsidR="00E30CB1" w:rsidRPr="00A63C03" w:rsidRDefault="00E30CB1" w:rsidP="00A63C03">
      <w:pPr>
        <w:ind w:firstLine="567"/>
        <w:rPr>
          <w:rFonts w:ascii="Arial" w:hAnsi="Arial" w:cs="Arial"/>
          <w:sz w:val="18"/>
          <w:szCs w:val="18"/>
        </w:rPr>
      </w:pPr>
    </w:p>
    <w:p w14:paraId="1F574F8E" w14:textId="77777777" w:rsidR="00F50DE8" w:rsidRPr="00A63C03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6" w:name="_Toc343865971"/>
      <w:bookmarkStart w:id="17" w:name="_Toc414971077"/>
      <w:bookmarkStart w:id="18" w:name="_Toc438497709"/>
      <w:r w:rsidRPr="00A63C03">
        <w:rPr>
          <w:rFonts w:ascii="Arial" w:hAnsi="Arial"/>
          <w:sz w:val="18"/>
          <w:szCs w:val="18"/>
        </w:rPr>
        <w:t xml:space="preserve">5.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A63C03">
        <w:rPr>
          <w:rFonts w:ascii="Arial" w:hAnsi="Arial"/>
          <w:sz w:val="18"/>
          <w:szCs w:val="18"/>
        </w:rPr>
        <w:t>WYKONANIE ROBÓT</w:t>
      </w:r>
      <w:bookmarkEnd w:id="16"/>
      <w:bookmarkEnd w:id="17"/>
      <w:bookmarkEnd w:id="18"/>
    </w:p>
    <w:p w14:paraId="7393BF24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Ogólne zasady wykonania robót</w:t>
      </w:r>
    </w:p>
    <w:p w14:paraId="0618D000" w14:textId="77777777" w:rsidR="00F50DE8" w:rsidRPr="00A63C03" w:rsidRDefault="00F50DE8" w:rsidP="00E30CB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Ogólne zasady wykonania robót podano w  STWiORB D-M-00.00.00 „Wymagania ogólne” [1] pkt 5.</w:t>
      </w:r>
    </w:p>
    <w:p w14:paraId="00F056A9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Projektowanie mieszanki mineralno-asfaltowej</w:t>
      </w:r>
    </w:p>
    <w:p w14:paraId="1F394FE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Przed przystąpieniem do robót Wykonawca dostarczy Inżynierowi do akceptacji projekt składu miesz</w:t>
      </w:r>
      <w:r w:rsidR="009B30EF">
        <w:rPr>
          <w:rFonts w:ascii="Arial" w:hAnsi="Arial" w:cs="Arial"/>
          <w:sz w:val="18"/>
          <w:szCs w:val="18"/>
        </w:rPr>
        <w:t>anki mineralno-asfaltowej AC16W</w:t>
      </w:r>
      <w:r w:rsidRPr="00A63C03">
        <w:rPr>
          <w:rFonts w:ascii="Arial" w:hAnsi="Arial" w:cs="Arial"/>
          <w:sz w:val="18"/>
          <w:szCs w:val="18"/>
        </w:rPr>
        <w:t>.</w:t>
      </w:r>
    </w:p>
    <w:p w14:paraId="74BA7DA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Uziarnienie mieszanki mineralnej oraz minimalna zawartość lepiszcza podane są w tablic</w:t>
      </w:r>
      <w:r w:rsidR="00A63C03" w:rsidRPr="00A63C03">
        <w:rPr>
          <w:rFonts w:ascii="Arial" w:hAnsi="Arial" w:cs="Arial"/>
          <w:sz w:val="18"/>
          <w:szCs w:val="18"/>
        </w:rPr>
        <w:t>y 5 – projektowanie empiryczne.</w:t>
      </w:r>
    </w:p>
    <w:p w14:paraId="31741C65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Wymagane właściwości mieszanki mineralno-asfaltowej podane są w tablicy 6 projektowanie empirycznie </w:t>
      </w:r>
    </w:p>
    <w:p w14:paraId="4E7215F3" w14:textId="77777777" w:rsidR="00F50DE8" w:rsidRPr="00A63C03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5.</w:t>
      </w:r>
      <w:r w:rsidRPr="00A63C03">
        <w:rPr>
          <w:rFonts w:ascii="Arial" w:hAnsi="Arial" w:cs="Arial"/>
          <w:sz w:val="18"/>
          <w:szCs w:val="18"/>
        </w:rPr>
        <w:tab/>
        <w:t>Uziarnienie mieszanki mineralnej oraz zawartość lepiszcza do betonu asfaltowego do warstwy wiążącej (projektowanie empirycznie) [65]</w:t>
      </w:r>
    </w:p>
    <w:tbl>
      <w:tblPr>
        <w:tblW w:w="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134"/>
      </w:tblGrid>
      <w:tr w:rsidR="00F50DE8" w:rsidRPr="00A63C03" w14:paraId="243C93F9" w14:textId="77777777" w:rsidTr="00E30CB1">
        <w:trPr>
          <w:jc w:val="center"/>
        </w:trPr>
        <w:tc>
          <w:tcPr>
            <w:tcW w:w="3085" w:type="dxa"/>
            <w:vMerge w:val="restart"/>
            <w:vAlign w:val="center"/>
          </w:tcPr>
          <w:p w14:paraId="09C0DB2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2410" w:type="dxa"/>
            <w:gridSpan w:val="2"/>
          </w:tcPr>
          <w:p w14:paraId="46A432C5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Przesiew, [% (m/m)]</w:t>
            </w:r>
          </w:p>
        </w:tc>
      </w:tr>
      <w:tr w:rsidR="00F50DE8" w:rsidRPr="00A63C03" w14:paraId="589FF3A2" w14:textId="77777777" w:rsidTr="00E30CB1">
        <w:trPr>
          <w:jc w:val="center"/>
        </w:trPr>
        <w:tc>
          <w:tcPr>
            <w:tcW w:w="3085" w:type="dxa"/>
            <w:vMerge/>
          </w:tcPr>
          <w:p w14:paraId="43057A3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442E8A1D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AC16W</w:t>
            </w:r>
          </w:p>
          <w:p w14:paraId="4875573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KR3 – KR4</w:t>
            </w:r>
          </w:p>
        </w:tc>
      </w:tr>
      <w:tr w:rsidR="00F50DE8" w:rsidRPr="00A63C03" w14:paraId="145F8067" w14:textId="77777777" w:rsidTr="00E30CB1">
        <w:trPr>
          <w:jc w:val="center"/>
        </w:trPr>
        <w:tc>
          <w:tcPr>
            <w:tcW w:w="3085" w:type="dxa"/>
          </w:tcPr>
          <w:p w14:paraId="0B52641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Wymiar sita #, [mm]</w:t>
            </w:r>
          </w:p>
        </w:tc>
        <w:tc>
          <w:tcPr>
            <w:tcW w:w="1276" w:type="dxa"/>
          </w:tcPr>
          <w:p w14:paraId="72D6C92D" w14:textId="77777777" w:rsidR="00F50DE8" w:rsidRPr="00A63C03" w:rsidRDefault="00F50DE8" w:rsidP="0094558D">
            <w:pPr>
              <w:ind w:left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</w:t>
            </w:r>
          </w:p>
        </w:tc>
        <w:tc>
          <w:tcPr>
            <w:tcW w:w="1134" w:type="dxa"/>
          </w:tcPr>
          <w:p w14:paraId="34F0C918" w14:textId="77777777" w:rsidR="00F50DE8" w:rsidRPr="00A63C03" w:rsidRDefault="00F50DE8" w:rsidP="0094558D">
            <w:pPr>
              <w:ind w:left="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</w:t>
            </w:r>
          </w:p>
        </w:tc>
      </w:tr>
      <w:tr w:rsidR="00F50DE8" w:rsidRPr="00A63C03" w14:paraId="5AE2B8FC" w14:textId="77777777" w:rsidTr="00E30CB1">
        <w:trPr>
          <w:jc w:val="center"/>
        </w:trPr>
        <w:tc>
          <w:tcPr>
            <w:tcW w:w="3085" w:type="dxa"/>
          </w:tcPr>
          <w:p w14:paraId="2ECDAB5D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1276" w:type="dxa"/>
          </w:tcPr>
          <w:p w14:paraId="2333CE4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157C4153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A63C03" w14:paraId="677E8980" w14:textId="77777777" w:rsidTr="00E30CB1">
        <w:trPr>
          <w:jc w:val="center"/>
        </w:trPr>
        <w:tc>
          <w:tcPr>
            <w:tcW w:w="3085" w:type="dxa"/>
          </w:tcPr>
          <w:p w14:paraId="46DF7F5A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22,4</w:t>
            </w:r>
          </w:p>
        </w:tc>
        <w:tc>
          <w:tcPr>
            <w:tcW w:w="1276" w:type="dxa"/>
          </w:tcPr>
          <w:p w14:paraId="0725777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4363D21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F50DE8" w:rsidRPr="00A63C03" w14:paraId="2B26122C" w14:textId="77777777" w:rsidTr="00E30CB1">
        <w:trPr>
          <w:jc w:val="center"/>
        </w:trPr>
        <w:tc>
          <w:tcPr>
            <w:tcW w:w="3085" w:type="dxa"/>
          </w:tcPr>
          <w:p w14:paraId="7C6DDD9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1DDB183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14:paraId="793CC38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F50DE8" w:rsidRPr="00A63C03" w14:paraId="7B1E15E8" w14:textId="77777777" w:rsidTr="00E30CB1">
        <w:trPr>
          <w:jc w:val="center"/>
        </w:trPr>
        <w:tc>
          <w:tcPr>
            <w:tcW w:w="3085" w:type="dxa"/>
          </w:tcPr>
          <w:p w14:paraId="6E93ECD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11,2</w:t>
            </w:r>
          </w:p>
        </w:tc>
        <w:tc>
          <w:tcPr>
            <w:tcW w:w="1276" w:type="dxa"/>
          </w:tcPr>
          <w:p w14:paraId="3BF1B93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14:paraId="435A528F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F50DE8" w:rsidRPr="00A63C03" w14:paraId="261DC9CD" w14:textId="77777777" w:rsidTr="00E30CB1">
        <w:trPr>
          <w:jc w:val="center"/>
        </w:trPr>
        <w:tc>
          <w:tcPr>
            <w:tcW w:w="3085" w:type="dxa"/>
          </w:tcPr>
          <w:p w14:paraId="4C3B5CF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1C69668A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134" w:type="dxa"/>
          </w:tcPr>
          <w:p w14:paraId="128F7F9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F50DE8" w:rsidRPr="00A63C03" w14:paraId="173A8380" w14:textId="77777777" w:rsidTr="00E30CB1">
        <w:trPr>
          <w:jc w:val="center"/>
        </w:trPr>
        <w:tc>
          <w:tcPr>
            <w:tcW w:w="3085" w:type="dxa"/>
          </w:tcPr>
          <w:p w14:paraId="5FD3751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4E3F04D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62A962A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F50DE8" w:rsidRPr="00A63C03" w14:paraId="7B01951B" w14:textId="77777777" w:rsidTr="00E30CB1">
        <w:trPr>
          <w:jc w:val="center"/>
        </w:trPr>
        <w:tc>
          <w:tcPr>
            <w:tcW w:w="3085" w:type="dxa"/>
          </w:tcPr>
          <w:p w14:paraId="3AD38F6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0,125</w:t>
            </w:r>
          </w:p>
        </w:tc>
        <w:tc>
          <w:tcPr>
            <w:tcW w:w="1276" w:type="dxa"/>
          </w:tcPr>
          <w:p w14:paraId="613059D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16F2C879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F50DE8" w:rsidRPr="00A63C03" w14:paraId="7E7A0BB3" w14:textId="77777777" w:rsidTr="00E30CB1">
        <w:trPr>
          <w:jc w:val="center"/>
        </w:trPr>
        <w:tc>
          <w:tcPr>
            <w:tcW w:w="3085" w:type="dxa"/>
          </w:tcPr>
          <w:p w14:paraId="06C2342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0,063</w:t>
            </w:r>
          </w:p>
        </w:tc>
        <w:tc>
          <w:tcPr>
            <w:tcW w:w="1276" w:type="dxa"/>
          </w:tcPr>
          <w:p w14:paraId="6356B1A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134" w:type="dxa"/>
          </w:tcPr>
          <w:p w14:paraId="0FE92696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F50DE8" w:rsidRPr="00A63C03" w14:paraId="1D6AB207" w14:textId="77777777" w:rsidTr="00E30CB1">
        <w:trPr>
          <w:jc w:val="center"/>
        </w:trPr>
        <w:tc>
          <w:tcPr>
            <w:tcW w:w="3085" w:type="dxa"/>
          </w:tcPr>
          <w:p w14:paraId="2B1FCF9C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Zawartość lepiszcza, minimum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410" w:type="dxa"/>
            <w:gridSpan w:val="2"/>
            <w:vAlign w:val="center"/>
          </w:tcPr>
          <w:p w14:paraId="7E6C57A1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B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min4,6</w:t>
            </w:r>
          </w:p>
        </w:tc>
      </w:tr>
    </w:tbl>
    <w:p w14:paraId="213C77CF" w14:textId="77777777" w:rsidR="00F50DE8" w:rsidRPr="00A63C03" w:rsidRDefault="00F50DE8" w:rsidP="00F50DE8">
      <w:pPr>
        <w:spacing w:before="240" w:after="120"/>
        <w:ind w:left="992" w:hanging="992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6. Wymagane właściwości mieszanki mineralno-asfaltowej do warstwy wiążącej KR</w:t>
      </w:r>
      <w:r w:rsidR="00A63C03" w:rsidRPr="00A63C03">
        <w:rPr>
          <w:rFonts w:ascii="Arial" w:hAnsi="Arial" w:cs="Arial"/>
          <w:sz w:val="18"/>
          <w:szCs w:val="18"/>
        </w:rPr>
        <w:t>3</w:t>
      </w:r>
      <w:r w:rsidRPr="00A63C03">
        <w:rPr>
          <w:rFonts w:ascii="Arial" w:hAnsi="Arial" w:cs="Arial"/>
          <w:sz w:val="18"/>
          <w:szCs w:val="18"/>
        </w:rPr>
        <w:t xml:space="preserve"> (projektowanie empiryczne) [65]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2551"/>
        <w:gridCol w:w="993"/>
      </w:tblGrid>
      <w:tr w:rsidR="00F50DE8" w:rsidRPr="00A63C03" w14:paraId="08608F28" w14:textId="77777777" w:rsidTr="00E30CB1">
        <w:trPr>
          <w:jc w:val="center"/>
        </w:trPr>
        <w:tc>
          <w:tcPr>
            <w:tcW w:w="1809" w:type="dxa"/>
            <w:vAlign w:val="center"/>
          </w:tcPr>
          <w:p w14:paraId="27CCFBB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Właściwość</w:t>
            </w:r>
          </w:p>
        </w:tc>
        <w:tc>
          <w:tcPr>
            <w:tcW w:w="1418" w:type="dxa"/>
            <w:vAlign w:val="center"/>
          </w:tcPr>
          <w:p w14:paraId="7DE097AE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Warunki zagęszczania wg PN-EN </w:t>
            </w:r>
          </w:p>
          <w:p w14:paraId="2C27DB0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13108-20  [48]</w:t>
            </w:r>
          </w:p>
        </w:tc>
        <w:tc>
          <w:tcPr>
            <w:tcW w:w="2551" w:type="dxa"/>
            <w:vAlign w:val="center"/>
          </w:tcPr>
          <w:p w14:paraId="1009ABAE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Metoda i warunki badania</w:t>
            </w:r>
          </w:p>
        </w:tc>
        <w:tc>
          <w:tcPr>
            <w:tcW w:w="993" w:type="dxa"/>
            <w:vAlign w:val="center"/>
          </w:tcPr>
          <w:p w14:paraId="5E0BDE6B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AC16W</w:t>
            </w:r>
          </w:p>
        </w:tc>
      </w:tr>
      <w:tr w:rsidR="00F50DE8" w:rsidRPr="00A63C03" w14:paraId="57271F81" w14:textId="77777777" w:rsidTr="00E30CB1">
        <w:trPr>
          <w:jc w:val="center"/>
        </w:trPr>
        <w:tc>
          <w:tcPr>
            <w:tcW w:w="1809" w:type="dxa"/>
            <w:vAlign w:val="center"/>
          </w:tcPr>
          <w:p w14:paraId="7B60B4AA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Zawartość wolnych przestrzeni</w:t>
            </w:r>
          </w:p>
        </w:tc>
        <w:tc>
          <w:tcPr>
            <w:tcW w:w="1418" w:type="dxa"/>
            <w:vAlign w:val="center"/>
          </w:tcPr>
          <w:p w14:paraId="47FFD45F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C.1.3,ubijanie, 2×75 uderzeń</w:t>
            </w:r>
          </w:p>
        </w:tc>
        <w:tc>
          <w:tcPr>
            <w:tcW w:w="2551" w:type="dxa"/>
            <w:vAlign w:val="center"/>
          </w:tcPr>
          <w:p w14:paraId="3C8308AB" w14:textId="77777777" w:rsidR="00F50DE8" w:rsidRPr="00A63C03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PN-EN 12697-8 [33], p. 4</w:t>
            </w:r>
          </w:p>
        </w:tc>
        <w:tc>
          <w:tcPr>
            <w:tcW w:w="993" w:type="dxa"/>
            <w:vAlign w:val="center"/>
          </w:tcPr>
          <w:p w14:paraId="09F05EE4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min4,0</w:t>
            </w:r>
          </w:p>
          <w:p w14:paraId="65751157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V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max7,0</w:t>
            </w:r>
          </w:p>
        </w:tc>
      </w:tr>
      <w:tr w:rsidR="00F50DE8" w:rsidRPr="00A63C03" w14:paraId="78867A4C" w14:textId="77777777" w:rsidTr="00E30CB1">
        <w:trPr>
          <w:jc w:val="center"/>
        </w:trPr>
        <w:tc>
          <w:tcPr>
            <w:tcW w:w="1809" w:type="dxa"/>
            <w:vAlign w:val="center"/>
          </w:tcPr>
          <w:p w14:paraId="12F07D18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Odporność na deformacje trwałe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a) c)</w:t>
            </w:r>
          </w:p>
        </w:tc>
        <w:tc>
          <w:tcPr>
            <w:tcW w:w="1418" w:type="dxa"/>
            <w:vAlign w:val="center"/>
          </w:tcPr>
          <w:p w14:paraId="2EFBC468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C.1.20, wałowanie,</w:t>
            </w:r>
          </w:p>
          <w:p w14:paraId="0BAA9696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98</w:t>
            </w:r>
            <w:r w:rsidRPr="00A63C03">
              <w:rPr>
                <w:rFonts w:ascii="Arial" w:hAnsi="Arial" w:cs="Arial"/>
                <w:sz w:val="18"/>
                <w:szCs w:val="18"/>
              </w:rPr>
              <w:t>-P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2551" w:type="dxa"/>
            <w:vAlign w:val="center"/>
          </w:tcPr>
          <w:p w14:paraId="2A5FB2F0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PN-EN 12697-22, metoda B       w powietrzu, PN-EN 13108-20, D.1.6,60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A63C03">
              <w:rPr>
                <w:rFonts w:ascii="Arial" w:hAnsi="Arial" w:cs="Arial"/>
                <w:sz w:val="18"/>
                <w:szCs w:val="18"/>
              </w:rPr>
              <w:t>C, 10 000 cykli [38]</w:t>
            </w:r>
          </w:p>
        </w:tc>
        <w:tc>
          <w:tcPr>
            <w:tcW w:w="993" w:type="dxa"/>
            <w:vAlign w:val="center"/>
          </w:tcPr>
          <w:p w14:paraId="34606EBD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WTS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AIR0,25</w:t>
            </w:r>
          </w:p>
          <w:p w14:paraId="7285226C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PRD</w:t>
            </w:r>
            <w:r w:rsidRPr="00A63C03">
              <w:rPr>
                <w:rFonts w:ascii="Arial" w:hAnsi="Arial" w:cs="Arial"/>
                <w:sz w:val="18"/>
                <w:szCs w:val="18"/>
                <w:vertAlign w:val="subscript"/>
              </w:rPr>
              <w:t>AIR7,0</w:t>
            </w:r>
          </w:p>
        </w:tc>
      </w:tr>
      <w:tr w:rsidR="00F50DE8" w:rsidRPr="00A63C03" w14:paraId="1BEB678F" w14:textId="77777777" w:rsidTr="00E30CB1">
        <w:trPr>
          <w:jc w:val="center"/>
        </w:trPr>
        <w:tc>
          <w:tcPr>
            <w:tcW w:w="1809" w:type="dxa"/>
            <w:vAlign w:val="center"/>
          </w:tcPr>
          <w:p w14:paraId="5A0EB98F" w14:textId="77777777" w:rsidR="00F50DE8" w:rsidRPr="00A63C03" w:rsidRDefault="00F50DE8" w:rsidP="0094558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Odporność na działanie wody</w:t>
            </w:r>
          </w:p>
        </w:tc>
        <w:tc>
          <w:tcPr>
            <w:tcW w:w="1418" w:type="dxa"/>
            <w:vAlign w:val="center"/>
          </w:tcPr>
          <w:p w14:paraId="01F177D9" w14:textId="77777777" w:rsidR="00F50DE8" w:rsidRPr="00A63C03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C.1.1,ubijanie, 2×35 uderzeń</w:t>
            </w:r>
          </w:p>
        </w:tc>
        <w:tc>
          <w:tcPr>
            <w:tcW w:w="2551" w:type="dxa"/>
            <w:vAlign w:val="center"/>
          </w:tcPr>
          <w:p w14:paraId="278F6B98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PN-EN 12697-12 [35], przechowywanie w 40°C z jednym cyklem zamrażania</w:t>
            </w:r>
            <w:r w:rsidRPr="00A63C0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A63C0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41F5CB2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badanie w 25°C</w:t>
            </w:r>
          </w:p>
        </w:tc>
        <w:tc>
          <w:tcPr>
            <w:tcW w:w="993" w:type="dxa"/>
            <w:vAlign w:val="center"/>
          </w:tcPr>
          <w:p w14:paraId="0233E52C" w14:textId="77777777" w:rsidR="00F50DE8" w:rsidRPr="00A63C03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A63C03">
              <w:rPr>
                <w:rFonts w:ascii="Arial" w:hAnsi="Arial" w:cs="Arial"/>
                <w:i/>
                <w:sz w:val="18"/>
                <w:szCs w:val="18"/>
              </w:rPr>
              <w:t>ITSR</w:t>
            </w:r>
            <w:r w:rsidRPr="00A63C03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80</w:t>
            </w:r>
          </w:p>
        </w:tc>
      </w:tr>
    </w:tbl>
    <w:p w14:paraId="30F090A0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lastRenderedPageBreak/>
        <w:t>a)</w:t>
      </w:r>
      <w:r w:rsidR="009B30EF">
        <w:rPr>
          <w:rFonts w:ascii="Arial" w:hAnsi="Arial"/>
          <w:b w:val="0"/>
          <w:sz w:val="18"/>
          <w:szCs w:val="18"/>
        </w:rPr>
        <w:t xml:space="preserve"> grubość płyty </w:t>
      </w:r>
      <w:r w:rsidRPr="00A63C03">
        <w:rPr>
          <w:rFonts w:ascii="Arial" w:hAnsi="Arial"/>
          <w:b w:val="0"/>
          <w:sz w:val="18"/>
          <w:szCs w:val="18"/>
        </w:rPr>
        <w:t>AC16-60mm</w:t>
      </w:r>
    </w:p>
    <w:p w14:paraId="17E91308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t>b)</w:t>
      </w:r>
      <w:r w:rsidRPr="00A63C03">
        <w:rPr>
          <w:rFonts w:ascii="Arial" w:hAnsi="Arial"/>
          <w:b w:val="0"/>
          <w:sz w:val="18"/>
          <w:szCs w:val="18"/>
        </w:rPr>
        <w:t xml:space="preserve"> ujednoliconą procedurę badania odporności na działanie wody z jednym cyklem zamrażania podano w załączniku 1 WT-2 Nawierzchnie asfaltowe 2014</w:t>
      </w:r>
    </w:p>
    <w:p w14:paraId="638BE9A1" w14:textId="77777777" w:rsidR="00F50DE8" w:rsidRPr="00A63C03" w:rsidRDefault="00F50DE8" w:rsidP="00F50DE8">
      <w:pPr>
        <w:pStyle w:val="TOMEK-NAGWEK4"/>
        <w:ind w:left="0"/>
        <w:jc w:val="left"/>
        <w:rPr>
          <w:rFonts w:ascii="Arial" w:hAnsi="Arial"/>
          <w:b w:val="0"/>
          <w:sz w:val="18"/>
          <w:szCs w:val="18"/>
        </w:rPr>
      </w:pPr>
      <w:r w:rsidRPr="00A63C03">
        <w:rPr>
          <w:rFonts w:ascii="Arial" w:hAnsi="Arial"/>
          <w:b w:val="0"/>
          <w:sz w:val="18"/>
          <w:szCs w:val="18"/>
          <w:vertAlign w:val="superscript"/>
        </w:rPr>
        <w:t>c)</w:t>
      </w:r>
      <w:r w:rsidRPr="00A63C03">
        <w:rPr>
          <w:rFonts w:ascii="Arial" w:hAnsi="Arial"/>
          <w:b w:val="0"/>
          <w:sz w:val="18"/>
          <w:szCs w:val="18"/>
        </w:rPr>
        <w:t xml:space="preserve"> procedurę kondycjonowania krótkoterminowego mma przed zagęszczeniem próbek do badań podano w załączniku 2 WT-2 Nawierzchnie asfaltowe 2014</w:t>
      </w:r>
    </w:p>
    <w:p w14:paraId="098EA985" w14:textId="77777777" w:rsidR="00F50DE8" w:rsidRPr="00A63C03" w:rsidRDefault="00F50DE8" w:rsidP="00A63C03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>5.3.</w:t>
      </w:r>
      <w:r w:rsidR="00E30CB1">
        <w:rPr>
          <w:rFonts w:ascii="Arial" w:hAnsi="Arial"/>
          <w:sz w:val="18"/>
          <w:szCs w:val="18"/>
        </w:rPr>
        <w:t xml:space="preserve">     </w:t>
      </w:r>
      <w:r w:rsidRPr="00A63C03">
        <w:rPr>
          <w:rFonts w:ascii="Arial" w:hAnsi="Arial"/>
          <w:sz w:val="18"/>
          <w:szCs w:val="18"/>
        </w:rPr>
        <w:t>Wytwarzanie mieszanki mineralno-asfaltowej</w:t>
      </w:r>
    </w:p>
    <w:p w14:paraId="410A199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Mieszankę mineralno-asfaltową należy wytwarzać na gorąco w otaczarce (zespole maszyn i urządzeń dozowania, podgrzewania i mieszania składników oraz przechowywania gotowej mieszanki).</w:t>
      </w:r>
    </w:p>
    <w:p w14:paraId="3B84EAF5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Dozowanie składników mieszanki mineralno-asfaltowej w otaczarkach, w tym także wstępne, powinno być zautomatyzowane i zgodne z receptą roboczą, a urządzenia do dozowania składników oraz pomiaru temperatury powinny być okresowo sprawdzane. Kruszywo o różnym uziarnieniu lub pochodzeniu należy dodawać odmierzone oddzielnie.</w:t>
      </w:r>
    </w:p>
    <w:p w14:paraId="753693D0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Lepiszcze asfaltowe należy przechowywać w zbiorniku z pośrednim systemem ogrzewania, z układem termostatowania zapewniającym utrzymanie żądanej temperatury z dokładnością ± 5°C. Temperatura lepiszcza asfaltowego w zbiorniku magazynowym (roboczym) nie może przekraczać 180°C dla asfaltu drogowego 50/70.</w:t>
      </w:r>
    </w:p>
    <w:p w14:paraId="49D19876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Kruszywo powinno być wysuszone i podgrzane tak, aby mieszanka mineralna uzyskała temperaturę właściwą do otoczenia lepiszczem asfaltowym. Temperatura mieszanki mineralnej nie powinna być wyższa o więcej niż 30°C od najwyższej temperatury mieszanki mineralno-asfaltowej podanej w tablicy 7. </w:t>
      </w:r>
    </w:p>
    <w:p w14:paraId="08D2B120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tej tablicy najniższa temperatura dotyczy mieszanki mineralno-asfaltowej dostarczonej na miejsce wbudowania, a najwyższa temperatura dotyczy mieszanki mineralno-asfaltowej bezpośrednio po wytworzeniu w wytwórni.</w:t>
      </w:r>
    </w:p>
    <w:p w14:paraId="15E1CC54" w14:textId="77777777" w:rsidR="00F50DE8" w:rsidRPr="00A63C03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7. Najwyższa i najniższa temperatura mieszanki AC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2590"/>
      </w:tblGrid>
      <w:tr w:rsidR="00F50DE8" w:rsidRPr="00A63C03" w14:paraId="265D78B8" w14:textId="77777777" w:rsidTr="00E30CB1">
        <w:trPr>
          <w:jc w:val="center"/>
        </w:trPr>
        <w:tc>
          <w:tcPr>
            <w:tcW w:w="2371" w:type="dxa"/>
          </w:tcPr>
          <w:p w14:paraId="126872BB" w14:textId="77777777" w:rsidR="00F50DE8" w:rsidRPr="00A63C03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Lepiszcze asfaltowe</w:t>
            </w:r>
          </w:p>
        </w:tc>
        <w:tc>
          <w:tcPr>
            <w:tcW w:w="2590" w:type="dxa"/>
          </w:tcPr>
          <w:p w14:paraId="4C063CF6" w14:textId="77777777" w:rsidR="00F50DE8" w:rsidRPr="00A63C03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Temperatura mieszanki [°C]</w:t>
            </w:r>
          </w:p>
        </w:tc>
      </w:tr>
      <w:tr w:rsidR="00F50DE8" w:rsidRPr="00A63C03" w14:paraId="77755752" w14:textId="77777777" w:rsidTr="00E30CB1">
        <w:trPr>
          <w:jc w:val="center"/>
        </w:trPr>
        <w:tc>
          <w:tcPr>
            <w:tcW w:w="2371" w:type="dxa"/>
          </w:tcPr>
          <w:p w14:paraId="6AECEC07" w14:textId="77777777" w:rsidR="00F50DE8" w:rsidRPr="00A63C03" w:rsidRDefault="00F50DE8" w:rsidP="0094558D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3C03">
              <w:rPr>
                <w:rFonts w:ascii="Arial" w:hAnsi="Arial" w:cs="Arial"/>
                <w:sz w:val="18"/>
                <w:szCs w:val="18"/>
                <w:lang w:val="en-US"/>
              </w:rPr>
              <w:t>Asfalt 50/70</w:t>
            </w:r>
          </w:p>
        </w:tc>
        <w:tc>
          <w:tcPr>
            <w:tcW w:w="2590" w:type="dxa"/>
          </w:tcPr>
          <w:p w14:paraId="1E27C9CC" w14:textId="77777777" w:rsidR="00F50DE8" w:rsidRPr="00A63C03" w:rsidRDefault="00F50DE8" w:rsidP="0094558D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od 140 do 180</w:t>
            </w:r>
          </w:p>
        </w:tc>
      </w:tr>
    </w:tbl>
    <w:p w14:paraId="6BA3D82D" w14:textId="77777777" w:rsidR="00F50DE8" w:rsidRPr="00A63C03" w:rsidRDefault="00F50DE8" w:rsidP="00F50DE8">
      <w:pPr>
        <w:rPr>
          <w:rFonts w:ascii="Arial" w:hAnsi="Arial" w:cs="Arial"/>
          <w:sz w:val="18"/>
          <w:szCs w:val="18"/>
        </w:rPr>
      </w:pPr>
    </w:p>
    <w:p w14:paraId="07A92C10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Sposób i czas mieszania składników mieszanki mineralno-asfaltowej powinny zapewnić równomierne otoczenie kruszywa lepiszczem asfaltowym.</w:t>
      </w:r>
    </w:p>
    <w:p w14:paraId="000C2314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Dopuszcza się dostawy mieszanek mineralno-asfaltowych z kilku wytwórni, pod warunkiem skoordynowania między sobą deklarowanych przydatności mieszanek (m.in.: typ, rodzaj składników, właściwości objętościowe) z zachowaniem braku różnic w ich właściwościach.</w:t>
      </w:r>
    </w:p>
    <w:p w14:paraId="6CAA71C2" w14:textId="77777777" w:rsidR="00F50DE8" w:rsidRPr="00A63C03" w:rsidRDefault="00F50DE8" w:rsidP="00E30CB1">
      <w:pPr>
        <w:pStyle w:val="TOMEK-NAGWEK4"/>
        <w:ind w:left="0"/>
        <w:rPr>
          <w:rFonts w:ascii="Arial" w:hAnsi="Arial"/>
          <w:sz w:val="18"/>
          <w:szCs w:val="18"/>
        </w:rPr>
      </w:pPr>
      <w:r w:rsidRPr="00A63C03">
        <w:rPr>
          <w:rFonts w:ascii="Arial" w:hAnsi="Arial"/>
          <w:sz w:val="18"/>
          <w:szCs w:val="18"/>
        </w:rPr>
        <w:t xml:space="preserve">5.4.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A63C03">
        <w:rPr>
          <w:rFonts w:ascii="Arial" w:hAnsi="Arial"/>
          <w:sz w:val="18"/>
          <w:szCs w:val="18"/>
        </w:rPr>
        <w:t>Przygotowanie podłoża</w:t>
      </w:r>
    </w:p>
    <w:p w14:paraId="61DB01DB" w14:textId="77777777" w:rsidR="00F50DE8" w:rsidRPr="00A63C03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Podłoże (podbudowa) pod warstwę wiążącą z betonu asfaltowego powinno być na całej powierzchni:</w:t>
      </w:r>
    </w:p>
    <w:p w14:paraId="29E32911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ustabilizowane i nośne,</w:t>
      </w:r>
    </w:p>
    <w:p w14:paraId="0AAB4A58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czyste, bez zanieczyszczenia lub pozostałości luźnego kruszywa,</w:t>
      </w:r>
    </w:p>
    <w:p w14:paraId="684FCB49" w14:textId="77777777" w:rsidR="00F50DE8" w:rsidRPr="00A63C03" w:rsidRDefault="00F50DE8" w:rsidP="003C1D75">
      <w:pPr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wyprofilowane, równe i bez kolein.</w:t>
      </w:r>
    </w:p>
    <w:p w14:paraId="5836ADFF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W wypadku podłoża z nowo wykonanej warstwy asfaltowej, do oceny nierówności należy przyjąć dane z pomiaru równości tej warstwy, zgodnie z WT-2 Nawierzchnie asfaltowe 2014 - punkt 8.7.2 [65]. </w:t>
      </w:r>
    </w:p>
    <w:p w14:paraId="44BE00DA" w14:textId="77777777" w:rsidR="00F50DE8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Wymagana równość podłużna jest określona w rozporządzeniu dotyczącym warunków technicznych, jakim powinny odpowiadać drogi publiczne [67]. W wypadku podłoża z warstwy starej nawierzchni, nierówności nie powinny przekraczać wartości podanych w tablicy 8.</w:t>
      </w:r>
    </w:p>
    <w:p w14:paraId="483396A4" w14:textId="77777777" w:rsidR="00F50DE8" w:rsidRPr="00A63C03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Tablica 8.</w:t>
      </w:r>
      <w:r w:rsidRPr="00A63C03">
        <w:rPr>
          <w:rFonts w:ascii="Arial" w:hAnsi="Arial" w:cs="Arial"/>
          <w:sz w:val="18"/>
          <w:szCs w:val="18"/>
        </w:rPr>
        <w:tab/>
        <w:t>Maksymalne nierówności podłoża z warstwy starej nawierzchni pod warstwy asfaltowe (pomiar łatą 4-metrową lub równoważną metodą)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2300"/>
      </w:tblGrid>
      <w:tr w:rsidR="00A63C03" w:rsidRPr="00A63C03" w14:paraId="60303DC2" w14:textId="77777777" w:rsidTr="00E30CB1">
        <w:trPr>
          <w:jc w:val="center"/>
        </w:trPr>
        <w:tc>
          <w:tcPr>
            <w:tcW w:w="3969" w:type="dxa"/>
          </w:tcPr>
          <w:p w14:paraId="7E26FD8C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D9DA3F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Element nawierzchni</w:t>
            </w:r>
          </w:p>
        </w:tc>
        <w:tc>
          <w:tcPr>
            <w:tcW w:w="2300" w:type="dxa"/>
          </w:tcPr>
          <w:p w14:paraId="18967C6E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Maksymalna nierówność podłoża pod warstwę wiążącą [mm]</w:t>
            </w:r>
          </w:p>
        </w:tc>
      </w:tr>
      <w:tr w:rsidR="00A63C03" w:rsidRPr="00A63C03" w14:paraId="091B9B14" w14:textId="77777777" w:rsidTr="00E30CB1">
        <w:trPr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255A" w14:textId="77777777" w:rsidR="00A63C03" w:rsidRPr="00A63C03" w:rsidRDefault="00A63C03" w:rsidP="00A63C03">
            <w:pPr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 xml:space="preserve">Pasy ruchu,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BA6C" w14:textId="77777777" w:rsidR="00A63C03" w:rsidRPr="00A63C03" w:rsidRDefault="00A63C03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3C0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0318F994" w14:textId="77777777" w:rsidR="00F50DE8" w:rsidRPr="00A63C03" w:rsidRDefault="00F50DE8" w:rsidP="00E30CB1">
      <w:pPr>
        <w:spacing w:before="120"/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Jeżeli nierówności są większe niż dopuszczalne, to należy wyrównać podłoże.</w:t>
      </w:r>
      <w:r w:rsidR="00E30CB1">
        <w:rPr>
          <w:rFonts w:ascii="Arial" w:hAnsi="Arial" w:cs="Arial"/>
          <w:sz w:val="18"/>
          <w:szCs w:val="18"/>
        </w:rPr>
        <w:t xml:space="preserve"> </w:t>
      </w:r>
      <w:r w:rsidRPr="00A63C03">
        <w:rPr>
          <w:rFonts w:ascii="Arial" w:hAnsi="Arial" w:cs="Arial"/>
          <w:sz w:val="18"/>
          <w:szCs w:val="18"/>
        </w:rPr>
        <w:t>Rzędne wysokościowe podłoża oraz urządzeń usytuowanych w nawierzchni lub ją ograniczających powinny być zgodne z dokumentacją projektową. Z podłoża powinien być zapewniony odpływ wody.</w:t>
      </w:r>
    </w:p>
    <w:p w14:paraId="702B55CA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Oznakowanie poziome na warstwie podłoża należy usunąć. Dopuszcza się pozostawienie oznakowania poziomego z materiałów termoplastycznych przy spełnieniu warunku sczepności warstw wg punktu 5.7.</w:t>
      </w:r>
    </w:p>
    <w:p w14:paraId="49871AF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 xml:space="preserve">Nierówności podłoża (w tym powierzchnię istniejącej warstwy ścieralnej) należy wyrównać poprzez frezowanie lub </w:t>
      </w:r>
      <w:r w:rsidR="00A63C03" w:rsidRPr="00A63C03">
        <w:rPr>
          <w:rFonts w:ascii="Arial" w:hAnsi="Arial" w:cs="Arial"/>
          <w:sz w:val="18"/>
          <w:szCs w:val="18"/>
        </w:rPr>
        <w:t>wykonanie warstwy wyrównawczej.</w:t>
      </w:r>
    </w:p>
    <w:p w14:paraId="5F22A549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Wykonane w podłożu łaty z materiału o mniejszej sztywności (np. łaty z asfaltu lanego w betonie asfaltowym) należy usunąć, a powstałe w ten sposób ubytki wypełnić materiałem o właściwościach zbliżonych do materiału podstawowego (np. wypełnić betonem asfaltowym).</w:t>
      </w:r>
    </w:p>
    <w:p w14:paraId="4F2BD1C3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W celu polepszenia połączenia między warstwami technologicznymi nawierzchni powierzchnia podłoża powinna być w ocenie wizualnej chropowata.</w:t>
      </w:r>
    </w:p>
    <w:p w14:paraId="5F1B036C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Jeżeli podłoże jest nieodpowiednie, to należy ustalić, jakie specjalne środki należy podjąć przed wykonaniem warstwy asfaltowej.</w:t>
      </w:r>
    </w:p>
    <w:p w14:paraId="2A5F416B" w14:textId="77777777" w:rsidR="00A63C03" w:rsidRPr="00A63C03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lastRenderedPageBreak/>
        <w:t>Szerokie szczeliny w podłożu należy wypełnić odpowiednim materiałem, np. zalewami drogowymi według PN-EN 14188-1 [60] lub PN-EN 14188-2 [61] albo innymi materiałami według norm lub aprobat technicznych.</w:t>
      </w:r>
    </w:p>
    <w:p w14:paraId="235D7107" w14:textId="77777777" w:rsidR="00F50DE8" w:rsidRPr="00CA1D9E" w:rsidRDefault="00F50DE8" w:rsidP="00A63C03">
      <w:pPr>
        <w:ind w:firstLine="567"/>
        <w:rPr>
          <w:rFonts w:ascii="Arial" w:hAnsi="Arial" w:cs="Arial"/>
          <w:sz w:val="18"/>
          <w:szCs w:val="18"/>
        </w:rPr>
      </w:pPr>
      <w:r w:rsidRPr="00A63C03">
        <w:rPr>
          <w:rFonts w:ascii="Arial" w:hAnsi="Arial" w:cs="Arial"/>
          <w:sz w:val="18"/>
          <w:szCs w:val="18"/>
        </w:rPr>
        <w:t>Na podłożu wykazującym zniszczenia w postaci siatki spękań zmęczeniowych lub spękań poprzecznych zaleca się stosowanie membrany przeciwspękaniowej, np. mieszanki mineralno-asfaltowej, warstwy SAMI lub z </w:t>
      </w:r>
      <w:r w:rsidRPr="00CA1D9E">
        <w:rPr>
          <w:rFonts w:ascii="Arial" w:hAnsi="Arial" w:cs="Arial"/>
          <w:sz w:val="18"/>
          <w:szCs w:val="18"/>
        </w:rPr>
        <w:t>geosyntetyków według norm lub aprobat technicznych.</w:t>
      </w:r>
    </w:p>
    <w:p w14:paraId="52C5D423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5.5.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Próba technologiczna</w:t>
      </w:r>
    </w:p>
    <w:p w14:paraId="0A681E3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 xml:space="preserve">Wykonawca przed przystąpieniem do produkcji mieszanki jest zobowiązany do przeprowadzenia w obecności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CA1D9E">
        <w:rPr>
          <w:rFonts w:ascii="Arial" w:hAnsi="Arial" w:cs="Arial"/>
          <w:sz w:val="18"/>
          <w:szCs w:val="18"/>
        </w:rPr>
        <w:t xml:space="preserve"> próby technologicznej, która ma na celu sprawdzenie zgodności właściwości wyprodukowanej mieszanki z receptą. W tym celu należy zaprogramować otaczarkę zgodnie z receptą roboczą i w cyklu automatycznym produkować mieszankę. </w:t>
      </w:r>
    </w:p>
    <w:p w14:paraId="575B8269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Do badań należy pobrać mieszankę wyprodukowaną po ustabilizowaniu się pracy otaczarki.</w:t>
      </w:r>
    </w:p>
    <w:p w14:paraId="6CA6E7F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Nie dopuszcza się oceniania dokładności pracy otaczarki oraz prawidłowości składu mieszanki mineralnej na podstawie tzw. suchego zarobu, z uwagi na możliwą segregację kruszywa.</w:t>
      </w:r>
    </w:p>
    <w:p w14:paraId="5A1D9ED5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Mieszankę wyprodukowaną po ustabilizowaniu się pracy otaczarki należy zgromadzić w silosie lub załadować na samochód. Próbki do badań należy pobierać ze skrzyni samochodu zgodnie z metodą określoną w PN-EN 12697</w:t>
      </w:r>
      <w:r w:rsidR="00CA1D9E" w:rsidRPr="00CA1D9E">
        <w:rPr>
          <w:rFonts w:ascii="Arial" w:hAnsi="Arial" w:cs="Arial"/>
          <w:sz w:val="18"/>
          <w:szCs w:val="18"/>
        </w:rPr>
        <w:t>-27 [39].</w:t>
      </w:r>
    </w:p>
    <w:p w14:paraId="3D6342E5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Na podstawie uzyskanych wyników Inżynier podejmuje decyzję o wykonaniu odcinka próbnego.</w:t>
      </w:r>
    </w:p>
    <w:p w14:paraId="240A2C27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5.6.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Połączenie międzywarstwowe</w:t>
      </w:r>
    </w:p>
    <w:p w14:paraId="354C894B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Uzyskanie wymaganej trwałości nawierzchni jest uzależnione od zapewnienia połączenia między warstwami i ich współpracy w przenoszeniu obciążenia nawierzchni ruchem.</w:t>
      </w:r>
    </w:p>
    <w:p w14:paraId="543BD3C4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Podłoże powinno być skropione lepiszczem. Ma to na celu zwiększenie połączenia między warstwami konstrukcyjnymi oraz zabezpieczenie przed wnikaniem i zaleganiem wody między warstwami.</w:t>
      </w:r>
    </w:p>
    <w:p w14:paraId="1637F806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Skropienie lepiszczem podłoża (np. podbudowa asfaltowa), przed ułożeniem warstwy wiążącej z betonu asfaltowego powinno być wykonane w ilości podanej w przeliczeniu na pozostałe lepiszcze, tj. 0,3 ÷ 0,5 kg/m</w:t>
      </w:r>
      <w:r w:rsidRPr="00CA1D9E">
        <w:rPr>
          <w:rFonts w:ascii="Arial" w:hAnsi="Arial" w:cs="Arial"/>
          <w:sz w:val="18"/>
          <w:szCs w:val="18"/>
          <w:vertAlign w:val="superscript"/>
        </w:rPr>
        <w:t>2</w:t>
      </w:r>
      <w:r w:rsidRPr="00CA1D9E">
        <w:rPr>
          <w:rFonts w:ascii="Arial" w:hAnsi="Arial" w:cs="Arial"/>
          <w:sz w:val="18"/>
          <w:szCs w:val="18"/>
        </w:rPr>
        <w:t>, przy czym:</w:t>
      </w:r>
    </w:p>
    <w:p w14:paraId="7C32AE48" w14:textId="77777777" w:rsidR="00F50DE8" w:rsidRPr="00CA1D9E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zaleca się stosować emulsję modyfikowaną polimerem,</w:t>
      </w:r>
    </w:p>
    <w:p w14:paraId="3F54F186" w14:textId="77777777" w:rsidR="00F50DE8" w:rsidRPr="00CA1D9E" w:rsidRDefault="00F50DE8" w:rsidP="003C1D75">
      <w:pPr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ilość emulsji należy dobrać z uwzględnieniem stanu podłoża oraz porowatości mieszanki ; jeśli mieszanka ma większą zawartość wolnych przestrzeni, to należy użyć większą ilość lepiszcza do skropienia, które po ułożeniu warstwy ścieralnej uszczelni ją.</w:t>
      </w:r>
    </w:p>
    <w:p w14:paraId="38C274C7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Skrapianie podłoża należy wykonywać równomiernie stosując rampy do skrapiania, np. skrapiarki do lepiszczy asfaltowych. Dopuszcza się skrapianie ręczne lancą w miejscach trudno dostępnych (np. ścieki uliczne) oraz przy urządzeniach usytuowanych w nawierzchni lub ją ograniczających. W razie potrzeby urządzenia te należy zabezpieczyć przed zabrudzeniem. Skropione podłoże należy wyłączyć z ruchu publicznego przez zmianę organizacji ruchu.</w:t>
      </w:r>
    </w:p>
    <w:p w14:paraId="1706BAA1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W wypadku stosowania emulsji asfaltowej podłoże powinno być skropione 0,5 h przed układaniem warstwy asfaltowej w celu odparowania wody.</w:t>
      </w:r>
    </w:p>
    <w:p w14:paraId="78327F23" w14:textId="77777777" w:rsidR="00F50DE8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Czas ten nie dotyczy skrapiania rampą zamontowaną na rozkładarce.</w:t>
      </w:r>
    </w:p>
    <w:p w14:paraId="44445AF3" w14:textId="77777777" w:rsidR="00F50DE8" w:rsidRPr="00CA1D9E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CA1D9E">
        <w:rPr>
          <w:rFonts w:ascii="Arial" w:hAnsi="Arial"/>
          <w:sz w:val="18"/>
          <w:szCs w:val="18"/>
        </w:rPr>
        <w:t xml:space="preserve">5.8.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CA1D9E">
        <w:rPr>
          <w:rFonts w:ascii="Arial" w:hAnsi="Arial"/>
          <w:sz w:val="18"/>
          <w:szCs w:val="18"/>
        </w:rPr>
        <w:t>Wbudowanie mieszanki mineralno-asfaltowej</w:t>
      </w:r>
    </w:p>
    <w:p w14:paraId="0D61F239" w14:textId="77777777" w:rsidR="00CA1D9E" w:rsidRPr="00CA1D9E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>Mieszankę mineralno-asfaltową można wbudowywać na podłożu przygotowanym zgodnie z zapisami w punktach 5.4 i 5.7.</w:t>
      </w:r>
    </w:p>
    <w:p w14:paraId="0196354D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CA1D9E">
        <w:rPr>
          <w:rFonts w:ascii="Arial" w:hAnsi="Arial" w:cs="Arial"/>
          <w:sz w:val="18"/>
          <w:szCs w:val="18"/>
        </w:rPr>
        <w:t xml:space="preserve">Transport mieszanki mineralno-asfaltowej asfaltowej powinien być zgodny z zaleceniami podanymi </w:t>
      </w:r>
      <w:r w:rsidRPr="002E3920">
        <w:rPr>
          <w:rFonts w:ascii="Arial" w:hAnsi="Arial" w:cs="Arial"/>
          <w:sz w:val="18"/>
          <w:szCs w:val="18"/>
        </w:rPr>
        <w:t>w punkcie 4.2.</w:t>
      </w:r>
    </w:p>
    <w:p w14:paraId="7A876E1C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Mieszankę mineralno-asfaltową asfaltową należy wbudowywać w odpowiednich warunkach atmosferycznych.</w:t>
      </w:r>
    </w:p>
    <w:p w14:paraId="38982FA5" w14:textId="77777777" w:rsidR="00CA1D9E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Temperatura otoczenia w ciągu doby nie powinna być niższa od temperatury podanej w tablicy 9. Temperatura otoczenia może być niższa w wypadku stosowania ogrzewania podłoża. Nie dopuszcza się układania mieszanki mineralno-asfaltowej asfaltowej podczas silnego wiatru (V &gt; 16 m/s).</w:t>
      </w:r>
    </w:p>
    <w:p w14:paraId="41689B8B" w14:textId="77777777" w:rsidR="00F50DE8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W wypadku stosowania mieszanek mineralno-asfaltowych z dodatkiem obniżającym temperaturę mieszania i wbudowania należy indywidualnie określić wymagane warunki otoczenia.</w:t>
      </w:r>
    </w:p>
    <w:p w14:paraId="6523EBBA" w14:textId="77777777" w:rsidR="00F50DE8" w:rsidRPr="002E3920" w:rsidRDefault="00F50DE8" w:rsidP="00F50DE8">
      <w:pPr>
        <w:tabs>
          <w:tab w:val="left" w:pos="993"/>
        </w:tabs>
        <w:spacing w:before="120" w:after="120"/>
        <w:ind w:left="993" w:hanging="993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Tablica 9.</w:t>
      </w:r>
      <w:r w:rsidRPr="002E3920">
        <w:rPr>
          <w:rFonts w:ascii="Arial" w:hAnsi="Arial" w:cs="Arial"/>
          <w:sz w:val="18"/>
          <w:szCs w:val="18"/>
        </w:rPr>
        <w:tab/>
        <w:t>Minimalna temperatura otoczenia podczas wykonywania warstwy wiążącej z 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1591"/>
      </w:tblGrid>
      <w:tr w:rsidR="00F50DE8" w:rsidRPr="002E3920" w14:paraId="3CA0BEA1" w14:textId="77777777" w:rsidTr="0094558D">
        <w:tc>
          <w:tcPr>
            <w:tcW w:w="3227" w:type="dxa"/>
            <w:vMerge w:val="restart"/>
            <w:vAlign w:val="center"/>
          </w:tcPr>
          <w:p w14:paraId="2E171C4F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4284" w:type="dxa"/>
            <w:gridSpan w:val="2"/>
          </w:tcPr>
          <w:p w14:paraId="47A5BF17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Minimalna temperatura otoczenia [°C]</w:t>
            </w:r>
          </w:p>
        </w:tc>
      </w:tr>
      <w:tr w:rsidR="00F50DE8" w:rsidRPr="002E3920" w14:paraId="4AB0A27A" w14:textId="77777777" w:rsidTr="0094558D">
        <w:tc>
          <w:tcPr>
            <w:tcW w:w="3227" w:type="dxa"/>
            <w:vMerge/>
          </w:tcPr>
          <w:p w14:paraId="7DBE0831" w14:textId="77777777" w:rsidR="00F50DE8" w:rsidRPr="002E3920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E4D3A9B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przed przystąpieniem do robót</w:t>
            </w:r>
          </w:p>
        </w:tc>
        <w:tc>
          <w:tcPr>
            <w:tcW w:w="1591" w:type="dxa"/>
          </w:tcPr>
          <w:p w14:paraId="73CE416B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w czasie robót</w:t>
            </w:r>
          </w:p>
        </w:tc>
      </w:tr>
      <w:tr w:rsidR="00F50DE8" w:rsidRPr="002E3920" w14:paraId="06673785" w14:textId="77777777" w:rsidTr="0094558D">
        <w:tc>
          <w:tcPr>
            <w:tcW w:w="3227" w:type="dxa"/>
          </w:tcPr>
          <w:p w14:paraId="7555FEDB" w14:textId="77777777" w:rsidR="00F50DE8" w:rsidRPr="002E3920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Warstwa wiążąca</w:t>
            </w:r>
          </w:p>
        </w:tc>
        <w:tc>
          <w:tcPr>
            <w:tcW w:w="2693" w:type="dxa"/>
          </w:tcPr>
          <w:p w14:paraId="7F1EFDE8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91" w:type="dxa"/>
          </w:tcPr>
          <w:p w14:paraId="62FFB247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+2</w:t>
            </w:r>
          </w:p>
        </w:tc>
      </w:tr>
    </w:tbl>
    <w:p w14:paraId="40C9A81B" w14:textId="77777777" w:rsidR="00F50DE8" w:rsidRPr="002E3920" w:rsidRDefault="00F50DE8" w:rsidP="00F50DE8">
      <w:pPr>
        <w:spacing w:before="120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Właściwości wykonanej warstwy powinny spełniać warunki podane w tablicy 10.</w:t>
      </w:r>
    </w:p>
    <w:p w14:paraId="1342F5E5" w14:textId="77777777" w:rsidR="00F50DE8" w:rsidRPr="002E3920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Tablica 10. Właściwości warstwy AC [65]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667"/>
        <w:gridCol w:w="1878"/>
        <w:gridCol w:w="1878"/>
      </w:tblGrid>
      <w:tr w:rsidR="00F50DE8" w:rsidRPr="002E3920" w14:paraId="34470796" w14:textId="77777777" w:rsidTr="0094558D">
        <w:tc>
          <w:tcPr>
            <w:tcW w:w="2088" w:type="dxa"/>
          </w:tcPr>
          <w:p w14:paraId="0ADFFCC1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F0322F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Typ i wymiar mieszanki</w:t>
            </w:r>
          </w:p>
        </w:tc>
        <w:tc>
          <w:tcPr>
            <w:tcW w:w="1667" w:type="dxa"/>
          </w:tcPr>
          <w:p w14:paraId="12C20626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Projektowana grubość warstwy technologicznej [cm]</w:t>
            </w:r>
          </w:p>
        </w:tc>
        <w:tc>
          <w:tcPr>
            <w:tcW w:w="1878" w:type="dxa"/>
          </w:tcPr>
          <w:p w14:paraId="3872A7D0" w14:textId="77777777" w:rsidR="00F50DE8" w:rsidRPr="002E3920" w:rsidRDefault="00F50DE8" w:rsidP="0094558D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</w:p>
          <w:p w14:paraId="219C9F65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[%]</w:t>
            </w:r>
          </w:p>
        </w:tc>
        <w:tc>
          <w:tcPr>
            <w:tcW w:w="1878" w:type="dxa"/>
          </w:tcPr>
          <w:p w14:paraId="109BAE73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Zawartość wolnych przestrzeni w warstwie</w:t>
            </w:r>
          </w:p>
          <w:p w14:paraId="3F803391" w14:textId="77777777" w:rsidR="00F50DE8" w:rsidRPr="002E3920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[%(v/v)]</w:t>
            </w:r>
          </w:p>
        </w:tc>
      </w:tr>
      <w:tr w:rsidR="00F50DE8" w:rsidRPr="002E3920" w14:paraId="78DBD917" w14:textId="77777777" w:rsidTr="0094558D">
        <w:tc>
          <w:tcPr>
            <w:tcW w:w="2088" w:type="dxa"/>
          </w:tcPr>
          <w:p w14:paraId="23FACB07" w14:textId="77777777" w:rsidR="00F50DE8" w:rsidRPr="002E3920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 xml:space="preserve">AC16W,  KR3÷KR4 </w:t>
            </w:r>
            <w:r w:rsidRPr="002E3920">
              <w:rPr>
                <w:rFonts w:ascii="Arial" w:hAnsi="Arial" w:cs="Arial"/>
                <w:sz w:val="18"/>
                <w:szCs w:val="18"/>
                <w:vertAlign w:val="superscript"/>
              </w:rPr>
              <w:t>E)</w:t>
            </w:r>
          </w:p>
        </w:tc>
        <w:tc>
          <w:tcPr>
            <w:tcW w:w="1667" w:type="dxa"/>
          </w:tcPr>
          <w:p w14:paraId="674B9499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5,0 ÷ 10,0</w:t>
            </w:r>
          </w:p>
        </w:tc>
        <w:tc>
          <w:tcPr>
            <w:tcW w:w="1878" w:type="dxa"/>
          </w:tcPr>
          <w:p w14:paraId="59908F3E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≥ 98</w:t>
            </w:r>
          </w:p>
        </w:tc>
        <w:tc>
          <w:tcPr>
            <w:tcW w:w="1878" w:type="dxa"/>
          </w:tcPr>
          <w:p w14:paraId="19D41950" w14:textId="77777777" w:rsidR="00F50DE8" w:rsidRPr="002E3920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3920">
              <w:rPr>
                <w:rFonts w:ascii="Arial" w:hAnsi="Arial" w:cs="Arial"/>
                <w:sz w:val="18"/>
                <w:szCs w:val="18"/>
              </w:rPr>
              <w:t>4,0 ÷ 7,0</w:t>
            </w:r>
          </w:p>
        </w:tc>
      </w:tr>
    </w:tbl>
    <w:p w14:paraId="25244F0D" w14:textId="77777777" w:rsidR="00F50DE8" w:rsidRPr="002E3920" w:rsidRDefault="00F50DE8" w:rsidP="00F50DE8">
      <w:pPr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  <w:vertAlign w:val="superscript"/>
        </w:rPr>
        <w:lastRenderedPageBreak/>
        <w:t>E)</w:t>
      </w:r>
      <w:r w:rsidRPr="002E3920">
        <w:rPr>
          <w:rFonts w:ascii="Arial" w:hAnsi="Arial" w:cs="Arial"/>
          <w:sz w:val="18"/>
          <w:szCs w:val="18"/>
        </w:rPr>
        <w:t xml:space="preserve"> projektowanie empiryczne,</w:t>
      </w:r>
    </w:p>
    <w:p w14:paraId="7CF97DC3" w14:textId="77777777" w:rsidR="00CA1D9E" w:rsidRPr="002E3920" w:rsidRDefault="00F50DE8" w:rsidP="00CA1D9E">
      <w:pPr>
        <w:spacing w:before="120"/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Mieszanka mineralno-asfaltowa powinna być wbudowywana rozkładarką wyposażoną w układ automatycznego sterowania grubości warstwy i utrzymywania niwelety zgodnie z dokumentacją projektową. W miejscach niedostępnych dla sprzętu dopuszcza się wbudowywanie ręczne.</w:t>
      </w:r>
    </w:p>
    <w:p w14:paraId="0A5A8C17" w14:textId="77777777" w:rsidR="00F50DE8" w:rsidRPr="002E3920" w:rsidRDefault="00F50DE8" w:rsidP="00CA1D9E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Grubość wykonywanej warstwy powinna być sprawdzana co 25 m, w co najmniej trzech miejscach (w osi i przy brzegach warstwy).</w:t>
      </w:r>
    </w:p>
    <w:p w14:paraId="4EBD17B6" w14:textId="77777777" w:rsidR="00F50DE8" w:rsidRPr="002E3920" w:rsidRDefault="00F50DE8" w:rsidP="00F50DE8">
      <w:pPr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 xml:space="preserve">Warstwy wałowane powinny być równomiernie zagęszczone ciężkimi walcami drogowymi. Do warstw z betonu asfaltowego należy stosować walce drogowe stalowe gładkie z możliwością wibracji, oscylacji lub walce ogumione. </w:t>
      </w:r>
    </w:p>
    <w:p w14:paraId="4743744A" w14:textId="77777777" w:rsidR="00F50DE8" w:rsidRPr="002E3920" w:rsidRDefault="00F50DE8" w:rsidP="00CA1D9E">
      <w:pPr>
        <w:pStyle w:val="TOMEK-NAGWEK4"/>
        <w:ind w:left="0"/>
        <w:rPr>
          <w:rFonts w:ascii="Arial" w:hAnsi="Arial"/>
          <w:sz w:val="18"/>
          <w:szCs w:val="18"/>
        </w:rPr>
      </w:pPr>
      <w:r w:rsidRPr="002E3920">
        <w:rPr>
          <w:rFonts w:ascii="Arial" w:hAnsi="Arial"/>
          <w:sz w:val="18"/>
          <w:szCs w:val="18"/>
        </w:rPr>
        <w:t>5.9.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2E3920">
        <w:rPr>
          <w:rFonts w:ascii="Arial" w:hAnsi="Arial"/>
          <w:sz w:val="18"/>
          <w:szCs w:val="18"/>
        </w:rPr>
        <w:t xml:space="preserve"> Połączenia technologiczne</w:t>
      </w:r>
    </w:p>
    <w:p w14:paraId="01D10631" w14:textId="77777777" w:rsidR="00F50DE8" w:rsidRDefault="00F50DE8" w:rsidP="002E3920">
      <w:pPr>
        <w:ind w:firstLine="567"/>
        <w:rPr>
          <w:rFonts w:ascii="Arial" w:hAnsi="Arial" w:cs="Arial"/>
          <w:sz w:val="18"/>
          <w:szCs w:val="18"/>
        </w:rPr>
      </w:pPr>
      <w:r w:rsidRPr="002E3920">
        <w:rPr>
          <w:rFonts w:ascii="Arial" w:hAnsi="Arial" w:cs="Arial"/>
          <w:sz w:val="18"/>
          <w:szCs w:val="18"/>
        </w:rPr>
        <w:t>Połączenia technologiczne należy wykonać zgodnie z WT-2 Nawierzchnie asfaltowe 2014 punkt 8.6 [65].</w:t>
      </w:r>
    </w:p>
    <w:p w14:paraId="4AE727F8" w14:textId="77777777" w:rsidR="00E30CB1" w:rsidRDefault="00E30CB1" w:rsidP="002E3920">
      <w:pPr>
        <w:ind w:firstLine="567"/>
        <w:rPr>
          <w:rFonts w:ascii="Arial" w:hAnsi="Arial" w:cs="Arial"/>
          <w:sz w:val="18"/>
          <w:szCs w:val="18"/>
        </w:rPr>
      </w:pPr>
    </w:p>
    <w:p w14:paraId="20F52858" w14:textId="77777777" w:rsidR="00E30CB1" w:rsidRPr="002E3920" w:rsidRDefault="00E30CB1" w:rsidP="002E3920">
      <w:pPr>
        <w:ind w:firstLine="567"/>
        <w:rPr>
          <w:rFonts w:ascii="Arial" w:hAnsi="Arial" w:cs="Arial"/>
          <w:sz w:val="18"/>
          <w:szCs w:val="18"/>
        </w:rPr>
      </w:pPr>
    </w:p>
    <w:p w14:paraId="78197AE0" w14:textId="77777777" w:rsidR="00F50DE8" w:rsidRPr="004674BE" w:rsidRDefault="00F50DE8" w:rsidP="00E30CB1">
      <w:pPr>
        <w:pStyle w:val="TOMEK-NAGWEK3"/>
        <w:spacing w:before="0"/>
        <w:rPr>
          <w:rFonts w:ascii="Arial" w:hAnsi="Arial"/>
          <w:sz w:val="18"/>
          <w:szCs w:val="18"/>
        </w:rPr>
      </w:pPr>
      <w:bookmarkStart w:id="19" w:name="_Toc343865972"/>
      <w:bookmarkStart w:id="20" w:name="_Toc414971078"/>
      <w:bookmarkStart w:id="21" w:name="_Toc438497710"/>
      <w:r w:rsidRPr="004674BE">
        <w:rPr>
          <w:rFonts w:ascii="Arial" w:hAnsi="Arial"/>
          <w:sz w:val="18"/>
          <w:szCs w:val="18"/>
        </w:rPr>
        <w:t xml:space="preserve">6. </w:t>
      </w:r>
      <w:r w:rsidR="00E30CB1">
        <w:rPr>
          <w:rFonts w:ascii="Arial" w:hAnsi="Arial"/>
          <w:sz w:val="18"/>
          <w:szCs w:val="18"/>
        </w:rPr>
        <w:t xml:space="preserve">       </w:t>
      </w:r>
      <w:r w:rsidRPr="004674BE">
        <w:rPr>
          <w:rFonts w:ascii="Arial" w:hAnsi="Arial"/>
          <w:sz w:val="18"/>
          <w:szCs w:val="18"/>
        </w:rPr>
        <w:t>KONTROLA JAKOŚCI ROBÓT</w:t>
      </w:r>
      <w:bookmarkEnd w:id="19"/>
      <w:bookmarkEnd w:id="20"/>
      <w:bookmarkEnd w:id="21"/>
    </w:p>
    <w:p w14:paraId="048BEB73" w14:textId="77777777" w:rsidR="00F50DE8" w:rsidRPr="004674BE" w:rsidRDefault="00F50DE8" w:rsidP="002E3920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6.1.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Ogólne zasady kontroli jakości robót</w:t>
      </w:r>
    </w:p>
    <w:p w14:paraId="06D448DD" w14:textId="77777777" w:rsidR="00F50DE8" w:rsidRPr="004674BE" w:rsidRDefault="00F50DE8" w:rsidP="002E3920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Ogólne zasady kontroli jakości robót podano w  STWiORB D-M-00.00.00 „Wymagania ogólne” [1] pkt 6.</w:t>
      </w:r>
    </w:p>
    <w:p w14:paraId="18FBEE99" w14:textId="77777777" w:rsidR="00F50DE8" w:rsidRPr="004674BE" w:rsidRDefault="00F50DE8" w:rsidP="002E3920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6.2.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Badania przed przystąpieniem do robót</w:t>
      </w:r>
    </w:p>
    <w:p w14:paraId="13FD32C9" w14:textId="77777777" w:rsidR="00F50DE8" w:rsidRPr="004674BE" w:rsidRDefault="00F50DE8" w:rsidP="004674BE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Przed przystąpieniem do robót Wykonawca powinien:</w:t>
      </w:r>
    </w:p>
    <w:p w14:paraId="7391FC45" w14:textId="77777777" w:rsidR="00F50DE8" w:rsidRPr="004674BE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uzyskać wymagane dokumenty, dopuszczające wyroby budowlane do obrotu i powszechnego stosowania (np. stwierdzenie o oznakowaniu materiału znakiem CE lub znakiem budowlanym B, certyfikat zgodności, deklarację zgodności, aprobatę techniczną, ew. badania materiałów wykonane przez dostawców itp.),</w:t>
      </w:r>
    </w:p>
    <w:p w14:paraId="4287C632" w14:textId="77777777" w:rsidR="00F50DE8" w:rsidRPr="004674BE" w:rsidRDefault="00F50DE8" w:rsidP="00F50DE8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ew. wykonać własne badania właściwości materiałów przeznaczonych do wykonania robót, określone przez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>.</w:t>
      </w:r>
    </w:p>
    <w:p w14:paraId="6DCB51FD" w14:textId="77777777" w:rsidR="00F50DE8" w:rsidRPr="004674BE" w:rsidRDefault="00F50DE8" w:rsidP="004674BE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Wszystkie dokumenty oraz wyniki badań Wykonawca przedstawia Inżynierowi do akceptacji.</w:t>
      </w:r>
    </w:p>
    <w:p w14:paraId="2C155158" w14:textId="77777777" w:rsidR="00F50DE8" w:rsidRPr="004674BE" w:rsidRDefault="00F50DE8" w:rsidP="004674BE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 xml:space="preserve"> Badania w czasie robót</w:t>
      </w:r>
    </w:p>
    <w:p w14:paraId="48DE6F51" w14:textId="77777777" w:rsidR="00F50DE8" w:rsidRPr="004674BE" w:rsidRDefault="00F50DE8" w:rsidP="00E30CB1">
      <w:pPr>
        <w:pStyle w:val="TOMEK-Nagwek5"/>
        <w:spacing w:after="0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6.3.1.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 Uwagi ogólne</w:t>
      </w:r>
    </w:p>
    <w:p w14:paraId="186141CE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dzielą się na:</w:t>
      </w:r>
    </w:p>
    <w:p w14:paraId="66264B55" w14:textId="77777777" w:rsidR="00F50DE8" w:rsidRPr="004674BE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wykonawcy (w ramach własnego nadzoru),</w:t>
      </w:r>
    </w:p>
    <w:p w14:paraId="6624F15D" w14:textId="77777777" w:rsidR="00F50DE8" w:rsidRPr="004674BE" w:rsidRDefault="00F50DE8" w:rsidP="003C1D75">
      <w:pPr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kontrolne (w ramach nadzoru zleceniodawcy –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>).</w:t>
      </w:r>
    </w:p>
    <w:p w14:paraId="324C75CC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>6.3.2.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 Badania Wykonawcy</w:t>
      </w:r>
    </w:p>
    <w:p w14:paraId="3A4FD3FF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Wykonawcy są wykonywane przez Wykonawcę lub jego zleceniobiorców celem sprawdzenia, czy jakość materiałów budowlanych (mieszanek mineralno-asfaltowych i ich składników, lepiszczy i materiałów do uszczelnień itp.) oraz gotowej warstwy (wbudowane warstwy asfaltowe, połączenia itp.) spełniają wymagania określone w kontrakcie.</w:t>
      </w:r>
    </w:p>
    <w:p w14:paraId="2384C30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Wykonawca powinien wykonywać te badania podczas realizacji kontraktu, z niezbędną starannością i w wymaganym zakresie. Wyniki należy zapisywać w protokołach. W razie stwierdzenia uchybień w stosunku do wymagań kontraktu, ich przyczyny należy niezwłocznie usunąć.</w:t>
      </w:r>
    </w:p>
    <w:p w14:paraId="373A411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Wyniki badań Wykonawcy należy przekazywać Inżynierowi na jego żądanie. Inżynier może zdecydować o dokonaniu odbioru na podstawie badań Wykonawcy. W razie zastrzeżeń Inżynier może przeprowadz</w:t>
      </w:r>
      <w:r w:rsidR="009B30EF">
        <w:rPr>
          <w:rFonts w:ascii="Arial" w:hAnsi="Arial" w:cs="Arial"/>
          <w:sz w:val="18"/>
          <w:szCs w:val="18"/>
        </w:rPr>
        <w:t>ić badania kontrolne według pkt</w:t>
      </w:r>
      <w:r w:rsidRPr="004674BE">
        <w:rPr>
          <w:rFonts w:ascii="Arial" w:hAnsi="Arial" w:cs="Arial"/>
          <w:sz w:val="18"/>
          <w:szCs w:val="18"/>
        </w:rPr>
        <w:t xml:space="preserve"> 6.3.3.</w:t>
      </w:r>
    </w:p>
    <w:p w14:paraId="50DF60D3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Zakres badań Wykonawcy związany z wykonywaniem nawierzchni:</w:t>
      </w:r>
    </w:p>
    <w:p w14:paraId="24926036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temperatury powietrza,</w:t>
      </w:r>
    </w:p>
    <w:p w14:paraId="1E81BE21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temperatury mieszanki mineralno-asfaltowej podczas wykonywania nawierzchni (wg PN-EN 12697-13 [36]),</w:t>
      </w:r>
    </w:p>
    <w:p w14:paraId="7267A88A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mieszanki mineralno-asfaltowej,</w:t>
      </w:r>
    </w:p>
    <w:p w14:paraId="0DB9AAF3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wykaz ilości materiałów lub grubości wykonanej warstwy,</w:t>
      </w:r>
    </w:p>
    <w:p w14:paraId="26DFE6A6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spadku poprzecznego warstwy asfaltowej,</w:t>
      </w:r>
    </w:p>
    <w:p w14:paraId="76A034E2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równ</w:t>
      </w:r>
      <w:r w:rsidR="009B30EF">
        <w:rPr>
          <w:rFonts w:ascii="Arial" w:hAnsi="Arial" w:cs="Arial"/>
          <w:sz w:val="18"/>
          <w:szCs w:val="18"/>
        </w:rPr>
        <w:t>ości warstwy asfaltowej (wg pkt</w:t>
      </w:r>
      <w:r w:rsidRPr="004674BE">
        <w:rPr>
          <w:rFonts w:ascii="Arial" w:hAnsi="Arial" w:cs="Arial"/>
          <w:sz w:val="18"/>
          <w:szCs w:val="18"/>
        </w:rPr>
        <w:t xml:space="preserve"> 6.4.2.5),</w:t>
      </w:r>
    </w:p>
    <w:p w14:paraId="7B19C659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pomiar parametrów geometrycznych poboczy,</w:t>
      </w:r>
    </w:p>
    <w:p w14:paraId="26DB351A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jednorodności powierzchni warstwy,</w:t>
      </w:r>
    </w:p>
    <w:p w14:paraId="4290E828" w14:textId="77777777" w:rsidR="00F50DE8" w:rsidRPr="004674BE" w:rsidRDefault="00F50DE8" w:rsidP="003C1D75">
      <w:pPr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ocena wizualna jakości wykonania połączeń technologicznych.</w:t>
      </w:r>
    </w:p>
    <w:p w14:paraId="4C272BD5" w14:textId="77777777" w:rsidR="00E30CB1" w:rsidRDefault="00E30CB1" w:rsidP="004674BE">
      <w:pPr>
        <w:pStyle w:val="TOMEK-Nagwek5"/>
        <w:ind w:left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</w:p>
    <w:p w14:paraId="15C97A66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lastRenderedPageBreak/>
        <w:t xml:space="preserve">6.3.3.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 xml:space="preserve">Badania kontrolne </w:t>
      </w:r>
    </w:p>
    <w:p w14:paraId="6D6963BC" w14:textId="77777777" w:rsidR="004674BE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kontrolne są badaniami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 xml:space="preserve">, których celem jest sprawdzenie, czy jakość materiałów budowlanych (mieszanek mineralno-asfaltowych i ich składników, lepiszczy i materiałów do uszczelnień itp.) oraz gotowej warstwy (wbudowane warstwy asfaltowe, połączenia itp.) spełniają wymagania określone w kontrakcie. Wyniki tych badań są podstawą odbioru. </w:t>
      </w:r>
    </w:p>
    <w:p w14:paraId="7F24047A" w14:textId="77777777" w:rsidR="004674BE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Pobieraniem próbek i wykonaniem badań na miejscu budowy zajmuje się Inżynier w obecności Wykonawcy. Badania odbywają się również wtedy, gdy Wykonawca zostanie w porę powiadomiony o ich terminie, jednak nie będzie przy nich obecny.</w:t>
      </w:r>
    </w:p>
    <w:p w14:paraId="23CCACCA" w14:textId="77777777" w:rsidR="00F50DE8" w:rsidRPr="004674BE" w:rsidRDefault="00F50DE8" w:rsidP="00E30CB1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Rodzaj badań kontrolnych mieszanki mineralno-asfaltowej i wykonanej z niej warstwy podano w tablicy 11.</w:t>
      </w:r>
    </w:p>
    <w:p w14:paraId="7E0D8D95" w14:textId="77777777" w:rsidR="00F50DE8" w:rsidRPr="004674BE" w:rsidRDefault="00F50DE8" w:rsidP="00F50DE8">
      <w:pPr>
        <w:spacing w:before="120" w:after="120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Tablica 11. Rodzaj badań kontrolnych [65]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252"/>
      </w:tblGrid>
      <w:tr w:rsidR="00F50DE8" w:rsidRPr="004674BE" w14:paraId="316FC6D0" w14:textId="77777777" w:rsidTr="0094558D">
        <w:tc>
          <w:tcPr>
            <w:tcW w:w="1134" w:type="dxa"/>
          </w:tcPr>
          <w:p w14:paraId="68FD82EA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252" w:type="dxa"/>
          </w:tcPr>
          <w:p w14:paraId="60943986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Rodzaj badań</w:t>
            </w:r>
          </w:p>
        </w:tc>
      </w:tr>
      <w:tr w:rsidR="00F50DE8" w:rsidRPr="004674BE" w14:paraId="79576A04" w14:textId="77777777" w:rsidTr="0094558D">
        <w:tc>
          <w:tcPr>
            <w:tcW w:w="1134" w:type="dxa"/>
          </w:tcPr>
          <w:p w14:paraId="282ADA14" w14:textId="77777777" w:rsidR="00F50DE8" w:rsidRPr="004674BE" w:rsidRDefault="00F50DE8" w:rsidP="0094558D">
            <w:pPr>
              <w:spacing w:before="12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EFCF3CE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1.1</w:t>
            </w:r>
          </w:p>
          <w:p w14:paraId="1921E4B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1.2</w:t>
            </w:r>
          </w:p>
          <w:p w14:paraId="444F901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1.3</w:t>
            </w:r>
          </w:p>
          <w:p w14:paraId="3B571C11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1.4</w:t>
            </w:r>
          </w:p>
          <w:p w14:paraId="17DC98FC" w14:textId="77777777" w:rsidR="00F50DE8" w:rsidRPr="004674BE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4E5C91A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2.1</w:t>
            </w:r>
          </w:p>
          <w:p w14:paraId="7E609DD8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2.2</w:t>
            </w:r>
          </w:p>
          <w:p w14:paraId="5B945889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2.3</w:t>
            </w:r>
          </w:p>
          <w:p w14:paraId="65155D5A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2.4</w:t>
            </w:r>
          </w:p>
          <w:p w14:paraId="7FAB40E0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2.5</w:t>
            </w:r>
          </w:p>
          <w:p w14:paraId="67E4C2E4" w14:textId="77777777" w:rsidR="00F50DE8" w:rsidRPr="004674BE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4252" w:type="dxa"/>
          </w:tcPr>
          <w:p w14:paraId="4E1585DC" w14:textId="77777777" w:rsidR="00F50DE8" w:rsidRPr="004674BE" w:rsidRDefault="00F50DE8" w:rsidP="0094558D">
            <w:pPr>
              <w:spacing w:before="120" w:after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Mieszanka mineralno-asfaltowa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a), b)</w:t>
            </w:r>
          </w:p>
          <w:p w14:paraId="2ABD2B61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Uziarnienie</w:t>
            </w:r>
          </w:p>
          <w:p w14:paraId="3635F5A4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Zawartość lepiszcza</w:t>
            </w:r>
          </w:p>
          <w:p w14:paraId="4F1D6068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Temperatura mięknienia lepiszcza odzyskanego</w:t>
            </w:r>
          </w:p>
          <w:p w14:paraId="350848BA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Gęstość i zawartość wolnych przestrzeni próbki</w:t>
            </w:r>
          </w:p>
          <w:p w14:paraId="19DAE456" w14:textId="77777777" w:rsidR="00F50DE8" w:rsidRPr="004674BE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Warstwa asfaltowa</w:t>
            </w:r>
          </w:p>
          <w:p w14:paraId="7D7665C5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Wskaźnik zagęszczenia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22B2F0D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Spadki poprzeczne</w:t>
            </w:r>
          </w:p>
          <w:p w14:paraId="0DB8E290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Równość</w:t>
            </w:r>
          </w:p>
          <w:p w14:paraId="08D863D1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Grubość lub ilość materiału</w:t>
            </w:r>
          </w:p>
          <w:p w14:paraId="7079F08F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 xml:space="preserve">Zawartość wolnych przestrzeni 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10EA187" w14:textId="77777777" w:rsidR="00F50DE8" w:rsidRPr="004674BE" w:rsidRDefault="00F50DE8" w:rsidP="0094558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</w:rPr>
              <w:t>Właściwości przeciwpoślizgowe</w:t>
            </w:r>
          </w:p>
        </w:tc>
      </w:tr>
      <w:tr w:rsidR="00F50DE8" w:rsidRPr="004674BE" w14:paraId="1990B8E3" w14:textId="77777777" w:rsidTr="0094558D">
        <w:tc>
          <w:tcPr>
            <w:tcW w:w="5386" w:type="dxa"/>
            <w:gridSpan w:val="2"/>
          </w:tcPr>
          <w:p w14:paraId="298B2194" w14:textId="77777777" w:rsidR="00F50DE8" w:rsidRPr="004674BE" w:rsidRDefault="00F50DE8" w:rsidP="0094558D">
            <w:p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do każdej warstwy i na każde rozpoczęte 6 000 m</w:t>
            </w: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nawierzchni jedna próbka; w razie potrzeby liczba próbek może zostać zwiększona (np. nawierzchnie dróg w terenie zabudowy)</w:t>
            </w:r>
          </w:p>
          <w:p w14:paraId="5993E3A3" w14:textId="77777777" w:rsidR="00F50DE8" w:rsidRPr="004674BE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4674BE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4674BE">
              <w:rPr>
                <w:rFonts w:ascii="Arial" w:hAnsi="Arial" w:cs="Arial"/>
                <w:sz w:val="18"/>
                <w:szCs w:val="18"/>
              </w:rPr>
              <w:t xml:space="preserve"> w razie potrzeby specjalne kruszywa i dodatki</w:t>
            </w:r>
          </w:p>
        </w:tc>
      </w:tr>
    </w:tbl>
    <w:p w14:paraId="601199AE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6.3.4.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Badania kontrolne dodatkowe</w:t>
      </w:r>
    </w:p>
    <w:p w14:paraId="1E41916A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 wypadku uznania, że jeden z wyników badań kontrolnych nie jest reprezentatywny dla ocenianego odcinka budowy, Wykonawca ma prawo żądać przeprowadzenia badań kontrolnych dodatkowych.</w:t>
      </w:r>
    </w:p>
    <w:p w14:paraId="547443E2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Inżynier i Wykonawca decydują wspólnie o miejscach pobierania próbek i wyznaczeniu odcinków częściowych ocenianego odcinka budowy. Jeżeli odcinek częściowy przyporządkowany do badań kontrolnych nie może być jednoznacznie i zgodnie wyznaczony, to odcinek ten nie powinien być mniejszy niż 20% ocenianego odcinka budowy.</w:t>
      </w:r>
    </w:p>
    <w:p w14:paraId="0B5D0DAC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Do odbioru uwzględniane są wyniki badań kontrolnych i badań kontrolnych dodatkowych do wyznaczonych odcinków częściowych.</w:t>
      </w:r>
    </w:p>
    <w:p w14:paraId="0BE2276D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Koszty badań kontrolnych dodatkowych zażądanych przez Wykonawcę ponosi Wykonawca.</w:t>
      </w:r>
    </w:p>
    <w:p w14:paraId="7E0F2CF4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6.3.5.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Badania arbitrażowe</w:t>
      </w:r>
    </w:p>
    <w:p w14:paraId="273C7ADD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Badania arbitrażowe są powtórzeniem badań kontrolnych, co do których istnieją uzasadnione wątpliwości ze strony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4674BE">
        <w:rPr>
          <w:rFonts w:ascii="Arial" w:hAnsi="Arial" w:cs="Arial"/>
          <w:sz w:val="18"/>
          <w:szCs w:val="18"/>
        </w:rPr>
        <w:t xml:space="preserve"> lub Wykonawcy (np. na podstawie własnych badań).</w:t>
      </w:r>
    </w:p>
    <w:p w14:paraId="56422B41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Badania arbitrażowe wykonuje na wniosek strony kontraktu niezależne laboratorium, które nie wykonywało badań kontrolnych.</w:t>
      </w:r>
    </w:p>
    <w:p w14:paraId="43823494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Koszty badań arbitrażowych wraz ze wszystkimi kosztami ubocznymi ponosi strona, na której niekorzyść przemawia wynik badania.</w:t>
      </w:r>
    </w:p>
    <w:p w14:paraId="7527F50B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Wniosek o przeprowadzenie badań arbitrażowych dotyczących zawartości wolnych przestrzeni lub wskaźnika zagęszczenia należy złożyć w ciągu 2 miesięcy od wpływu reklamacji ze strony Zamawiającego.</w:t>
      </w:r>
    </w:p>
    <w:p w14:paraId="18F09AB0" w14:textId="77777777" w:rsidR="00F50DE8" w:rsidRPr="004674BE" w:rsidRDefault="00F50DE8" w:rsidP="004674BE">
      <w:pPr>
        <w:pStyle w:val="TOMEK-NAGWEK4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 </w:t>
      </w:r>
      <w:r w:rsidR="00E30CB1">
        <w:rPr>
          <w:rFonts w:ascii="Arial" w:hAnsi="Arial"/>
          <w:sz w:val="18"/>
          <w:szCs w:val="18"/>
        </w:rPr>
        <w:t xml:space="preserve">    </w:t>
      </w:r>
      <w:r w:rsidRPr="004674BE">
        <w:rPr>
          <w:rFonts w:ascii="Arial" w:hAnsi="Arial"/>
          <w:sz w:val="18"/>
          <w:szCs w:val="18"/>
        </w:rPr>
        <w:t>Właściwości warstwy i nawierzchni oraz dopuszczalne odchyłki</w:t>
      </w:r>
    </w:p>
    <w:p w14:paraId="616B16CB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6.4.1.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Mieszanka mineralno-asfaltowa</w:t>
      </w:r>
    </w:p>
    <w:p w14:paraId="6456672D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 xml:space="preserve">Dopuszczalne wartości odchyłek i tolerancje zawarte są w WT-2 Nawierzchnie asfaltowe 2014 </w:t>
      </w:r>
      <w:r w:rsidR="004674BE" w:rsidRPr="004674BE">
        <w:rPr>
          <w:rFonts w:ascii="Arial" w:hAnsi="Arial" w:cs="Arial"/>
          <w:sz w:val="18"/>
          <w:szCs w:val="18"/>
        </w:rPr>
        <w:br/>
      </w:r>
      <w:r w:rsidRPr="004674BE">
        <w:rPr>
          <w:rFonts w:ascii="Arial" w:hAnsi="Arial" w:cs="Arial"/>
          <w:sz w:val="18"/>
          <w:szCs w:val="18"/>
        </w:rPr>
        <w:t>punkt 8.8 [65].</w:t>
      </w:r>
    </w:p>
    <w:p w14:paraId="61C105BC" w14:textId="77777777" w:rsidR="004674BE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Na etapie oceny jakości wbudowanej mieszanki mineralno-asfaltowej podaje się wartości dopuszczalne i tolerancje, w których uwzględnia się: rozrzut występujący przy pobieraniu próbek, dokładność metod badań oraz odstępstwa uwarunkowane metodą pracy.</w:t>
      </w:r>
    </w:p>
    <w:p w14:paraId="4505D5B6" w14:textId="77777777" w:rsidR="00F50DE8" w:rsidRPr="004674BE" w:rsidRDefault="00F50DE8" w:rsidP="004674BE">
      <w:pPr>
        <w:ind w:firstLine="567"/>
        <w:rPr>
          <w:rFonts w:ascii="Arial" w:hAnsi="Arial" w:cs="Arial"/>
          <w:sz w:val="18"/>
          <w:szCs w:val="18"/>
        </w:rPr>
      </w:pPr>
      <w:r w:rsidRPr="004674BE">
        <w:rPr>
          <w:rFonts w:ascii="Arial" w:hAnsi="Arial" w:cs="Arial"/>
          <w:sz w:val="18"/>
          <w:szCs w:val="18"/>
        </w:rPr>
        <w:t>Właściwości materiałów należy oceniać na podstawie badań pobranych próbek mieszanki mineralno-asfaltowej przed wbudowaniem (wbudowanie oznacza wykonanie warstwy asfaltowej). Wyjątkowo dopuszcza się badania próbek pobranych z wykonanej warstwy asfaltowej.</w:t>
      </w:r>
    </w:p>
    <w:p w14:paraId="0BE48DD9" w14:textId="77777777" w:rsidR="00F50DE8" w:rsidRPr="004674BE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6.4.2. </w:t>
      </w:r>
      <w:r w:rsidR="00E30CB1">
        <w:rPr>
          <w:rFonts w:ascii="Arial" w:hAnsi="Arial"/>
          <w:sz w:val="18"/>
          <w:szCs w:val="18"/>
        </w:rPr>
        <w:t xml:space="preserve"> </w:t>
      </w:r>
      <w:r w:rsidRPr="004674BE">
        <w:rPr>
          <w:rFonts w:ascii="Arial" w:hAnsi="Arial"/>
          <w:sz w:val="18"/>
          <w:szCs w:val="18"/>
        </w:rPr>
        <w:t>Warstwa asfaltowa</w:t>
      </w:r>
    </w:p>
    <w:p w14:paraId="5A22726E" w14:textId="77777777" w:rsidR="00F50DE8" w:rsidRPr="00A8377C" w:rsidRDefault="00F50DE8" w:rsidP="004674BE">
      <w:pPr>
        <w:pStyle w:val="TOMEK-Nagwek5"/>
        <w:ind w:left="0"/>
        <w:rPr>
          <w:rFonts w:ascii="Arial" w:hAnsi="Arial"/>
          <w:sz w:val="18"/>
          <w:szCs w:val="18"/>
        </w:rPr>
      </w:pPr>
      <w:r w:rsidRPr="004674BE">
        <w:rPr>
          <w:rFonts w:ascii="Arial" w:hAnsi="Arial"/>
          <w:sz w:val="18"/>
          <w:szCs w:val="18"/>
        </w:rPr>
        <w:t xml:space="preserve">6.4.2.1. </w:t>
      </w:r>
      <w:r w:rsidRPr="00A8377C">
        <w:rPr>
          <w:rFonts w:ascii="Arial" w:hAnsi="Arial"/>
          <w:sz w:val="18"/>
          <w:szCs w:val="18"/>
        </w:rPr>
        <w:t>Grubość warstwy oraz ilość materiału</w:t>
      </w:r>
    </w:p>
    <w:p w14:paraId="768CD36E" w14:textId="77777777" w:rsidR="00A8377C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lastRenderedPageBreak/>
        <w:t>Grubość wykonanej warstwy oznaczana według PN-EN 12697-36 [40] oraz ilość wbudowanego materiału na określoną powierzchnię (dotyczy przede wszystkim cienkich warstw) mogą odbiegać od projektu o wartości podane w tablicy 12.</w:t>
      </w:r>
    </w:p>
    <w:p w14:paraId="13980B44" w14:textId="77777777" w:rsidR="00A8377C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W wypadku określania ilości materiału na powierzchnię i średniej wartości grubości warstwy z reguły należy przyjąć za podstawę cały odcinek budowy. Inżynier ma prawo sprawdzać odcinki częściowe. Odcinek częściowy powinien zawierać</w:t>
      </w:r>
      <w:r w:rsidR="009B30EF">
        <w:rPr>
          <w:rFonts w:ascii="Arial" w:hAnsi="Arial" w:cs="Arial"/>
          <w:sz w:val="18"/>
          <w:szCs w:val="18"/>
        </w:rPr>
        <w:t>,</w:t>
      </w:r>
      <w:r w:rsidRPr="00A8377C">
        <w:rPr>
          <w:rFonts w:ascii="Arial" w:hAnsi="Arial" w:cs="Arial"/>
          <w:sz w:val="18"/>
          <w:szCs w:val="18"/>
        </w:rPr>
        <w:t xml:space="preserve"> co najmniej jedną dzienną działkę roboczą. Do odcinka częściowego obowiązują te same wymagania jak do odcinka budowy.</w:t>
      </w:r>
    </w:p>
    <w:p w14:paraId="4AF4DD2F" w14:textId="77777777" w:rsidR="00F50DE8" w:rsidRPr="00A8377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Za grubość warstwy lub warstw przyjmuje się średnią arytmetyczną wszystkich pojedynczych oznaczeń grubości warstwy na całym odcinku budowy lub odcinku częściowym.</w:t>
      </w:r>
    </w:p>
    <w:p w14:paraId="2ED637BB" w14:textId="77777777" w:rsidR="00F50DE8" w:rsidRPr="00A8377C" w:rsidRDefault="00F50DE8" w:rsidP="00F50DE8">
      <w:pPr>
        <w:tabs>
          <w:tab w:val="left" w:pos="993"/>
        </w:tabs>
        <w:spacing w:before="120" w:after="120"/>
        <w:ind w:left="992" w:hanging="992"/>
        <w:rPr>
          <w:rFonts w:ascii="Arial" w:hAnsi="Arial" w:cs="Arial"/>
          <w:sz w:val="18"/>
          <w:szCs w:val="18"/>
        </w:rPr>
      </w:pPr>
      <w:r w:rsidRPr="00A8377C">
        <w:rPr>
          <w:rFonts w:ascii="Arial" w:hAnsi="Arial" w:cs="Arial"/>
          <w:sz w:val="18"/>
          <w:szCs w:val="18"/>
        </w:rPr>
        <w:t>Tablica 12.</w:t>
      </w:r>
      <w:r w:rsidRPr="00A8377C">
        <w:rPr>
          <w:rFonts w:ascii="Arial" w:hAnsi="Arial" w:cs="Arial"/>
          <w:sz w:val="18"/>
          <w:szCs w:val="18"/>
        </w:rPr>
        <w:tab/>
        <w:t>Dopuszczalne odchyłki grubości warstwy oraz ilości materiału na określonej powierzchni, [%] [65]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725"/>
      </w:tblGrid>
      <w:tr w:rsidR="00F50DE8" w:rsidRPr="00A8377C" w14:paraId="1425FBBC" w14:textId="77777777" w:rsidTr="00E30CB1">
        <w:trPr>
          <w:jc w:val="center"/>
        </w:trPr>
        <w:tc>
          <w:tcPr>
            <w:tcW w:w="4786" w:type="dxa"/>
          </w:tcPr>
          <w:p w14:paraId="6B24CABC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Warunki oceny</w:t>
            </w:r>
          </w:p>
        </w:tc>
        <w:tc>
          <w:tcPr>
            <w:tcW w:w="2725" w:type="dxa"/>
          </w:tcPr>
          <w:p w14:paraId="7D828B46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Warstwa asfaltowa AC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F50DE8" w:rsidRPr="00A8377C" w14:paraId="30A9E24F" w14:textId="77777777" w:rsidTr="00E30CB1">
        <w:trPr>
          <w:jc w:val="center"/>
        </w:trPr>
        <w:tc>
          <w:tcPr>
            <w:tcW w:w="4786" w:type="dxa"/>
          </w:tcPr>
          <w:p w14:paraId="10372627" w14:textId="77777777" w:rsidR="00F50DE8" w:rsidRPr="00A8377C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A – Średnia z wielu oznaczeń grubości oraz ilości</w:t>
            </w:r>
          </w:p>
          <w:p w14:paraId="2EBF6B41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1. – duży odcinek budowy, powierzchnia większa niż 6000 m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0082623A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 xml:space="preserve">  – droga ograniczona krawężnikami, powierzchnia większa niż 1000 m</w:t>
            </w: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lub</w:t>
            </w:r>
          </w:p>
          <w:p w14:paraId="24FEF4BC" w14:textId="77777777" w:rsidR="00F50DE8" w:rsidRPr="00A8377C" w:rsidRDefault="00F50DE8" w:rsidP="0094558D">
            <w:pPr>
              <w:ind w:left="426" w:hanging="426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 xml:space="preserve">2. – mały odcinek budowy </w:t>
            </w:r>
          </w:p>
        </w:tc>
        <w:tc>
          <w:tcPr>
            <w:tcW w:w="2725" w:type="dxa"/>
          </w:tcPr>
          <w:p w14:paraId="63FF8379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63A09E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15C5E1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554BF0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10</w:t>
            </w:r>
          </w:p>
          <w:p w14:paraId="664F121F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772A99" w14:textId="77777777" w:rsidR="00F50DE8" w:rsidRPr="00A8377C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A8377C" w14:paraId="3EB6B92A" w14:textId="77777777" w:rsidTr="00E30CB1">
        <w:trPr>
          <w:jc w:val="center"/>
        </w:trPr>
        <w:tc>
          <w:tcPr>
            <w:tcW w:w="4786" w:type="dxa"/>
          </w:tcPr>
          <w:p w14:paraId="005BC96C" w14:textId="77777777" w:rsidR="00F50DE8" w:rsidRPr="00A8377C" w:rsidRDefault="00F50DE8" w:rsidP="009455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B – Pojedyncze oznaczenie grubości</w:t>
            </w:r>
          </w:p>
        </w:tc>
        <w:tc>
          <w:tcPr>
            <w:tcW w:w="2725" w:type="dxa"/>
          </w:tcPr>
          <w:p w14:paraId="5C4ADABF" w14:textId="77777777" w:rsidR="00F50DE8" w:rsidRPr="00A8377C" w:rsidRDefault="00F50DE8" w:rsidP="009455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</w:rPr>
              <w:t>≤ 15</w:t>
            </w:r>
          </w:p>
        </w:tc>
      </w:tr>
      <w:tr w:rsidR="00F50DE8" w:rsidRPr="00A8377C" w14:paraId="7341A63E" w14:textId="77777777" w:rsidTr="00E30CB1">
        <w:trPr>
          <w:jc w:val="center"/>
        </w:trPr>
        <w:tc>
          <w:tcPr>
            <w:tcW w:w="7511" w:type="dxa"/>
            <w:gridSpan w:val="2"/>
          </w:tcPr>
          <w:p w14:paraId="02EA5814" w14:textId="77777777" w:rsidR="00F50DE8" w:rsidRPr="00A8377C" w:rsidRDefault="00F50DE8" w:rsidP="0094558D">
            <w:pPr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A8377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A8377C">
              <w:rPr>
                <w:rFonts w:ascii="Arial" w:hAnsi="Arial" w:cs="Arial"/>
                <w:sz w:val="18"/>
                <w:szCs w:val="18"/>
              </w:rPr>
              <w:t xml:space="preserve"> w wypadku budowy dwuetapowej, tzn. gdy warstwa ścieralna jest układana z opóźnieniem, wartość z wiersza B odpowiednio obowiązuje; w pierwszym etapie budowy do górnej warstwy nawierzchni obowiązuje wartość 25%, a do łącznej grubości warstw etapu 1 ÷ 15%</w:t>
            </w:r>
          </w:p>
        </w:tc>
      </w:tr>
    </w:tbl>
    <w:p w14:paraId="38939475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A8377C">
        <w:rPr>
          <w:rFonts w:ascii="Arial" w:hAnsi="Arial"/>
          <w:sz w:val="18"/>
          <w:szCs w:val="18"/>
        </w:rPr>
        <w:t>6</w:t>
      </w:r>
      <w:r w:rsidRPr="00C6746C">
        <w:rPr>
          <w:rFonts w:ascii="Arial" w:hAnsi="Arial"/>
          <w:sz w:val="18"/>
          <w:szCs w:val="18"/>
        </w:rPr>
        <w:t>.4.2.2. Wskaźnik zagęszczenia warstwy</w:t>
      </w:r>
    </w:p>
    <w:p w14:paraId="10B327B2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Zagęszczenie wykonanej warstwy, wyrażone wskaźnikiem zagęszczenia oraz zawartością wolnych przestrzeni, nie może przekroczyć wartości dopuszczalnych podanych w tablicy 10. Dotyczy to każdego pojedynczego oznaczenia danej właściwości.</w:t>
      </w:r>
    </w:p>
    <w:p w14:paraId="44068D50" w14:textId="77777777" w:rsidR="00F50DE8" w:rsidRPr="00C6746C" w:rsidRDefault="00F50DE8" w:rsidP="00F50DE8">
      <w:pPr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Określenie gęstości objętościowej należy wykonywać według PN-EN 12697-6 [32].</w:t>
      </w:r>
    </w:p>
    <w:p w14:paraId="4A681200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 xml:space="preserve">6.4.2.3. Zawartość wolnych przestrzeni w nawierzchni </w:t>
      </w:r>
    </w:p>
    <w:p w14:paraId="15875EF9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Zawartość wolnych przestrzeni w próbce Marshalla z mieszanki mineralno-asfaltowej lub wyjątkowo powtórnie rozgrzanej próbki pobranej z nawierzchni, nie może wykroczyć poza wartości dopuszczalne podane w p. 5.2 o więcej niż 2,0 %(v/v).</w:t>
      </w:r>
    </w:p>
    <w:p w14:paraId="05532930" w14:textId="77777777" w:rsidR="00F50DE8" w:rsidRPr="00C6746C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>6.4.2.4. Spadki poprzeczne</w:t>
      </w:r>
    </w:p>
    <w:p w14:paraId="625FC8CA" w14:textId="77777777" w:rsidR="00A8377C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Spadki poprzeczne nawierzchni należy badać nie rzadziej</w:t>
      </w:r>
      <w:r w:rsidR="009B30EF">
        <w:rPr>
          <w:rFonts w:ascii="Arial" w:hAnsi="Arial" w:cs="Arial"/>
          <w:sz w:val="18"/>
          <w:szCs w:val="18"/>
        </w:rPr>
        <w:t>,</w:t>
      </w:r>
      <w:r w:rsidRPr="00C6746C">
        <w:rPr>
          <w:rFonts w:ascii="Arial" w:hAnsi="Arial" w:cs="Arial"/>
          <w:sz w:val="18"/>
          <w:szCs w:val="18"/>
        </w:rPr>
        <w:t xml:space="preserve"> niż co 20 m oraz w punktach głównych łuków poziomych.</w:t>
      </w:r>
    </w:p>
    <w:p w14:paraId="0FA6C99F" w14:textId="77777777" w:rsidR="00F50DE8" w:rsidRPr="00C6746C" w:rsidRDefault="00F50DE8" w:rsidP="00A8377C">
      <w:pPr>
        <w:ind w:firstLine="567"/>
        <w:rPr>
          <w:rFonts w:ascii="Arial" w:hAnsi="Arial" w:cs="Arial"/>
          <w:sz w:val="18"/>
          <w:szCs w:val="18"/>
        </w:rPr>
      </w:pPr>
      <w:r w:rsidRPr="00C6746C">
        <w:rPr>
          <w:rFonts w:ascii="Arial" w:hAnsi="Arial" w:cs="Arial"/>
          <w:sz w:val="18"/>
          <w:szCs w:val="18"/>
        </w:rPr>
        <w:t>Spadki poprzeczne powinny być zgodne z dokumentacją projektową, z tolerancją ± 0,5%.</w:t>
      </w:r>
    </w:p>
    <w:p w14:paraId="0C91A33E" w14:textId="77777777" w:rsidR="00F50DE8" w:rsidRPr="0034704F" w:rsidRDefault="00F50DE8" w:rsidP="00A8377C">
      <w:pPr>
        <w:pStyle w:val="TOMEK-Nagwek5"/>
        <w:ind w:left="0"/>
        <w:rPr>
          <w:rFonts w:ascii="Arial" w:hAnsi="Arial"/>
          <w:sz w:val="18"/>
          <w:szCs w:val="18"/>
        </w:rPr>
      </w:pPr>
      <w:r w:rsidRPr="00C6746C">
        <w:rPr>
          <w:rFonts w:ascii="Arial" w:hAnsi="Arial"/>
          <w:sz w:val="18"/>
          <w:szCs w:val="18"/>
        </w:rPr>
        <w:t>6.4.2.5</w:t>
      </w:r>
      <w:r w:rsidRPr="0034704F">
        <w:rPr>
          <w:rFonts w:ascii="Arial" w:hAnsi="Arial"/>
          <w:sz w:val="18"/>
          <w:szCs w:val="18"/>
        </w:rPr>
        <w:t xml:space="preserve">. Równość podłużna i poprzeczna </w:t>
      </w:r>
    </w:p>
    <w:p w14:paraId="4A304A21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Do oceny równości podłużnej warstwy wiążącej nawierzchni dróg wszystkich klas technicznych należy stosować metodę z wykorzystaniem łaty 4-metrowej i klina lub metody równoważnej użyciu łaty i klina, mierząc wysokość prześwitu w połowie długości łaty. </w:t>
      </w:r>
    </w:p>
    <w:p w14:paraId="3998AE34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Pomiar wykonuje się nie rzadziej</w:t>
      </w:r>
      <w:r w:rsidR="009B30EF">
        <w:rPr>
          <w:rFonts w:ascii="Arial" w:hAnsi="Arial" w:cs="Arial"/>
          <w:sz w:val="18"/>
          <w:szCs w:val="18"/>
        </w:rPr>
        <w:t>,</w:t>
      </w:r>
      <w:r w:rsidRPr="0034704F">
        <w:rPr>
          <w:rFonts w:ascii="Arial" w:hAnsi="Arial" w:cs="Arial"/>
          <w:sz w:val="18"/>
          <w:szCs w:val="18"/>
        </w:rPr>
        <w:t xml:space="preserve"> niż co 10 m. Wymagana równość podłużna jest określona w rozporządzeniu dotyczącym warunków technicznych, jakim powinny od</w:t>
      </w:r>
      <w:r w:rsidR="00C6746C" w:rsidRPr="0034704F">
        <w:rPr>
          <w:rFonts w:ascii="Arial" w:hAnsi="Arial" w:cs="Arial"/>
          <w:sz w:val="18"/>
          <w:szCs w:val="18"/>
        </w:rPr>
        <w:t>powiadać drogi publiczne [67].</w:t>
      </w:r>
      <w:r w:rsidR="00C6746C" w:rsidRPr="0034704F">
        <w:rPr>
          <w:rFonts w:ascii="Arial" w:hAnsi="Arial" w:cs="Arial"/>
          <w:sz w:val="18"/>
          <w:szCs w:val="18"/>
        </w:rPr>
        <w:tab/>
      </w:r>
    </w:p>
    <w:p w14:paraId="315FCF0B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Do oceny równości poprzecznej warstwy wiążącej nawierzchni dróg wszystkich klas technicznych należy stosować metodę z wykorzystaniem łaty 4-metrowej i klina lub metody równoważnej użyciu łaty i klina. </w:t>
      </w:r>
    </w:p>
    <w:p w14:paraId="43969DC8" w14:textId="77777777" w:rsidR="00F50DE8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Pomiar należy wykonywać w kierunku prostopadłym do osi jezdni, na każdym ocenianym pasie ruchu, nie rzadziej</w:t>
      </w:r>
      <w:r w:rsidR="009B30EF">
        <w:rPr>
          <w:rFonts w:ascii="Arial" w:hAnsi="Arial" w:cs="Arial"/>
          <w:sz w:val="18"/>
          <w:szCs w:val="18"/>
        </w:rPr>
        <w:t xml:space="preserve">, </w:t>
      </w:r>
      <w:r w:rsidRPr="0034704F">
        <w:rPr>
          <w:rFonts w:ascii="Arial" w:hAnsi="Arial" w:cs="Arial"/>
          <w:sz w:val="18"/>
          <w:szCs w:val="18"/>
        </w:rPr>
        <w:t>niż co 10 m. Wymagana równość poprzeczna jest określona w rozporządzeniu dotyczącym warunków technicznych, jakim powinny odpowiadać drogi publiczne [67].</w:t>
      </w:r>
    </w:p>
    <w:p w14:paraId="042FD1C2" w14:textId="77777777" w:rsidR="00F50DE8" w:rsidRPr="0034704F" w:rsidRDefault="00F50DE8" w:rsidP="00C6746C">
      <w:pPr>
        <w:pStyle w:val="TOMEK-Nagwek5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6.4.2.6. Pozostałe właściwości warstwy asfaltowej</w:t>
      </w:r>
    </w:p>
    <w:p w14:paraId="398EB99F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Szerokość warstwy, mierzona 10 razy na 1 km każdej jezdni, nie może się różnić od szerokości projektowanej o więcej niż ± 5 cm.</w:t>
      </w:r>
    </w:p>
    <w:p w14:paraId="3373E0CE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Rzędne wysokościowe, mierzone co 10 m na prostych i co 10 m na osi podłużnej i krawędziach, powinny być zgodne z dokumentacją projektową z dopuszczalną tolerancją ± 1 cm, przy czym co najmniej 95% wykonanych pomiarów nie może przekraczać przedziału dopuszczalnych odchyleń.</w:t>
      </w:r>
    </w:p>
    <w:p w14:paraId="7F8402B8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Ukształtowanie osi w planie, mierzone co 100 m, nie powinno różnić się od dokumentacji projektowej </w:t>
      </w:r>
      <w:r w:rsidR="00C6746C" w:rsidRPr="0034704F">
        <w:rPr>
          <w:rFonts w:ascii="Arial" w:hAnsi="Arial" w:cs="Arial"/>
          <w:sz w:val="18"/>
          <w:szCs w:val="18"/>
        </w:rPr>
        <w:br/>
      </w:r>
      <w:r w:rsidRPr="0034704F">
        <w:rPr>
          <w:rFonts w:ascii="Arial" w:hAnsi="Arial" w:cs="Arial"/>
          <w:sz w:val="18"/>
          <w:szCs w:val="18"/>
        </w:rPr>
        <w:t>o ± 5 cm.</w:t>
      </w:r>
    </w:p>
    <w:p w14:paraId="06693C6A" w14:textId="77777777" w:rsidR="00C6746C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Złącza podłużne i poprzeczne, sprawdzone wizualnie, powinny być równe i związane, wykonane w linii prostej, równolegle lub prostopadle do osi drogi. Przylegające warstwy powinny być w jednym poziomie.</w:t>
      </w:r>
    </w:p>
    <w:p w14:paraId="0E3F73D2" w14:textId="77777777" w:rsidR="00F50DE8" w:rsidRPr="0034704F" w:rsidRDefault="00F50DE8" w:rsidP="00C6746C">
      <w:p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Wygląd zewnętrzny warstwy, sprawdzony wizualnie, powinien być jednorodny, bez spękań, deformacji, plam i wykruszeń.</w:t>
      </w:r>
    </w:p>
    <w:p w14:paraId="334AF371" w14:textId="77777777" w:rsidR="005807BD" w:rsidRDefault="005807BD" w:rsidP="00F50DE8">
      <w:pPr>
        <w:pStyle w:val="TOMEK-NAGWEK3"/>
        <w:rPr>
          <w:rFonts w:ascii="Arial" w:hAnsi="Arial"/>
          <w:sz w:val="18"/>
          <w:szCs w:val="18"/>
        </w:rPr>
      </w:pPr>
      <w:bookmarkStart w:id="22" w:name="_Toc343865973"/>
      <w:bookmarkStart w:id="23" w:name="_Toc414971079"/>
      <w:bookmarkStart w:id="24" w:name="_Toc438497711"/>
      <w:r>
        <w:rPr>
          <w:rFonts w:ascii="Arial" w:hAnsi="Arial"/>
          <w:sz w:val="18"/>
          <w:szCs w:val="18"/>
        </w:rPr>
        <w:br w:type="page"/>
      </w:r>
    </w:p>
    <w:p w14:paraId="5D69F9B6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lastRenderedPageBreak/>
        <w:t>7.</w:t>
      </w:r>
      <w:r w:rsidR="005807BD">
        <w:rPr>
          <w:rFonts w:ascii="Arial" w:hAnsi="Arial"/>
          <w:sz w:val="18"/>
          <w:szCs w:val="18"/>
        </w:rPr>
        <w:t xml:space="preserve">        </w:t>
      </w:r>
      <w:r w:rsidRPr="0034704F">
        <w:rPr>
          <w:rFonts w:ascii="Arial" w:hAnsi="Arial"/>
          <w:sz w:val="18"/>
          <w:szCs w:val="18"/>
        </w:rPr>
        <w:t>OBMIAR ROBÓT</w:t>
      </w:r>
      <w:bookmarkEnd w:id="22"/>
      <w:bookmarkEnd w:id="23"/>
      <w:bookmarkEnd w:id="24"/>
    </w:p>
    <w:p w14:paraId="459D95C8" w14:textId="77777777" w:rsidR="00F50DE8" w:rsidRPr="0034704F" w:rsidRDefault="00F50DE8" w:rsidP="00C6746C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7.1.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Ogólne zasady obmiaru robót</w:t>
      </w:r>
    </w:p>
    <w:p w14:paraId="4987EB41" w14:textId="77777777" w:rsidR="00F50DE8" w:rsidRPr="0034704F" w:rsidRDefault="00F50DE8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zasady obmiaru robót podano w  STWiORB D-M-00.00.00 „Wymagania ogólne” [1] pkt 7.</w:t>
      </w:r>
    </w:p>
    <w:p w14:paraId="7E58EF08" w14:textId="77777777" w:rsidR="00F50DE8" w:rsidRPr="0034704F" w:rsidRDefault="00F50DE8" w:rsidP="00C6746C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7.2.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Jednostka obmiarowa</w:t>
      </w:r>
    </w:p>
    <w:p w14:paraId="34D6FE9E" w14:textId="77777777" w:rsidR="00F50DE8" w:rsidRDefault="00F50DE8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Jednostką obmiarową jest m</w:t>
      </w:r>
      <w:r w:rsidRPr="0034704F">
        <w:rPr>
          <w:rFonts w:ascii="Arial" w:hAnsi="Arial" w:cs="Arial"/>
          <w:sz w:val="18"/>
          <w:szCs w:val="18"/>
          <w:vertAlign w:val="superscript"/>
        </w:rPr>
        <w:t>2</w:t>
      </w:r>
      <w:r w:rsidRPr="0034704F">
        <w:rPr>
          <w:rFonts w:ascii="Arial" w:hAnsi="Arial" w:cs="Arial"/>
          <w:sz w:val="18"/>
          <w:szCs w:val="18"/>
        </w:rPr>
        <w:t xml:space="preserve"> (metr kwadratowy) wykonanej warstwy z betonu asfaltowego (AC).</w:t>
      </w:r>
    </w:p>
    <w:p w14:paraId="36F2BEDA" w14:textId="77777777" w:rsidR="005807BD" w:rsidRDefault="005807BD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199087AA" w14:textId="77777777" w:rsidR="005807BD" w:rsidRPr="0034704F" w:rsidRDefault="005807BD" w:rsidP="00C6746C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58B14FC3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 </w:t>
      </w:r>
      <w:bookmarkStart w:id="25" w:name="_Toc343865974"/>
      <w:bookmarkStart w:id="26" w:name="_Toc414971080"/>
      <w:bookmarkStart w:id="27" w:name="_Toc438497712"/>
      <w:r w:rsidRPr="0034704F">
        <w:rPr>
          <w:rFonts w:ascii="Arial" w:hAnsi="Arial"/>
          <w:sz w:val="18"/>
          <w:szCs w:val="18"/>
        </w:rPr>
        <w:t xml:space="preserve">8. </w:t>
      </w:r>
      <w:r w:rsidR="005807BD">
        <w:rPr>
          <w:rFonts w:ascii="Arial" w:hAnsi="Arial"/>
          <w:sz w:val="18"/>
          <w:szCs w:val="18"/>
        </w:rPr>
        <w:t xml:space="preserve">      </w:t>
      </w:r>
      <w:r w:rsidRPr="0034704F">
        <w:rPr>
          <w:rFonts w:ascii="Arial" w:hAnsi="Arial"/>
          <w:sz w:val="18"/>
          <w:szCs w:val="18"/>
        </w:rPr>
        <w:t>ODBIÓR ROBÓT</w:t>
      </w:r>
      <w:bookmarkEnd w:id="25"/>
      <w:bookmarkEnd w:id="26"/>
      <w:bookmarkEnd w:id="27"/>
    </w:p>
    <w:p w14:paraId="254DBEDD" w14:textId="77777777" w:rsidR="00095561" w:rsidRPr="0034704F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zasady odbioru robót podano w  STWiORB D-M-00.00.00 „Wymagania ogólne” [1] pkt 8.</w:t>
      </w:r>
    </w:p>
    <w:p w14:paraId="329FE1A7" w14:textId="77777777" w:rsidR="00095561" w:rsidRPr="0034704F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Roboty uznaje się za wykonane zgodnie z dokumentacją projektową i wymaganiami </w:t>
      </w:r>
      <w:r w:rsidR="00DB7D16">
        <w:rPr>
          <w:rFonts w:ascii="Arial" w:hAnsi="Arial" w:cs="Arial"/>
          <w:sz w:val="18"/>
          <w:szCs w:val="18"/>
        </w:rPr>
        <w:t>Inżyniera/Inspektora Nadzoru</w:t>
      </w:r>
      <w:r w:rsidRPr="0034704F">
        <w:rPr>
          <w:rFonts w:ascii="Arial" w:hAnsi="Arial" w:cs="Arial"/>
          <w:sz w:val="18"/>
          <w:szCs w:val="18"/>
        </w:rPr>
        <w:t>, jeżeli wszystkie pomiary i badania z za</w:t>
      </w:r>
      <w:r w:rsidR="009B30EF">
        <w:rPr>
          <w:rFonts w:ascii="Arial" w:hAnsi="Arial" w:cs="Arial"/>
          <w:sz w:val="18"/>
          <w:szCs w:val="18"/>
        </w:rPr>
        <w:t>chowaniem tolerancji według pkt</w:t>
      </w:r>
      <w:r w:rsidRPr="0034704F">
        <w:rPr>
          <w:rFonts w:ascii="Arial" w:hAnsi="Arial" w:cs="Arial"/>
          <w:sz w:val="18"/>
          <w:szCs w:val="18"/>
        </w:rPr>
        <w:t xml:space="preserve"> 6 dały wyniki pozytywne.</w:t>
      </w:r>
    </w:p>
    <w:p w14:paraId="3AA09471" w14:textId="77777777" w:rsidR="00F50DE8" w:rsidRDefault="00F50DE8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Jeśli warunki umowy przewidują dokonywanie potrąceń, to Zamawiający może w razie niedotrzymania wartości dopuszczalnych dokonać potrąceń według zasad określonych w WT-2 [65] pkt 9.2.</w:t>
      </w:r>
    </w:p>
    <w:p w14:paraId="3D6B858C" w14:textId="77777777" w:rsidR="005807BD" w:rsidRDefault="005807BD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60EF252C" w14:textId="77777777" w:rsidR="005807BD" w:rsidRPr="0034704F" w:rsidRDefault="005807BD" w:rsidP="00095561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</w:p>
    <w:p w14:paraId="5171F69B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28" w:name="_Toc343865975"/>
      <w:bookmarkStart w:id="29" w:name="_Toc414971081"/>
      <w:bookmarkStart w:id="30" w:name="_Toc438497713"/>
      <w:r w:rsidRPr="0034704F">
        <w:rPr>
          <w:rFonts w:ascii="Arial" w:hAnsi="Arial"/>
          <w:sz w:val="18"/>
          <w:szCs w:val="18"/>
        </w:rPr>
        <w:t xml:space="preserve">9. </w:t>
      </w:r>
      <w:r w:rsidR="005807BD">
        <w:rPr>
          <w:rFonts w:ascii="Arial" w:hAnsi="Arial"/>
          <w:sz w:val="18"/>
          <w:szCs w:val="18"/>
        </w:rPr>
        <w:t xml:space="preserve">       </w:t>
      </w:r>
      <w:r w:rsidRPr="0034704F">
        <w:rPr>
          <w:rFonts w:ascii="Arial" w:hAnsi="Arial"/>
          <w:sz w:val="18"/>
          <w:szCs w:val="18"/>
        </w:rPr>
        <w:t>PODSTAWA PŁATNOŚCI</w:t>
      </w:r>
      <w:bookmarkEnd w:id="28"/>
      <w:bookmarkEnd w:id="29"/>
      <w:bookmarkEnd w:id="30"/>
    </w:p>
    <w:p w14:paraId="1C0E682F" w14:textId="77777777" w:rsidR="00F50DE8" w:rsidRPr="0034704F" w:rsidRDefault="00F50DE8" w:rsidP="00095561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9.1.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Ogólne ustalenia dotyczące podstawy płatności</w:t>
      </w:r>
    </w:p>
    <w:p w14:paraId="6FBF9EAD" w14:textId="77777777" w:rsidR="00F50DE8" w:rsidRPr="0034704F" w:rsidRDefault="00F50DE8" w:rsidP="005807BD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Ogólne ustalenia dotyczące podstawy płatności podano w  STWiORB D-M-00.00.00 „Wymagania ogólne” [1] pkt 9.</w:t>
      </w:r>
    </w:p>
    <w:p w14:paraId="25373741" w14:textId="77777777" w:rsidR="00F50DE8" w:rsidRPr="0034704F" w:rsidRDefault="00F50DE8" w:rsidP="00095561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9.2. </w:t>
      </w:r>
      <w:r w:rsidR="005807BD">
        <w:rPr>
          <w:rFonts w:ascii="Arial" w:hAnsi="Arial"/>
          <w:sz w:val="18"/>
          <w:szCs w:val="18"/>
        </w:rPr>
        <w:t xml:space="preserve">    </w:t>
      </w:r>
      <w:r w:rsidRPr="0034704F">
        <w:rPr>
          <w:rFonts w:ascii="Arial" w:hAnsi="Arial"/>
          <w:sz w:val="18"/>
          <w:szCs w:val="18"/>
        </w:rPr>
        <w:t>Cena jednostki obmiarowej</w:t>
      </w:r>
    </w:p>
    <w:p w14:paraId="524F7B60" w14:textId="77777777" w:rsidR="00095561" w:rsidRPr="0034704F" w:rsidRDefault="00095561" w:rsidP="005807BD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34704F">
          <w:rPr>
            <w:rFonts w:ascii="Arial" w:hAnsi="Arial" w:cs="Arial"/>
            <w:sz w:val="18"/>
            <w:szCs w:val="18"/>
          </w:rPr>
          <w:t>1 m</w:t>
        </w:r>
        <w:r w:rsidRPr="0034704F"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 w:rsidRPr="0034704F">
        <w:rPr>
          <w:rFonts w:ascii="Arial" w:hAnsi="Arial" w:cs="Arial"/>
          <w:sz w:val="18"/>
          <w:szCs w:val="18"/>
        </w:rPr>
        <w:t xml:space="preserve"> warstwy wiążącej z betonu asfaltowego (AC) obejmuje:</w:t>
      </w:r>
    </w:p>
    <w:p w14:paraId="4E3CE5A5" w14:textId="77777777" w:rsidR="00095561" w:rsidRPr="0034704F" w:rsidRDefault="00095561" w:rsidP="0009556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prace pomiarowe i roboty przygotowawcze,</w:t>
      </w:r>
    </w:p>
    <w:p w14:paraId="1142C7A2" w14:textId="77777777" w:rsidR="00095561" w:rsidRPr="0034704F" w:rsidRDefault="00095561" w:rsidP="0009556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oznakowanie robót,</w:t>
      </w:r>
    </w:p>
    <w:p w14:paraId="49F1396A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opracowanie recepty laboratoryjnej dla mieszanki mineralno-asfaltowej,</w:t>
      </w:r>
    </w:p>
    <w:p w14:paraId="46346DC0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wykonanie próby technologicznej i ewentualnego odcinka próbnego wraz z wykonaniem niezbędnych badań laboratoryjnych, pomiarów i sprawdzeń,</w:t>
      </w:r>
    </w:p>
    <w:p w14:paraId="64633B36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zakup materiałów,</w:t>
      </w:r>
    </w:p>
    <w:p w14:paraId="4DE36600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wyprodukowanie mieszanki mineralno-asfaltowej i jej transport na miejsce wbudowania,</w:t>
      </w:r>
    </w:p>
    <w:p w14:paraId="27CCF09C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ochrona mieszanki w czasie transportu oraz podczas oczekiwania na rozładunek,</w:t>
      </w:r>
    </w:p>
    <w:p w14:paraId="7C3745A5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zabezpieczenie, zasłonięcie i odsłonięcie krawężników, studzienek, kratek wpustów deszczowych, itp.</w:t>
      </w:r>
    </w:p>
    <w:p w14:paraId="6F77B4E3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rozłożenie i zagęszczenie mieszanki mineralno-asfaltowej,</w:t>
      </w:r>
    </w:p>
    <w:p w14:paraId="5E6362AC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wykonanie spoin, połączeń i szczelin zgodnie z STWiORB,</w:t>
      </w:r>
    </w:p>
    <w:p w14:paraId="25CD4437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uformowanie i uszczelnienie krawędzi bocznych,</w:t>
      </w:r>
    </w:p>
    <w:p w14:paraId="4EBEC2C1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przeprowadzenie pomiarów i badań laboratoryjnych, wymaganych w STWiORB,</w:t>
      </w:r>
    </w:p>
    <w:p w14:paraId="0742389D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naprawa nawierzchni po pobraniu próbek i wykonaniu badań,</w:t>
      </w:r>
    </w:p>
    <w:p w14:paraId="128291FD" w14:textId="77777777" w:rsidR="00095561" w:rsidRPr="0034704F" w:rsidRDefault="00095561" w:rsidP="00095561">
      <w:pPr>
        <w:numPr>
          <w:ilvl w:val="0"/>
          <w:numId w:val="2"/>
        </w:numPr>
        <w:suppressAutoHyphens/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koszt utrzymania czystości na przylegających drogach lub terenie budowy.</w:t>
      </w:r>
    </w:p>
    <w:p w14:paraId="36275E2B" w14:textId="77777777" w:rsidR="00095561" w:rsidRPr="0034704F" w:rsidRDefault="00095561" w:rsidP="00095561">
      <w:pPr>
        <w:rPr>
          <w:rFonts w:ascii="Arial" w:hAnsi="Arial" w:cs="Arial"/>
          <w:sz w:val="18"/>
          <w:szCs w:val="18"/>
        </w:rPr>
      </w:pPr>
    </w:p>
    <w:p w14:paraId="1F54677F" w14:textId="77777777" w:rsidR="00095561" w:rsidRPr="0034704F" w:rsidRDefault="00095561" w:rsidP="00095561">
      <w:pPr>
        <w:rPr>
          <w:rFonts w:ascii="Arial" w:hAnsi="Arial" w:cs="Arial"/>
          <w:b/>
          <w:sz w:val="18"/>
          <w:szCs w:val="18"/>
        </w:rPr>
      </w:pPr>
    </w:p>
    <w:p w14:paraId="04133EBE" w14:textId="77777777" w:rsidR="00F50DE8" w:rsidRPr="0034704F" w:rsidRDefault="00F50DE8" w:rsidP="00F50DE8">
      <w:pPr>
        <w:pStyle w:val="TOMEK-NAGWEK3"/>
        <w:rPr>
          <w:rFonts w:ascii="Arial" w:hAnsi="Arial"/>
          <w:sz w:val="18"/>
          <w:szCs w:val="18"/>
        </w:rPr>
      </w:pPr>
      <w:bookmarkStart w:id="31" w:name="_Toc343865976"/>
      <w:bookmarkStart w:id="32" w:name="_Toc414971082"/>
      <w:bookmarkStart w:id="33" w:name="_Toc438497714"/>
      <w:r w:rsidRPr="0034704F">
        <w:rPr>
          <w:rFonts w:ascii="Arial" w:hAnsi="Arial"/>
          <w:sz w:val="18"/>
          <w:szCs w:val="18"/>
        </w:rPr>
        <w:t xml:space="preserve">10. </w:t>
      </w:r>
      <w:r w:rsidR="005807BD">
        <w:rPr>
          <w:rFonts w:ascii="Arial" w:hAnsi="Arial"/>
          <w:sz w:val="18"/>
          <w:szCs w:val="18"/>
        </w:rPr>
        <w:t xml:space="preserve">     </w:t>
      </w:r>
      <w:r w:rsidRPr="0034704F">
        <w:rPr>
          <w:rFonts w:ascii="Arial" w:hAnsi="Arial"/>
          <w:sz w:val="18"/>
          <w:szCs w:val="18"/>
        </w:rPr>
        <w:t>PRZEPISY ZWIĄZANE</w:t>
      </w:r>
      <w:bookmarkEnd w:id="31"/>
      <w:bookmarkEnd w:id="32"/>
      <w:bookmarkEnd w:id="33"/>
    </w:p>
    <w:p w14:paraId="715ABD10" w14:textId="77777777" w:rsidR="00F50DE8" w:rsidRPr="0034704F" w:rsidRDefault="00F50DE8" w:rsidP="0034704F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10.1. </w:t>
      </w:r>
      <w:r w:rsidR="005807BD">
        <w:rPr>
          <w:rFonts w:ascii="Arial" w:hAnsi="Arial"/>
          <w:sz w:val="18"/>
          <w:szCs w:val="18"/>
        </w:rPr>
        <w:t xml:space="preserve">  </w:t>
      </w:r>
      <w:r w:rsidRPr="0034704F">
        <w:rPr>
          <w:rFonts w:ascii="Arial" w:hAnsi="Arial"/>
          <w:sz w:val="18"/>
          <w:szCs w:val="18"/>
        </w:rPr>
        <w:t>Ogólne specyfikacje techniczne ( STWiORB)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50DE8" w:rsidRPr="0034704F" w14:paraId="4E0E921E" w14:textId="77777777" w:rsidTr="005807BD">
        <w:trPr>
          <w:trHeight w:val="275"/>
        </w:trPr>
        <w:tc>
          <w:tcPr>
            <w:tcW w:w="496" w:type="dxa"/>
          </w:tcPr>
          <w:p w14:paraId="4113F7F0" w14:textId="77777777" w:rsidR="00F50DE8" w:rsidRPr="0034704F" w:rsidRDefault="00F50DE8" w:rsidP="009455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14:paraId="361B860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D-M-00.00.00</w:t>
            </w:r>
          </w:p>
        </w:tc>
        <w:tc>
          <w:tcPr>
            <w:tcW w:w="5172" w:type="dxa"/>
          </w:tcPr>
          <w:p w14:paraId="58F1C48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 Wymagania ogólne</w:t>
            </w:r>
          </w:p>
        </w:tc>
      </w:tr>
    </w:tbl>
    <w:p w14:paraId="20085F85" w14:textId="77777777" w:rsidR="00F50DE8" w:rsidRPr="0034704F" w:rsidRDefault="00F50DE8" w:rsidP="0034704F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10.2.</w:t>
      </w:r>
      <w:r w:rsidR="005807BD">
        <w:rPr>
          <w:rFonts w:ascii="Arial" w:hAnsi="Arial"/>
          <w:sz w:val="18"/>
          <w:szCs w:val="18"/>
        </w:rPr>
        <w:t xml:space="preserve">   </w:t>
      </w:r>
      <w:r w:rsidRPr="0034704F">
        <w:rPr>
          <w:rFonts w:ascii="Arial" w:hAnsi="Arial"/>
          <w:sz w:val="18"/>
          <w:szCs w:val="18"/>
        </w:rPr>
        <w:t>Normy</w:t>
      </w:r>
    </w:p>
    <w:p w14:paraId="7C4523E4" w14:textId="77777777" w:rsidR="00F50DE8" w:rsidRPr="0034704F" w:rsidRDefault="00F50DE8" w:rsidP="00F50DE8">
      <w:pPr>
        <w:spacing w:after="120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(Zestawienie zawiera dodatkowo normy PN-EN związane z badaniami materiałów występujących w niniejszej  STWiORB)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2"/>
        <w:gridCol w:w="1823"/>
        <w:gridCol w:w="6438"/>
        <w:gridCol w:w="140"/>
        <w:gridCol w:w="139"/>
      </w:tblGrid>
      <w:tr w:rsidR="00F50DE8" w:rsidRPr="0034704F" w14:paraId="7A77C0C7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37ED2F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14:paraId="337058B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196-21</w:t>
            </w:r>
          </w:p>
        </w:tc>
        <w:tc>
          <w:tcPr>
            <w:tcW w:w="6663" w:type="dxa"/>
            <w:gridSpan w:val="2"/>
          </w:tcPr>
          <w:p w14:paraId="780888D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Metody badania cementu – Oznaczanie zawartości chlorków, dwutlenku węgla i alkaliów w cemencie</w:t>
            </w:r>
          </w:p>
        </w:tc>
      </w:tr>
      <w:tr w:rsidR="00F50DE8" w:rsidRPr="0034704F" w14:paraId="0F86A4ED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F2B968A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263B1CE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459-2</w:t>
            </w:r>
          </w:p>
        </w:tc>
        <w:tc>
          <w:tcPr>
            <w:tcW w:w="6663" w:type="dxa"/>
            <w:gridSpan w:val="2"/>
          </w:tcPr>
          <w:p w14:paraId="44D08B8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Wapno budowlane – Część 2: Metody badań</w:t>
            </w:r>
          </w:p>
        </w:tc>
      </w:tr>
      <w:tr w:rsidR="00F50DE8" w:rsidRPr="0034704F" w14:paraId="019B9CD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3B71BF8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2" w:type="dxa"/>
          </w:tcPr>
          <w:p w14:paraId="15CCCCE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932-3</w:t>
            </w:r>
          </w:p>
        </w:tc>
        <w:tc>
          <w:tcPr>
            <w:tcW w:w="6663" w:type="dxa"/>
            <w:gridSpan w:val="2"/>
          </w:tcPr>
          <w:p w14:paraId="6CDD51E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podstawowych właściwości kruszyw – Procedura i terminologia uproszczonego opisu petrograficznego</w:t>
            </w:r>
          </w:p>
        </w:tc>
      </w:tr>
      <w:tr w:rsidR="00F50DE8" w:rsidRPr="0034704F" w14:paraId="7CC09942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9DC346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2" w:type="dxa"/>
          </w:tcPr>
          <w:p w14:paraId="1FD22C0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6663" w:type="dxa"/>
            <w:gridSpan w:val="2"/>
          </w:tcPr>
          <w:p w14:paraId="5CEFF61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składu ziarnowego – Metoda przesiewania</w:t>
            </w:r>
          </w:p>
        </w:tc>
      </w:tr>
      <w:tr w:rsidR="00F50DE8" w:rsidRPr="0034704F" w14:paraId="335B3E20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3C46F1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2" w:type="dxa"/>
          </w:tcPr>
          <w:p w14:paraId="21E59CD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933-3</w:t>
            </w:r>
          </w:p>
        </w:tc>
        <w:tc>
          <w:tcPr>
            <w:tcW w:w="6663" w:type="dxa"/>
            <w:gridSpan w:val="2"/>
          </w:tcPr>
          <w:p w14:paraId="00BED0C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kształtu ziaren za pomocą wskaźnika płaskości</w:t>
            </w:r>
          </w:p>
        </w:tc>
      </w:tr>
      <w:tr w:rsidR="00F50DE8" w:rsidRPr="0034704F" w14:paraId="49690DB7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E6B2C7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2" w:type="dxa"/>
          </w:tcPr>
          <w:p w14:paraId="0094AFB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933-4</w:t>
            </w:r>
          </w:p>
        </w:tc>
        <w:tc>
          <w:tcPr>
            <w:tcW w:w="6663" w:type="dxa"/>
            <w:gridSpan w:val="2"/>
          </w:tcPr>
          <w:p w14:paraId="632625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4: Oznaczanie kształtu ziaren – Wskaźnik kształtu</w:t>
            </w:r>
          </w:p>
        </w:tc>
      </w:tr>
      <w:tr w:rsidR="00F50DE8" w:rsidRPr="0034704F" w14:paraId="5F30875A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E3FF32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lastRenderedPageBreak/>
              <w:t>8.</w:t>
            </w:r>
          </w:p>
        </w:tc>
        <w:tc>
          <w:tcPr>
            <w:tcW w:w="1842" w:type="dxa"/>
          </w:tcPr>
          <w:p w14:paraId="566113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933-5</w:t>
            </w:r>
          </w:p>
        </w:tc>
        <w:tc>
          <w:tcPr>
            <w:tcW w:w="6663" w:type="dxa"/>
            <w:gridSpan w:val="2"/>
          </w:tcPr>
          <w:p w14:paraId="65328BF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Oznaczanie procentowej zawartości ziaren o powierzchniach powstałych w wyniku przekruszenia lub łamania kruszyw grubych</w:t>
            </w:r>
          </w:p>
        </w:tc>
      </w:tr>
      <w:tr w:rsidR="00F50DE8" w:rsidRPr="0034704F" w14:paraId="200EFF98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63C574D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2" w:type="dxa"/>
          </w:tcPr>
          <w:p w14:paraId="2921351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933-6</w:t>
            </w:r>
          </w:p>
        </w:tc>
        <w:tc>
          <w:tcPr>
            <w:tcW w:w="6663" w:type="dxa"/>
            <w:gridSpan w:val="2"/>
          </w:tcPr>
          <w:p w14:paraId="79FDFE3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6: Ocena właściwości powierzchni – Wskaźnik przepływu kruszywa</w:t>
            </w:r>
          </w:p>
        </w:tc>
      </w:tr>
      <w:tr w:rsidR="00F50DE8" w:rsidRPr="0034704F" w14:paraId="54251AF3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A701BE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2" w:type="dxa"/>
          </w:tcPr>
          <w:p w14:paraId="39EB0A7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933-9</w:t>
            </w:r>
          </w:p>
        </w:tc>
        <w:tc>
          <w:tcPr>
            <w:tcW w:w="6663" w:type="dxa"/>
            <w:gridSpan w:val="2"/>
          </w:tcPr>
          <w:p w14:paraId="08FC5A69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Ocena zawartości drobnych cząstek – Badania błękitem metylenowym</w:t>
            </w:r>
          </w:p>
        </w:tc>
      </w:tr>
      <w:tr w:rsidR="00F50DE8" w:rsidRPr="0034704F" w14:paraId="60A0DAAA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E87CDF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842" w:type="dxa"/>
          </w:tcPr>
          <w:p w14:paraId="2AF4857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933-10</w:t>
            </w:r>
          </w:p>
        </w:tc>
        <w:tc>
          <w:tcPr>
            <w:tcW w:w="6663" w:type="dxa"/>
            <w:gridSpan w:val="2"/>
          </w:tcPr>
          <w:p w14:paraId="01B039A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geometrycznych właściwości kruszyw – Część 10: Ocena zawartości drobnych cząstek – Uziarnienie wypełniaczy (przesiewanie w strumieniu powietrza)</w:t>
            </w:r>
          </w:p>
        </w:tc>
      </w:tr>
      <w:tr w:rsidR="00F50DE8" w:rsidRPr="0034704F" w14:paraId="652F29FF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15F1968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842" w:type="dxa"/>
          </w:tcPr>
          <w:p w14:paraId="7028CA0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1097-2</w:t>
            </w:r>
          </w:p>
        </w:tc>
        <w:tc>
          <w:tcPr>
            <w:tcW w:w="6663" w:type="dxa"/>
            <w:gridSpan w:val="2"/>
          </w:tcPr>
          <w:p w14:paraId="67DB5A96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Metody oznaczania odporności na rozdrabnianie</w:t>
            </w:r>
          </w:p>
        </w:tc>
      </w:tr>
      <w:tr w:rsidR="00F50DE8" w:rsidRPr="0034704F" w14:paraId="677520BB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5D6AFEF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842" w:type="dxa"/>
          </w:tcPr>
          <w:p w14:paraId="6CC52A9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1097-3</w:t>
            </w:r>
          </w:p>
        </w:tc>
        <w:tc>
          <w:tcPr>
            <w:tcW w:w="6663" w:type="dxa"/>
            <w:gridSpan w:val="2"/>
          </w:tcPr>
          <w:p w14:paraId="62FEE3C6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Oznaczanie gęstości nasypowej i jamistości</w:t>
            </w:r>
          </w:p>
        </w:tc>
      </w:tr>
      <w:tr w:rsidR="00F50DE8" w:rsidRPr="0034704F" w14:paraId="093DBFA7" w14:textId="77777777" w:rsidTr="0094558D">
        <w:tc>
          <w:tcPr>
            <w:tcW w:w="534" w:type="dxa"/>
          </w:tcPr>
          <w:p w14:paraId="1375A52A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842" w:type="dxa"/>
          </w:tcPr>
          <w:p w14:paraId="234E00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1097-4</w:t>
            </w:r>
          </w:p>
        </w:tc>
        <w:tc>
          <w:tcPr>
            <w:tcW w:w="6804" w:type="dxa"/>
            <w:gridSpan w:val="3"/>
          </w:tcPr>
          <w:p w14:paraId="026574C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4: Oznaczanie pustych przestrzeni suchego, zagęszczonego wypełniacza</w:t>
            </w:r>
          </w:p>
        </w:tc>
      </w:tr>
      <w:tr w:rsidR="00F50DE8" w:rsidRPr="0034704F" w14:paraId="4E385E6B" w14:textId="77777777" w:rsidTr="0094558D">
        <w:tc>
          <w:tcPr>
            <w:tcW w:w="534" w:type="dxa"/>
          </w:tcPr>
          <w:p w14:paraId="20EE167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842" w:type="dxa"/>
          </w:tcPr>
          <w:p w14:paraId="68E1289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1097-5</w:t>
            </w:r>
          </w:p>
        </w:tc>
        <w:tc>
          <w:tcPr>
            <w:tcW w:w="6804" w:type="dxa"/>
            <w:gridSpan w:val="3"/>
          </w:tcPr>
          <w:p w14:paraId="20E00BFB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5: Oznaczanie zawartości wody przez suszenie w suszarce z wentylacją</w:t>
            </w:r>
          </w:p>
        </w:tc>
      </w:tr>
      <w:tr w:rsidR="00F50DE8" w:rsidRPr="0034704F" w14:paraId="5FC01270" w14:textId="77777777" w:rsidTr="0094558D">
        <w:tc>
          <w:tcPr>
            <w:tcW w:w="534" w:type="dxa"/>
          </w:tcPr>
          <w:p w14:paraId="638B1E9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842" w:type="dxa"/>
          </w:tcPr>
          <w:p w14:paraId="6B215A0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1097-6</w:t>
            </w:r>
          </w:p>
        </w:tc>
        <w:tc>
          <w:tcPr>
            <w:tcW w:w="6804" w:type="dxa"/>
            <w:gridSpan w:val="3"/>
          </w:tcPr>
          <w:p w14:paraId="798789D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–Część 6: Oznaczanie gęstości ziaren i nasiąkliwości</w:t>
            </w:r>
          </w:p>
        </w:tc>
      </w:tr>
      <w:tr w:rsidR="00F50DE8" w:rsidRPr="0034704F" w14:paraId="14D67375" w14:textId="77777777" w:rsidTr="0094558D">
        <w:tc>
          <w:tcPr>
            <w:tcW w:w="534" w:type="dxa"/>
          </w:tcPr>
          <w:p w14:paraId="66902CF9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842" w:type="dxa"/>
          </w:tcPr>
          <w:p w14:paraId="441A47F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1097-7</w:t>
            </w:r>
          </w:p>
        </w:tc>
        <w:tc>
          <w:tcPr>
            <w:tcW w:w="6804" w:type="dxa"/>
            <w:gridSpan w:val="3"/>
          </w:tcPr>
          <w:p w14:paraId="3F46A937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7: Oznaczanie gęstości wypełniacza – Metoda piknometryczna</w:t>
            </w:r>
          </w:p>
        </w:tc>
      </w:tr>
      <w:tr w:rsidR="00F50DE8" w:rsidRPr="0034704F" w14:paraId="665FA205" w14:textId="77777777" w:rsidTr="0094558D">
        <w:tc>
          <w:tcPr>
            <w:tcW w:w="534" w:type="dxa"/>
          </w:tcPr>
          <w:p w14:paraId="0218062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842" w:type="dxa"/>
          </w:tcPr>
          <w:p w14:paraId="6EAFE36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1097-8</w:t>
            </w:r>
          </w:p>
        </w:tc>
        <w:tc>
          <w:tcPr>
            <w:tcW w:w="6804" w:type="dxa"/>
            <w:gridSpan w:val="3"/>
          </w:tcPr>
          <w:p w14:paraId="6CB4925B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mechanicznych i fizycznych właściwości kruszyw – Część 8: Oznaczanie polerowalności kamienia</w:t>
            </w:r>
          </w:p>
        </w:tc>
      </w:tr>
      <w:tr w:rsidR="00F50DE8" w:rsidRPr="0034704F" w14:paraId="6614D640" w14:textId="77777777" w:rsidTr="0094558D">
        <w:tc>
          <w:tcPr>
            <w:tcW w:w="534" w:type="dxa"/>
          </w:tcPr>
          <w:p w14:paraId="7DD7887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842" w:type="dxa"/>
          </w:tcPr>
          <w:p w14:paraId="509BE1C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1367-1</w:t>
            </w:r>
          </w:p>
        </w:tc>
        <w:tc>
          <w:tcPr>
            <w:tcW w:w="6804" w:type="dxa"/>
            <w:gridSpan w:val="3"/>
          </w:tcPr>
          <w:p w14:paraId="07306163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właściwości cieplnych i odporności kruszyw na działanie czynników atmosferycznych – Część 1: Oznaczanie mrozoodporności</w:t>
            </w:r>
          </w:p>
        </w:tc>
      </w:tr>
      <w:tr w:rsidR="00F50DE8" w:rsidRPr="0034704F" w14:paraId="68534AE2" w14:textId="77777777" w:rsidTr="0094558D">
        <w:tc>
          <w:tcPr>
            <w:tcW w:w="534" w:type="dxa"/>
          </w:tcPr>
          <w:p w14:paraId="486C336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1842" w:type="dxa"/>
          </w:tcPr>
          <w:p w14:paraId="79FE0F8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1367-3</w:t>
            </w:r>
          </w:p>
        </w:tc>
        <w:tc>
          <w:tcPr>
            <w:tcW w:w="6804" w:type="dxa"/>
            <w:gridSpan w:val="3"/>
          </w:tcPr>
          <w:p w14:paraId="22A67E98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właściwości cieplnych i odporności kruszyw na działanie czynników atmosferycznych – Część 3: Badanie bazaltowej zgorzeli słonecznej metodą gotowania</w:t>
            </w:r>
          </w:p>
        </w:tc>
      </w:tr>
      <w:tr w:rsidR="00F50DE8" w:rsidRPr="0034704F" w14:paraId="70062833" w14:textId="77777777" w:rsidTr="0094558D">
        <w:tc>
          <w:tcPr>
            <w:tcW w:w="534" w:type="dxa"/>
          </w:tcPr>
          <w:p w14:paraId="5E6CACB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1842" w:type="dxa"/>
          </w:tcPr>
          <w:p w14:paraId="0A2C03C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1426</w:t>
            </w:r>
          </w:p>
        </w:tc>
        <w:tc>
          <w:tcPr>
            <w:tcW w:w="6804" w:type="dxa"/>
            <w:gridSpan w:val="3"/>
          </w:tcPr>
          <w:p w14:paraId="55992AA7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penetracji igłą</w:t>
            </w:r>
          </w:p>
        </w:tc>
      </w:tr>
      <w:tr w:rsidR="00F50DE8" w:rsidRPr="0034704F" w14:paraId="22C58CA8" w14:textId="77777777" w:rsidTr="0094558D">
        <w:tc>
          <w:tcPr>
            <w:tcW w:w="534" w:type="dxa"/>
          </w:tcPr>
          <w:p w14:paraId="37411D1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22. </w:t>
            </w:r>
          </w:p>
        </w:tc>
        <w:tc>
          <w:tcPr>
            <w:tcW w:w="1842" w:type="dxa"/>
          </w:tcPr>
          <w:p w14:paraId="58050EC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1427</w:t>
            </w:r>
          </w:p>
        </w:tc>
        <w:tc>
          <w:tcPr>
            <w:tcW w:w="6804" w:type="dxa"/>
            <w:gridSpan w:val="3"/>
          </w:tcPr>
          <w:p w14:paraId="5515074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temperatury mięknienia – Metoda Pierścień i Kula</w:t>
            </w:r>
          </w:p>
        </w:tc>
      </w:tr>
      <w:tr w:rsidR="00F50DE8" w:rsidRPr="0034704F" w14:paraId="7DF3E11F" w14:textId="77777777" w:rsidTr="0094558D">
        <w:tc>
          <w:tcPr>
            <w:tcW w:w="534" w:type="dxa"/>
          </w:tcPr>
          <w:p w14:paraId="0FB1DCA8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 xml:space="preserve">23. </w:t>
            </w:r>
          </w:p>
        </w:tc>
        <w:tc>
          <w:tcPr>
            <w:tcW w:w="1842" w:type="dxa"/>
          </w:tcPr>
          <w:p w14:paraId="356AC16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1428</w:t>
            </w:r>
          </w:p>
        </w:tc>
        <w:tc>
          <w:tcPr>
            <w:tcW w:w="6804" w:type="dxa"/>
            <w:gridSpan w:val="3"/>
          </w:tcPr>
          <w:p w14:paraId="5B8AFC0A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zawartości wody w emulsjach asfaltowych – Metoda destylacji azeotropowej</w:t>
            </w:r>
          </w:p>
        </w:tc>
      </w:tr>
      <w:tr w:rsidR="00F50DE8" w:rsidRPr="0034704F" w14:paraId="58F58A14" w14:textId="77777777" w:rsidTr="0094558D">
        <w:tc>
          <w:tcPr>
            <w:tcW w:w="534" w:type="dxa"/>
          </w:tcPr>
          <w:p w14:paraId="10106C2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1842" w:type="dxa"/>
          </w:tcPr>
          <w:p w14:paraId="6111103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1429</w:t>
            </w:r>
          </w:p>
        </w:tc>
        <w:tc>
          <w:tcPr>
            <w:tcW w:w="6804" w:type="dxa"/>
            <w:gridSpan w:val="3"/>
          </w:tcPr>
          <w:p w14:paraId="66A81333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pozostałości na sicie emulsji asfaltowych oraz trwałości podczas magazynowania metodą pozostałości na sicie</w:t>
            </w:r>
          </w:p>
        </w:tc>
      </w:tr>
      <w:tr w:rsidR="00F50DE8" w:rsidRPr="0034704F" w14:paraId="57111D3F" w14:textId="77777777" w:rsidTr="0094558D">
        <w:tc>
          <w:tcPr>
            <w:tcW w:w="534" w:type="dxa"/>
          </w:tcPr>
          <w:p w14:paraId="5EBF197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1842" w:type="dxa"/>
          </w:tcPr>
          <w:p w14:paraId="6440381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1744-1</w:t>
            </w:r>
          </w:p>
        </w:tc>
        <w:tc>
          <w:tcPr>
            <w:tcW w:w="6804" w:type="dxa"/>
            <w:gridSpan w:val="3"/>
          </w:tcPr>
          <w:p w14:paraId="0EB529CC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chemicznych właściwości kruszyw – Analiza chemiczna</w:t>
            </w:r>
          </w:p>
        </w:tc>
      </w:tr>
      <w:tr w:rsidR="00F50DE8" w:rsidRPr="0034704F" w14:paraId="2F64AD7B" w14:textId="77777777" w:rsidTr="0094558D">
        <w:tc>
          <w:tcPr>
            <w:tcW w:w="534" w:type="dxa"/>
          </w:tcPr>
          <w:p w14:paraId="469BE52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1842" w:type="dxa"/>
          </w:tcPr>
          <w:p w14:paraId="65B41A1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1744-4</w:t>
            </w:r>
          </w:p>
        </w:tc>
        <w:tc>
          <w:tcPr>
            <w:tcW w:w="6804" w:type="dxa"/>
            <w:gridSpan w:val="3"/>
          </w:tcPr>
          <w:p w14:paraId="495A7C70" w14:textId="77777777" w:rsidR="00F50DE8" w:rsidRPr="0034704F" w:rsidRDefault="00F50DE8" w:rsidP="0094558D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chemicznych właściwości kruszyw – Część 4: Oznaczanie podatności wypełniaczy do mieszanek mineralno-asfaltowych na działanie wody</w:t>
            </w:r>
          </w:p>
        </w:tc>
      </w:tr>
      <w:tr w:rsidR="00F50DE8" w:rsidRPr="0034704F" w14:paraId="335354BF" w14:textId="77777777" w:rsidTr="0094558D">
        <w:tc>
          <w:tcPr>
            <w:tcW w:w="534" w:type="dxa"/>
          </w:tcPr>
          <w:p w14:paraId="4460048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1842" w:type="dxa"/>
          </w:tcPr>
          <w:p w14:paraId="329A756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12591</w:t>
            </w:r>
          </w:p>
        </w:tc>
        <w:tc>
          <w:tcPr>
            <w:tcW w:w="6804" w:type="dxa"/>
            <w:gridSpan w:val="3"/>
          </w:tcPr>
          <w:p w14:paraId="6A96B96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Wymagania dla asfaltów drogowych</w:t>
            </w:r>
          </w:p>
        </w:tc>
      </w:tr>
      <w:tr w:rsidR="00F50DE8" w:rsidRPr="0034704F" w14:paraId="6078DE28" w14:textId="77777777" w:rsidTr="0094558D">
        <w:tc>
          <w:tcPr>
            <w:tcW w:w="534" w:type="dxa"/>
          </w:tcPr>
          <w:p w14:paraId="1EE7034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1842" w:type="dxa"/>
          </w:tcPr>
          <w:p w14:paraId="1F76414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12592</w:t>
            </w:r>
          </w:p>
        </w:tc>
        <w:tc>
          <w:tcPr>
            <w:tcW w:w="6804" w:type="dxa"/>
            <w:gridSpan w:val="3"/>
          </w:tcPr>
          <w:p w14:paraId="16B2B28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rozpuszczalności</w:t>
            </w:r>
          </w:p>
        </w:tc>
      </w:tr>
      <w:tr w:rsidR="00F50DE8" w:rsidRPr="0034704F" w14:paraId="51FD8FEF" w14:textId="77777777" w:rsidTr="0094558D">
        <w:tc>
          <w:tcPr>
            <w:tcW w:w="534" w:type="dxa"/>
          </w:tcPr>
          <w:p w14:paraId="17EF85F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1842" w:type="dxa"/>
          </w:tcPr>
          <w:p w14:paraId="5AF2271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12593</w:t>
            </w:r>
          </w:p>
        </w:tc>
        <w:tc>
          <w:tcPr>
            <w:tcW w:w="6804" w:type="dxa"/>
            <w:gridSpan w:val="3"/>
          </w:tcPr>
          <w:p w14:paraId="16D3AF6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temperatury łamliwości Fraassa</w:t>
            </w:r>
          </w:p>
        </w:tc>
      </w:tr>
      <w:tr w:rsidR="00F50DE8" w:rsidRPr="0034704F" w14:paraId="3C441595" w14:textId="77777777" w:rsidTr="0094558D">
        <w:tc>
          <w:tcPr>
            <w:tcW w:w="534" w:type="dxa"/>
          </w:tcPr>
          <w:p w14:paraId="0787AB8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1842" w:type="dxa"/>
          </w:tcPr>
          <w:p w14:paraId="7ACC1C8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12606-1</w:t>
            </w:r>
          </w:p>
        </w:tc>
        <w:tc>
          <w:tcPr>
            <w:tcW w:w="6804" w:type="dxa"/>
            <w:gridSpan w:val="3"/>
          </w:tcPr>
          <w:p w14:paraId="036E5F2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zawartości parafiny – Część 1: Metoda destylacyjna</w:t>
            </w:r>
          </w:p>
        </w:tc>
      </w:tr>
      <w:tr w:rsidR="00F50DE8" w:rsidRPr="0034704F" w14:paraId="20C464D1" w14:textId="77777777" w:rsidTr="0094558D">
        <w:tc>
          <w:tcPr>
            <w:tcW w:w="534" w:type="dxa"/>
          </w:tcPr>
          <w:p w14:paraId="1AFCCF7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1842" w:type="dxa"/>
          </w:tcPr>
          <w:p w14:paraId="6FB0F0D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12607-1</w:t>
            </w:r>
          </w:p>
          <w:p w14:paraId="72150AD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I PN-EN 12607-3</w:t>
            </w:r>
          </w:p>
        </w:tc>
        <w:tc>
          <w:tcPr>
            <w:tcW w:w="6804" w:type="dxa"/>
            <w:gridSpan w:val="3"/>
          </w:tcPr>
          <w:p w14:paraId="2C4D37D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produkty asfaltowe – Oznaczanie odporności na twardnienie pod wpływem ciepła i powietrza – Część 1: Metoda RTFOT</w:t>
            </w:r>
          </w:p>
          <w:p w14:paraId="2964F2D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Jw. Część 3: Metoda RFT</w:t>
            </w:r>
          </w:p>
        </w:tc>
      </w:tr>
      <w:tr w:rsidR="00F50DE8" w:rsidRPr="0034704F" w14:paraId="10837E02" w14:textId="77777777" w:rsidTr="0094558D">
        <w:tc>
          <w:tcPr>
            <w:tcW w:w="534" w:type="dxa"/>
          </w:tcPr>
          <w:p w14:paraId="295C697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1842" w:type="dxa"/>
          </w:tcPr>
          <w:p w14:paraId="5945BA6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12697-6</w:t>
            </w:r>
          </w:p>
        </w:tc>
        <w:tc>
          <w:tcPr>
            <w:tcW w:w="6804" w:type="dxa"/>
            <w:gridSpan w:val="3"/>
          </w:tcPr>
          <w:p w14:paraId="630D4E5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50DE8" w:rsidRPr="0034704F" w14:paraId="2FB4D967" w14:textId="77777777" w:rsidTr="0094558D">
        <w:tc>
          <w:tcPr>
            <w:tcW w:w="534" w:type="dxa"/>
          </w:tcPr>
          <w:p w14:paraId="1F85C5C1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1842" w:type="dxa"/>
          </w:tcPr>
          <w:p w14:paraId="6A004B5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12697-8</w:t>
            </w:r>
          </w:p>
        </w:tc>
        <w:tc>
          <w:tcPr>
            <w:tcW w:w="6804" w:type="dxa"/>
            <w:gridSpan w:val="3"/>
          </w:tcPr>
          <w:p w14:paraId="2857145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F50DE8" w:rsidRPr="0034704F" w14:paraId="63B56E22" w14:textId="77777777" w:rsidTr="0094558D">
        <w:tc>
          <w:tcPr>
            <w:tcW w:w="534" w:type="dxa"/>
          </w:tcPr>
          <w:p w14:paraId="4804FEF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1842" w:type="dxa"/>
          </w:tcPr>
          <w:p w14:paraId="02B511B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12697-11</w:t>
            </w:r>
          </w:p>
        </w:tc>
        <w:tc>
          <w:tcPr>
            <w:tcW w:w="6804" w:type="dxa"/>
            <w:gridSpan w:val="3"/>
          </w:tcPr>
          <w:p w14:paraId="7775226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11: Określenie powiązania pomiędzy kruszywem i asfaltem</w:t>
            </w:r>
          </w:p>
        </w:tc>
      </w:tr>
      <w:tr w:rsidR="00F50DE8" w:rsidRPr="0034704F" w14:paraId="71EA2B7D" w14:textId="77777777" w:rsidTr="0094558D">
        <w:tc>
          <w:tcPr>
            <w:tcW w:w="534" w:type="dxa"/>
          </w:tcPr>
          <w:p w14:paraId="424EFF6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1842" w:type="dxa"/>
          </w:tcPr>
          <w:p w14:paraId="6BA9896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12697-12</w:t>
            </w:r>
          </w:p>
        </w:tc>
        <w:tc>
          <w:tcPr>
            <w:tcW w:w="6804" w:type="dxa"/>
            <w:gridSpan w:val="3"/>
          </w:tcPr>
          <w:p w14:paraId="6208427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F50DE8" w:rsidRPr="0034704F" w14:paraId="5DB969BC" w14:textId="77777777" w:rsidTr="0094558D">
        <w:tc>
          <w:tcPr>
            <w:tcW w:w="534" w:type="dxa"/>
          </w:tcPr>
          <w:p w14:paraId="3F9341F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1842" w:type="dxa"/>
          </w:tcPr>
          <w:p w14:paraId="0F5655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12697-13</w:t>
            </w:r>
          </w:p>
        </w:tc>
        <w:tc>
          <w:tcPr>
            <w:tcW w:w="6804" w:type="dxa"/>
            <w:gridSpan w:val="3"/>
          </w:tcPr>
          <w:p w14:paraId="7E1744D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13: Pomiar temperatury</w:t>
            </w:r>
          </w:p>
        </w:tc>
      </w:tr>
      <w:tr w:rsidR="00F50DE8" w:rsidRPr="0034704F" w14:paraId="7FCDA418" w14:textId="77777777" w:rsidTr="0094558D">
        <w:tc>
          <w:tcPr>
            <w:tcW w:w="534" w:type="dxa"/>
          </w:tcPr>
          <w:p w14:paraId="2D1A4BF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1842" w:type="dxa"/>
          </w:tcPr>
          <w:p w14:paraId="64E0B6B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12697-18</w:t>
            </w:r>
          </w:p>
        </w:tc>
        <w:tc>
          <w:tcPr>
            <w:tcW w:w="6804" w:type="dxa"/>
            <w:gridSpan w:val="3"/>
          </w:tcPr>
          <w:p w14:paraId="1BCF6E7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18: Spływanie lepiszcza</w:t>
            </w:r>
          </w:p>
        </w:tc>
      </w:tr>
      <w:tr w:rsidR="00F50DE8" w:rsidRPr="0034704F" w14:paraId="27FDCA7D" w14:textId="77777777" w:rsidTr="0094558D">
        <w:tc>
          <w:tcPr>
            <w:tcW w:w="534" w:type="dxa"/>
          </w:tcPr>
          <w:p w14:paraId="0F1D16E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1842" w:type="dxa"/>
          </w:tcPr>
          <w:p w14:paraId="6A04118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12697-22</w:t>
            </w:r>
          </w:p>
        </w:tc>
        <w:tc>
          <w:tcPr>
            <w:tcW w:w="6804" w:type="dxa"/>
            <w:gridSpan w:val="3"/>
          </w:tcPr>
          <w:p w14:paraId="3920523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22: Koleinowanie</w:t>
            </w:r>
          </w:p>
        </w:tc>
      </w:tr>
      <w:tr w:rsidR="00F50DE8" w:rsidRPr="0034704F" w14:paraId="2145D988" w14:textId="77777777" w:rsidTr="0094558D">
        <w:tc>
          <w:tcPr>
            <w:tcW w:w="534" w:type="dxa"/>
          </w:tcPr>
          <w:p w14:paraId="4E4DE91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1842" w:type="dxa"/>
          </w:tcPr>
          <w:p w14:paraId="1DF3DC5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12697-27</w:t>
            </w:r>
          </w:p>
        </w:tc>
        <w:tc>
          <w:tcPr>
            <w:tcW w:w="6804" w:type="dxa"/>
            <w:gridSpan w:val="3"/>
          </w:tcPr>
          <w:p w14:paraId="2F59C0C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27: Pobieranie próbek</w:t>
            </w:r>
          </w:p>
        </w:tc>
      </w:tr>
      <w:tr w:rsidR="00F50DE8" w:rsidRPr="0034704F" w14:paraId="4B0F8B30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0FB6E93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1842" w:type="dxa"/>
          </w:tcPr>
          <w:p w14:paraId="771D75E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12697-36</w:t>
            </w:r>
          </w:p>
        </w:tc>
        <w:tc>
          <w:tcPr>
            <w:tcW w:w="6663" w:type="dxa"/>
            <w:gridSpan w:val="2"/>
          </w:tcPr>
          <w:p w14:paraId="4042504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F50DE8" w:rsidRPr="0034704F" w14:paraId="159106A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E5B9BE3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1842" w:type="dxa"/>
          </w:tcPr>
          <w:p w14:paraId="0B78191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12846</w:t>
            </w:r>
          </w:p>
        </w:tc>
        <w:tc>
          <w:tcPr>
            <w:tcW w:w="6663" w:type="dxa"/>
            <w:gridSpan w:val="2"/>
          </w:tcPr>
          <w:p w14:paraId="1966BDE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czasu wypływu emulsji asfaltowych lepkościomierzem wypływowym</w:t>
            </w:r>
          </w:p>
        </w:tc>
      </w:tr>
      <w:tr w:rsidR="00F50DE8" w:rsidRPr="0034704F" w14:paraId="51050B1B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7B8776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lastRenderedPageBreak/>
              <w:t>42.</w:t>
            </w:r>
          </w:p>
        </w:tc>
        <w:tc>
          <w:tcPr>
            <w:tcW w:w="1842" w:type="dxa"/>
          </w:tcPr>
          <w:p w14:paraId="7AC887B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12847</w:t>
            </w:r>
          </w:p>
        </w:tc>
        <w:tc>
          <w:tcPr>
            <w:tcW w:w="6663" w:type="dxa"/>
            <w:gridSpan w:val="2"/>
          </w:tcPr>
          <w:p w14:paraId="7A0C9D8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sedymentacji emulsji asfaltowych</w:t>
            </w:r>
          </w:p>
        </w:tc>
      </w:tr>
      <w:tr w:rsidR="00F50DE8" w:rsidRPr="0034704F" w14:paraId="466A74B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987DF6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1842" w:type="dxa"/>
          </w:tcPr>
          <w:p w14:paraId="7C924F0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12850</w:t>
            </w:r>
          </w:p>
        </w:tc>
        <w:tc>
          <w:tcPr>
            <w:tcW w:w="6663" w:type="dxa"/>
            <w:gridSpan w:val="2"/>
          </w:tcPr>
          <w:p w14:paraId="13EEACD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wartości pH emulsji asfaltowych</w:t>
            </w:r>
          </w:p>
        </w:tc>
      </w:tr>
      <w:tr w:rsidR="00F50DE8" w:rsidRPr="0034704F" w14:paraId="3AFF97B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D0CC042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1842" w:type="dxa"/>
          </w:tcPr>
          <w:p w14:paraId="6D38A91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13043</w:t>
            </w:r>
          </w:p>
        </w:tc>
        <w:tc>
          <w:tcPr>
            <w:tcW w:w="6663" w:type="dxa"/>
            <w:gridSpan w:val="2"/>
          </w:tcPr>
          <w:p w14:paraId="31BD01EC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Kruszywa do mieszanek bitumicznych i powierzchniowych utrwaleń stosowanych na drogach, lotniskach i innych powierzchniach przeznaczonych do ruchu</w:t>
            </w:r>
          </w:p>
        </w:tc>
      </w:tr>
      <w:tr w:rsidR="00F50DE8" w:rsidRPr="0034704F" w14:paraId="5A09F51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7A6C57A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1842" w:type="dxa"/>
          </w:tcPr>
          <w:p w14:paraId="296B1AB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13074</w:t>
            </w:r>
          </w:p>
        </w:tc>
        <w:tc>
          <w:tcPr>
            <w:tcW w:w="6663" w:type="dxa"/>
            <w:gridSpan w:val="2"/>
          </w:tcPr>
          <w:p w14:paraId="0CEC231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lepiszczy z emulsji asfaltowych przez odparowanie</w:t>
            </w:r>
          </w:p>
        </w:tc>
      </w:tr>
      <w:tr w:rsidR="00F50DE8" w:rsidRPr="0034704F" w14:paraId="69E23349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4B0BD90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1842" w:type="dxa"/>
          </w:tcPr>
          <w:p w14:paraId="2092D14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13075-1</w:t>
            </w:r>
          </w:p>
        </w:tc>
        <w:tc>
          <w:tcPr>
            <w:tcW w:w="6663" w:type="dxa"/>
            <w:gridSpan w:val="2"/>
          </w:tcPr>
          <w:p w14:paraId="3B73F09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Badanie rozpadu – Część 1: Oznaczanie indeksu rozpadu kationowych emulsji asfaltowych, metoda z wypełniaczem mineralnym</w:t>
            </w:r>
          </w:p>
        </w:tc>
      </w:tr>
      <w:tr w:rsidR="00F50DE8" w:rsidRPr="0034704F" w14:paraId="6FDBF1B2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25D6749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1842" w:type="dxa"/>
          </w:tcPr>
          <w:p w14:paraId="2F430B50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13108-1</w:t>
            </w:r>
          </w:p>
        </w:tc>
        <w:tc>
          <w:tcPr>
            <w:tcW w:w="6663" w:type="dxa"/>
            <w:gridSpan w:val="2"/>
          </w:tcPr>
          <w:p w14:paraId="3A15C2B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Wymagania – Część 1: Beton asfaltowy</w:t>
            </w:r>
          </w:p>
        </w:tc>
      </w:tr>
      <w:tr w:rsidR="00F50DE8" w:rsidRPr="0034704F" w14:paraId="3EAE21B4" w14:textId="77777777" w:rsidTr="0094558D">
        <w:trPr>
          <w:gridAfter w:val="1"/>
          <w:wAfter w:w="141" w:type="dxa"/>
        </w:trPr>
        <w:tc>
          <w:tcPr>
            <w:tcW w:w="534" w:type="dxa"/>
          </w:tcPr>
          <w:p w14:paraId="63D4263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1842" w:type="dxa"/>
          </w:tcPr>
          <w:p w14:paraId="5CCBAD4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13108-20</w:t>
            </w:r>
          </w:p>
        </w:tc>
        <w:tc>
          <w:tcPr>
            <w:tcW w:w="6663" w:type="dxa"/>
            <w:gridSpan w:val="2"/>
          </w:tcPr>
          <w:p w14:paraId="0CC362B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Mieszanki mineralno-asfaltowe – Wymagania – Część 20: Badanie typu</w:t>
            </w:r>
          </w:p>
        </w:tc>
      </w:tr>
      <w:tr w:rsidR="00F50DE8" w:rsidRPr="0034704F" w14:paraId="2E3E34EB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394FC477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1842" w:type="dxa"/>
          </w:tcPr>
          <w:p w14:paraId="4430ED69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13179-1</w:t>
            </w:r>
          </w:p>
        </w:tc>
        <w:tc>
          <w:tcPr>
            <w:tcW w:w="6521" w:type="dxa"/>
          </w:tcPr>
          <w:p w14:paraId="2410A95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kruszyw wypełniających stosowanych do mieszanek bitumicznych – Część 1: Badanie metodą Pierścienia i Kuli</w:t>
            </w:r>
          </w:p>
        </w:tc>
      </w:tr>
      <w:tr w:rsidR="00F50DE8" w:rsidRPr="0034704F" w14:paraId="36A16A52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2380F6EF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50.</w:t>
            </w:r>
          </w:p>
        </w:tc>
        <w:tc>
          <w:tcPr>
            <w:tcW w:w="1842" w:type="dxa"/>
          </w:tcPr>
          <w:p w14:paraId="258E075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13179-2</w:t>
            </w:r>
          </w:p>
        </w:tc>
        <w:tc>
          <w:tcPr>
            <w:tcW w:w="6521" w:type="dxa"/>
          </w:tcPr>
          <w:p w14:paraId="54BB75C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Badania kruszyw wypełniających stosowanych do mieszanek bitumicznych – Część 2: Liczba bitumiczna</w:t>
            </w:r>
          </w:p>
        </w:tc>
      </w:tr>
      <w:tr w:rsidR="00F50DE8" w:rsidRPr="0034704F" w14:paraId="0E987E12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6978934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51.</w:t>
            </w:r>
          </w:p>
        </w:tc>
        <w:tc>
          <w:tcPr>
            <w:tcW w:w="1842" w:type="dxa"/>
          </w:tcPr>
          <w:p w14:paraId="51B6A2D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13398</w:t>
            </w:r>
          </w:p>
        </w:tc>
        <w:tc>
          <w:tcPr>
            <w:tcW w:w="6521" w:type="dxa"/>
          </w:tcPr>
          <w:p w14:paraId="66921E1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nawrotu sprężystego asfaltów modyfikowanych</w:t>
            </w:r>
          </w:p>
        </w:tc>
      </w:tr>
      <w:tr w:rsidR="00F50DE8" w:rsidRPr="0034704F" w14:paraId="7F71F473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0B2930B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52.</w:t>
            </w:r>
          </w:p>
        </w:tc>
        <w:tc>
          <w:tcPr>
            <w:tcW w:w="1842" w:type="dxa"/>
          </w:tcPr>
          <w:p w14:paraId="463F7EF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13399</w:t>
            </w:r>
          </w:p>
        </w:tc>
        <w:tc>
          <w:tcPr>
            <w:tcW w:w="6521" w:type="dxa"/>
          </w:tcPr>
          <w:p w14:paraId="0CF71F2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odporności na magazynowanie modyfikowanych asfaltów</w:t>
            </w:r>
          </w:p>
        </w:tc>
      </w:tr>
      <w:tr w:rsidR="00F50DE8" w:rsidRPr="0034704F" w14:paraId="744E67AB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51BBDA3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53.</w:t>
            </w:r>
          </w:p>
        </w:tc>
        <w:tc>
          <w:tcPr>
            <w:tcW w:w="1842" w:type="dxa"/>
          </w:tcPr>
          <w:p w14:paraId="2EAF1BF7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13587</w:t>
            </w:r>
          </w:p>
        </w:tc>
        <w:tc>
          <w:tcPr>
            <w:tcW w:w="6521" w:type="dxa"/>
          </w:tcPr>
          <w:p w14:paraId="0ED09E1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ciągliwości lepiszczy asfaltowych metodą pomiaru ciągliwości</w:t>
            </w:r>
          </w:p>
        </w:tc>
      </w:tr>
      <w:tr w:rsidR="00F50DE8" w:rsidRPr="0034704F" w14:paraId="1B6D5F19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7EEC009B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54.</w:t>
            </w:r>
          </w:p>
        </w:tc>
        <w:tc>
          <w:tcPr>
            <w:tcW w:w="1842" w:type="dxa"/>
          </w:tcPr>
          <w:p w14:paraId="3EE0335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13588</w:t>
            </w:r>
          </w:p>
        </w:tc>
        <w:tc>
          <w:tcPr>
            <w:tcW w:w="6521" w:type="dxa"/>
          </w:tcPr>
          <w:p w14:paraId="3A1D91C1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kohezji lepiszczy asfaltowych metodą testu wahadłowego</w:t>
            </w:r>
          </w:p>
        </w:tc>
      </w:tr>
      <w:tr w:rsidR="00F50DE8" w:rsidRPr="0034704F" w14:paraId="69F0631D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4DE60E9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55.</w:t>
            </w:r>
          </w:p>
        </w:tc>
        <w:tc>
          <w:tcPr>
            <w:tcW w:w="1842" w:type="dxa"/>
          </w:tcPr>
          <w:p w14:paraId="0DCA556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13589</w:t>
            </w:r>
          </w:p>
        </w:tc>
        <w:tc>
          <w:tcPr>
            <w:tcW w:w="6521" w:type="dxa"/>
          </w:tcPr>
          <w:p w14:paraId="263C14A2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ciągliwości modyfikowanych asfaltów – Metoda z duktylometrem</w:t>
            </w:r>
          </w:p>
        </w:tc>
      </w:tr>
      <w:tr w:rsidR="00F50DE8" w:rsidRPr="0034704F" w14:paraId="51880F74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46174EB0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56.</w:t>
            </w:r>
          </w:p>
        </w:tc>
        <w:tc>
          <w:tcPr>
            <w:tcW w:w="1842" w:type="dxa"/>
          </w:tcPr>
          <w:p w14:paraId="0732992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13614</w:t>
            </w:r>
          </w:p>
        </w:tc>
        <w:tc>
          <w:tcPr>
            <w:tcW w:w="6521" w:type="dxa"/>
          </w:tcPr>
          <w:p w14:paraId="3B29E6CD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przyczepności emulsji bitumicznych przez zanurzenie w wodzie – Metoda z kruszywem</w:t>
            </w:r>
          </w:p>
        </w:tc>
      </w:tr>
      <w:tr w:rsidR="00F50DE8" w:rsidRPr="0034704F" w14:paraId="541995FC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6BC5ABD5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57.</w:t>
            </w:r>
          </w:p>
        </w:tc>
        <w:tc>
          <w:tcPr>
            <w:tcW w:w="1842" w:type="dxa"/>
          </w:tcPr>
          <w:p w14:paraId="195DEA4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13703</w:t>
            </w:r>
          </w:p>
        </w:tc>
        <w:tc>
          <w:tcPr>
            <w:tcW w:w="6521" w:type="dxa"/>
          </w:tcPr>
          <w:p w14:paraId="42F1DF8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Oznaczanie energii deformacji</w:t>
            </w:r>
          </w:p>
        </w:tc>
      </w:tr>
      <w:tr w:rsidR="00F50DE8" w:rsidRPr="0034704F" w14:paraId="12149E3A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749BD11D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1842" w:type="dxa"/>
          </w:tcPr>
          <w:p w14:paraId="18B24D4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13808</w:t>
            </w:r>
          </w:p>
        </w:tc>
        <w:tc>
          <w:tcPr>
            <w:tcW w:w="6521" w:type="dxa"/>
          </w:tcPr>
          <w:p w14:paraId="0B4C8846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Zasady specyfikacji kationowych emulsji asfaltowych</w:t>
            </w:r>
          </w:p>
        </w:tc>
      </w:tr>
      <w:tr w:rsidR="00F50DE8" w:rsidRPr="0034704F" w14:paraId="54463760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3C06E4C6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1842" w:type="dxa"/>
          </w:tcPr>
          <w:p w14:paraId="6F834144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14023</w:t>
            </w:r>
          </w:p>
        </w:tc>
        <w:tc>
          <w:tcPr>
            <w:tcW w:w="6521" w:type="dxa"/>
          </w:tcPr>
          <w:p w14:paraId="196BB688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Asfalty i lepiszcza asfaltowe – Zasady specyfikacji asfaltów modyfikowanych polimerami</w:t>
            </w:r>
          </w:p>
        </w:tc>
      </w:tr>
      <w:tr w:rsidR="00F50DE8" w:rsidRPr="0034704F" w14:paraId="370F4159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24C75204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1842" w:type="dxa"/>
          </w:tcPr>
          <w:p w14:paraId="0DA22BC3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6521" w:type="dxa"/>
          </w:tcPr>
          <w:p w14:paraId="2175962F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Wypełniacze złączy i zalewy – Część 1: Specyfikacja zalew na gorąco</w:t>
            </w:r>
          </w:p>
        </w:tc>
      </w:tr>
      <w:tr w:rsidR="00F50DE8" w:rsidRPr="0034704F" w14:paraId="6D77506D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5F4AB69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1842" w:type="dxa"/>
          </w:tcPr>
          <w:p w14:paraId="504CA99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6521" w:type="dxa"/>
          </w:tcPr>
          <w:p w14:paraId="28129F55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Wypełniacze złączy i zalewy – Część 2: Specyfikacja zalew na zimno</w:t>
            </w:r>
          </w:p>
        </w:tc>
      </w:tr>
      <w:tr w:rsidR="00F50DE8" w:rsidRPr="0034704F" w14:paraId="7D8217F0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1555498E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62.</w:t>
            </w:r>
          </w:p>
        </w:tc>
        <w:tc>
          <w:tcPr>
            <w:tcW w:w="1842" w:type="dxa"/>
          </w:tcPr>
          <w:p w14:paraId="03F38C0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22592</w:t>
            </w:r>
          </w:p>
        </w:tc>
        <w:tc>
          <w:tcPr>
            <w:tcW w:w="6521" w:type="dxa"/>
          </w:tcPr>
          <w:p w14:paraId="3150A2CB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Przetwory naftowe – Oznaczanie temperatury zapłonu i palenia – Pomiar metodą otwartego tygla Clevelanda</w:t>
            </w:r>
          </w:p>
        </w:tc>
      </w:tr>
      <w:tr w:rsidR="00F50DE8" w:rsidRPr="0034704F" w14:paraId="1BEFB985" w14:textId="77777777" w:rsidTr="0094558D">
        <w:trPr>
          <w:gridAfter w:val="2"/>
          <w:wAfter w:w="283" w:type="dxa"/>
        </w:trPr>
        <w:tc>
          <w:tcPr>
            <w:tcW w:w="534" w:type="dxa"/>
          </w:tcPr>
          <w:p w14:paraId="02DD5C5C" w14:textId="77777777" w:rsidR="00F50DE8" w:rsidRPr="0034704F" w:rsidRDefault="00F50DE8" w:rsidP="0094558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63.</w:t>
            </w:r>
          </w:p>
        </w:tc>
        <w:tc>
          <w:tcPr>
            <w:tcW w:w="1842" w:type="dxa"/>
          </w:tcPr>
          <w:p w14:paraId="012CE6CE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PN-EN ISO 2592</w:t>
            </w:r>
          </w:p>
        </w:tc>
        <w:tc>
          <w:tcPr>
            <w:tcW w:w="6521" w:type="dxa"/>
          </w:tcPr>
          <w:p w14:paraId="329F14DA" w14:textId="77777777" w:rsidR="00F50DE8" w:rsidRPr="0034704F" w:rsidRDefault="00F50DE8" w:rsidP="0094558D">
            <w:pPr>
              <w:rPr>
                <w:rFonts w:ascii="Arial" w:hAnsi="Arial" w:cs="Arial"/>
                <w:sz w:val="18"/>
                <w:szCs w:val="18"/>
              </w:rPr>
            </w:pPr>
            <w:r w:rsidRPr="0034704F">
              <w:rPr>
                <w:rFonts w:ascii="Arial" w:hAnsi="Arial" w:cs="Arial"/>
                <w:sz w:val="18"/>
                <w:szCs w:val="18"/>
              </w:rPr>
              <w:t>Oznaczanie temperatury zapłonu i palenia – Metoda otwartego tygla Clevelanda</w:t>
            </w:r>
          </w:p>
        </w:tc>
      </w:tr>
    </w:tbl>
    <w:p w14:paraId="56ACF134" w14:textId="77777777" w:rsidR="005807BD" w:rsidRDefault="005807BD" w:rsidP="00F50DE8">
      <w:pPr>
        <w:pStyle w:val="TOMEK-NAGWEK4"/>
        <w:rPr>
          <w:rFonts w:ascii="Arial" w:hAnsi="Arial"/>
          <w:sz w:val="18"/>
          <w:szCs w:val="18"/>
        </w:rPr>
      </w:pPr>
    </w:p>
    <w:p w14:paraId="43AE3DD5" w14:textId="77777777" w:rsidR="00F50DE8" w:rsidRPr="0034704F" w:rsidRDefault="00F50DE8" w:rsidP="005807BD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 xml:space="preserve">10.3. </w:t>
      </w:r>
      <w:r w:rsidR="005807BD">
        <w:rPr>
          <w:rFonts w:ascii="Arial" w:hAnsi="Arial"/>
          <w:sz w:val="18"/>
          <w:szCs w:val="18"/>
        </w:rPr>
        <w:t xml:space="preserve">  </w:t>
      </w:r>
      <w:r w:rsidRPr="0034704F">
        <w:rPr>
          <w:rFonts w:ascii="Arial" w:hAnsi="Arial"/>
          <w:sz w:val="18"/>
          <w:szCs w:val="18"/>
        </w:rPr>
        <w:t>Wymagania techniczne (rekomendowane przez Ministra Infrastruktury)</w:t>
      </w:r>
    </w:p>
    <w:p w14:paraId="0E86DFC3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WT-1 Kruszywa 2014. Kruszywa do mieszanek mineralno-asfaltowych i powierzchniowych utrwaleń na drogach publicznych, Warszawa 2014</w:t>
      </w:r>
    </w:p>
    <w:p w14:paraId="6742E4F9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  <w:tab w:val="left" w:pos="39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WT-2 Nawierzchnie asfaltowe 2014. Nawierzchnie asfaltowe na drogach publicznych</w:t>
      </w:r>
    </w:p>
    <w:p w14:paraId="0C5719F3" w14:textId="77777777" w:rsidR="0034704F" w:rsidRPr="0034704F" w:rsidRDefault="0034704F" w:rsidP="005807BD">
      <w:pPr>
        <w:pStyle w:val="Akapitzlist"/>
        <w:numPr>
          <w:ilvl w:val="0"/>
          <w:numId w:val="12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 xml:space="preserve">Wymagania Techniczne. Nawierzchnie asfaltowe na drogach krajowych. WT-2 2016 Część II. Wykonanie warstw nawierzchni asfaltowych. Wymagania Techniczne. </w:t>
      </w:r>
    </w:p>
    <w:p w14:paraId="048B2B90" w14:textId="77777777" w:rsidR="00F50DE8" w:rsidRPr="0034704F" w:rsidRDefault="00F50DE8" w:rsidP="005807BD">
      <w:pPr>
        <w:numPr>
          <w:ilvl w:val="0"/>
          <w:numId w:val="12"/>
        </w:numPr>
        <w:tabs>
          <w:tab w:val="clear" w:pos="757"/>
          <w:tab w:val="left" w:pos="851"/>
        </w:tabs>
        <w:ind w:left="284" w:hanging="284"/>
        <w:textAlignment w:val="auto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WT-3 Emulsje asfaltowe 2009. Kationowe emulsje asfaltowe na drogach publicznych</w:t>
      </w:r>
    </w:p>
    <w:p w14:paraId="6A12F433" w14:textId="77777777" w:rsidR="00F50DE8" w:rsidRPr="0034704F" w:rsidRDefault="00F50DE8" w:rsidP="005807BD">
      <w:pPr>
        <w:pStyle w:val="TOMEK-NAGWEK4"/>
        <w:ind w:left="0"/>
        <w:rPr>
          <w:rFonts w:ascii="Arial" w:hAnsi="Arial"/>
          <w:sz w:val="18"/>
          <w:szCs w:val="18"/>
        </w:rPr>
      </w:pPr>
      <w:r w:rsidRPr="0034704F">
        <w:rPr>
          <w:rFonts w:ascii="Arial" w:hAnsi="Arial"/>
          <w:sz w:val="18"/>
          <w:szCs w:val="18"/>
        </w:rPr>
        <w:t>10.4.</w:t>
      </w:r>
      <w:r w:rsidR="005807BD">
        <w:rPr>
          <w:rFonts w:ascii="Arial" w:hAnsi="Arial"/>
          <w:sz w:val="18"/>
          <w:szCs w:val="18"/>
        </w:rPr>
        <w:t xml:space="preserve">   </w:t>
      </w:r>
      <w:r w:rsidRPr="0034704F">
        <w:rPr>
          <w:rFonts w:ascii="Arial" w:hAnsi="Arial"/>
          <w:sz w:val="18"/>
          <w:szCs w:val="18"/>
        </w:rPr>
        <w:t>Inne dokumenty</w:t>
      </w:r>
    </w:p>
    <w:p w14:paraId="742F2DE7" w14:textId="77777777" w:rsidR="00F50DE8" w:rsidRPr="0034704F" w:rsidRDefault="00F50DE8" w:rsidP="005807BD">
      <w:pPr>
        <w:numPr>
          <w:ilvl w:val="0"/>
          <w:numId w:val="13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Rozporządzenie Ministra Transportu i Gospodarki Morskiej z dnia 2 marca 1999 r. w sprawie warunków technicznych, jakim powinny odpowiadać drogi publiczne i ich usytuowanie (Dz.U. nr 43, poz. 430)</w:t>
      </w:r>
    </w:p>
    <w:p w14:paraId="5100EDE7" w14:textId="77777777" w:rsidR="00F50DE8" w:rsidRDefault="00F50DE8" w:rsidP="005807BD">
      <w:pPr>
        <w:numPr>
          <w:ilvl w:val="0"/>
          <w:numId w:val="13"/>
        </w:numPr>
        <w:tabs>
          <w:tab w:val="clear" w:pos="757"/>
        </w:tabs>
        <w:ind w:left="284" w:hanging="284"/>
        <w:rPr>
          <w:rFonts w:ascii="Arial" w:hAnsi="Arial" w:cs="Arial"/>
          <w:sz w:val="18"/>
          <w:szCs w:val="18"/>
        </w:rPr>
      </w:pPr>
      <w:r w:rsidRPr="0034704F">
        <w:rPr>
          <w:rFonts w:ascii="Arial" w:hAnsi="Arial" w:cs="Arial"/>
          <w:sz w:val="18"/>
          <w:szCs w:val="18"/>
        </w:rPr>
        <w:t>Katalog typowych konstrukcji nawierzchni podatnych i półsztywnych. Generalna Dyrekcja Dróg Publicznych – Instytut Bada</w:t>
      </w:r>
      <w:r w:rsidR="005807BD">
        <w:rPr>
          <w:rFonts w:ascii="Arial" w:hAnsi="Arial" w:cs="Arial"/>
          <w:sz w:val="18"/>
          <w:szCs w:val="18"/>
        </w:rPr>
        <w:t>wczy Dróg i Mostów, Warszawa.</w:t>
      </w:r>
    </w:p>
    <w:p w14:paraId="2BB3A1D8" w14:textId="77777777" w:rsidR="005807BD" w:rsidRPr="0034704F" w:rsidRDefault="005807BD" w:rsidP="005807BD">
      <w:pPr>
        <w:ind w:left="567"/>
        <w:rPr>
          <w:rFonts w:ascii="Arial" w:hAnsi="Arial" w:cs="Arial"/>
          <w:sz w:val="18"/>
          <w:szCs w:val="18"/>
        </w:rPr>
      </w:pPr>
    </w:p>
    <w:sectPr w:rsidR="005807BD" w:rsidRPr="0034704F" w:rsidSect="00CA5F69">
      <w:headerReference w:type="default" r:id="rId8"/>
      <w:footerReference w:type="default" r:id="rId9"/>
      <w:headerReference w:type="first" r:id="rId10"/>
      <w:pgSz w:w="11906" w:h="16838"/>
      <w:pgMar w:top="1332" w:right="1417" w:bottom="1276" w:left="1417" w:header="284" w:footer="7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FE95" w14:textId="77777777" w:rsidR="00E03DAA" w:rsidRDefault="00E03DAA" w:rsidP="00F50DE8">
      <w:r>
        <w:separator/>
      </w:r>
    </w:p>
  </w:endnote>
  <w:endnote w:type="continuationSeparator" w:id="0">
    <w:p w14:paraId="5A1F931E" w14:textId="77777777" w:rsidR="00E03DAA" w:rsidRDefault="00E03DAA" w:rsidP="00F5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03CF" w14:textId="54C5C9C2" w:rsidR="00CA5F69" w:rsidRPr="00CA5F69" w:rsidRDefault="00CA5F69" w:rsidP="00CA5F69">
    <w:pPr>
      <w:jc w:val="right"/>
      <w:rPr>
        <w:rFonts w:ascii="Arial" w:eastAsia="Calibri" w:hAnsi="Arial" w:cs="Arial"/>
        <w:sz w:val="16"/>
        <w:szCs w:val="16"/>
      </w:rPr>
    </w:pPr>
    <w:r w:rsidRPr="00CA5F69">
      <w:rPr>
        <w:rFonts w:ascii="Arial" w:hAnsi="Arial" w:cs="Arial"/>
        <w:sz w:val="16"/>
        <w:szCs w:val="16"/>
      </w:rPr>
      <w:t xml:space="preserve">XV - </w:t>
    </w:r>
    <w:sdt>
      <w:sdtPr>
        <w:rPr>
          <w:rFonts w:ascii="Arial" w:hAnsi="Arial" w:cs="Arial"/>
          <w:sz w:val="16"/>
          <w:szCs w:val="16"/>
        </w:rPr>
        <w:id w:val="1055891267"/>
        <w:docPartObj>
          <w:docPartGallery w:val="Page Numbers (Top of Page)"/>
          <w:docPartUnique/>
        </w:docPartObj>
      </w:sdtPr>
      <w:sdtEndPr>
        <w:rPr>
          <w:rFonts w:ascii="Verdana" w:hAnsi="Verdana" w:cs="Times New Roman"/>
        </w:rPr>
      </w:sdtEndPr>
      <w:sdtContent>
        <w:r w:rsidRPr="00CA5F69">
          <w:rPr>
            <w:rFonts w:ascii="Arial" w:hAnsi="Arial" w:cs="Arial"/>
            <w:sz w:val="16"/>
            <w:szCs w:val="16"/>
          </w:rPr>
          <w:t xml:space="preserve">Strona </w:t>
        </w:r>
        <w:r w:rsidRPr="00CA5F69">
          <w:rPr>
            <w:rFonts w:ascii="Arial" w:hAnsi="Arial" w:cs="Arial"/>
            <w:sz w:val="16"/>
            <w:szCs w:val="16"/>
          </w:rPr>
          <w:fldChar w:fldCharType="begin"/>
        </w:r>
        <w:r w:rsidRPr="00CA5F69">
          <w:rPr>
            <w:rFonts w:ascii="Arial" w:hAnsi="Arial" w:cs="Arial"/>
            <w:sz w:val="16"/>
            <w:szCs w:val="16"/>
          </w:rPr>
          <w:instrText>PAGE</w:instrText>
        </w:r>
        <w:r w:rsidRPr="00CA5F69">
          <w:rPr>
            <w:rFonts w:ascii="Arial" w:hAnsi="Arial" w:cs="Arial"/>
            <w:sz w:val="16"/>
            <w:szCs w:val="16"/>
          </w:rPr>
          <w:fldChar w:fldCharType="separate"/>
        </w:r>
        <w:r w:rsidR="00E058D9">
          <w:rPr>
            <w:rFonts w:ascii="Arial" w:hAnsi="Arial" w:cs="Arial"/>
            <w:noProof/>
            <w:sz w:val="16"/>
            <w:szCs w:val="16"/>
          </w:rPr>
          <w:t>14</w:t>
        </w:r>
        <w:r w:rsidRPr="00CA5F69">
          <w:rPr>
            <w:rFonts w:ascii="Arial" w:hAnsi="Arial" w:cs="Arial"/>
            <w:sz w:val="16"/>
            <w:szCs w:val="16"/>
          </w:rPr>
          <w:fldChar w:fldCharType="end"/>
        </w:r>
        <w:r w:rsidRPr="00CA5F69">
          <w:rPr>
            <w:rFonts w:ascii="Arial" w:hAnsi="Arial" w:cs="Arial"/>
            <w:sz w:val="16"/>
            <w:szCs w:val="16"/>
          </w:rPr>
          <w:t xml:space="preserve"> z </w:t>
        </w:r>
        <w:r w:rsidRPr="00CA5F69">
          <w:rPr>
            <w:rFonts w:ascii="Arial" w:hAnsi="Arial" w:cs="Arial"/>
            <w:sz w:val="16"/>
            <w:szCs w:val="16"/>
          </w:rPr>
          <w:fldChar w:fldCharType="begin"/>
        </w:r>
        <w:r w:rsidRPr="00CA5F69">
          <w:rPr>
            <w:rFonts w:ascii="Arial" w:hAnsi="Arial" w:cs="Arial"/>
            <w:sz w:val="16"/>
            <w:szCs w:val="16"/>
          </w:rPr>
          <w:instrText>NUMPAGES</w:instrText>
        </w:r>
        <w:r w:rsidRPr="00CA5F69">
          <w:rPr>
            <w:rFonts w:ascii="Arial" w:hAnsi="Arial" w:cs="Arial"/>
            <w:sz w:val="16"/>
            <w:szCs w:val="16"/>
          </w:rPr>
          <w:fldChar w:fldCharType="separate"/>
        </w:r>
        <w:r w:rsidR="00E058D9">
          <w:rPr>
            <w:rFonts w:ascii="Arial" w:hAnsi="Arial" w:cs="Arial"/>
            <w:noProof/>
            <w:sz w:val="16"/>
            <w:szCs w:val="16"/>
          </w:rPr>
          <w:t>14</w:t>
        </w:r>
        <w:r w:rsidRPr="00CA5F69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C27C8" w14:textId="77777777" w:rsidR="00E03DAA" w:rsidRDefault="00E03DAA" w:rsidP="00F50DE8">
      <w:r>
        <w:separator/>
      </w:r>
    </w:p>
  </w:footnote>
  <w:footnote w:type="continuationSeparator" w:id="0">
    <w:p w14:paraId="632A1E06" w14:textId="77777777" w:rsidR="00E03DAA" w:rsidRDefault="00E03DAA" w:rsidP="00F50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03179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</w:p>
  <w:p w14:paraId="6C569DC9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</w:p>
  <w:p w14:paraId="51F01603" w14:textId="77777777" w:rsidR="00CA5F69" w:rsidRDefault="00CA5F69" w:rsidP="00117296">
    <w:pPr>
      <w:pBdr>
        <w:bottom w:val="single" w:sz="4" w:space="1" w:color="auto"/>
      </w:pBdr>
      <w:tabs>
        <w:tab w:val="right" w:pos="9072"/>
      </w:tabs>
      <w:jc w:val="right"/>
      <w:rPr>
        <w:rFonts w:cs="Calibri"/>
        <w:sz w:val="16"/>
        <w:szCs w:val="16"/>
      </w:rPr>
    </w:pPr>
    <w:r w:rsidRPr="00117296">
      <w:rPr>
        <w:rFonts w:cs="Calibri"/>
        <w:sz w:val="16"/>
        <w:szCs w:val="16"/>
      </w:rPr>
      <w:t>D-05.03.05.</w:t>
    </w:r>
    <w:r w:rsidR="00D17FA7">
      <w:rPr>
        <w:rFonts w:cs="Calibri"/>
        <w:sz w:val="16"/>
        <w:szCs w:val="16"/>
      </w:rPr>
      <w:t>a</w:t>
    </w:r>
    <w:r>
      <w:rPr>
        <w:rFonts w:cs="Calibri"/>
        <w:sz w:val="16"/>
        <w:szCs w:val="16"/>
      </w:rPr>
      <w:t xml:space="preserve"> N</w:t>
    </w:r>
    <w:r w:rsidRPr="00117296">
      <w:rPr>
        <w:rFonts w:cs="Calibri"/>
        <w:sz w:val="16"/>
        <w:szCs w:val="16"/>
      </w:rPr>
      <w:t xml:space="preserve">awierzchnia z betonu asfaltowego. </w:t>
    </w:r>
    <w:r>
      <w:rPr>
        <w:rFonts w:cs="Calibri"/>
        <w:sz w:val="16"/>
        <w:szCs w:val="16"/>
      </w:rPr>
      <w:t>Warstwa wiążąca.</w:t>
    </w:r>
  </w:p>
  <w:p w14:paraId="028963CF" w14:textId="77777777" w:rsidR="00CA5F69" w:rsidRDefault="00CA5F69" w:rsidP="0094558D">
    <w:pPr>
      <w:pStyle w:val="Nagwek"/>
    </w:pPr>
  </w:p>
  <w:p w14:paraId="6BC6B332" w14:textId="77777777" w:rsidR="00CA5F69" w:rsidRDefault="00CA5F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1B05" w14:textId="77777777" w:rsidR="00CA5F69" w:rsidRDefault="00CA5F69" w:rsidP="00384E2A">
    <w:pPr>
      <w:pStyle w:val="Nagwek"/>
    </w:pPr>
  </w:p>
  <w:p w14:paraId="4D894DAE" w14:textId="77777777" w:rsidR="00CA5F69" w:rsidRDefault="00CA5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0001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0FE260F"/>
    <w:multiLevelType w:val="multilevel"/>
    <w:tmpl w:val="E2D0F2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Nagwek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29A5D7E"/>
    <w:multiLevelType w:val="hybridMultilevel"/>
    <w:tmpl w:val="063472A0"/>
    <w:lvl w:ilvl="0" w:tplc="2000E4C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F21FC6"/>
    <w:multiLevelType w:val="hybridMultilevel"/>
    <w:tmpl w:val="2EF0304E"/>
    <w:lvl w:ilvl="0" w:tplc="84008D0A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739A5"/>
    <w:multiLevelType w:val="hybridMultilevel"/>
    <w:tmpl w:val="FB80F0FA"/>
    <w:lvl w:ilvl="0" w:tplc="0415000F">
      <w:start w:val="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95006">
    <w:abstractNumId w:val="1"/>
  </w:num>
  <w:num w:numId="2" w16cid:durableId="136702110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904292520">
    <w:abstractNumId w:val="3"/>
  </w:num>
  <w:num w:numId="4" w16cid:durableId="1166019627">
    <w:abstractNumId w:val="10"/>
  </w:num>
  <w:num w:numId="5" w16cid:durableId="1338071135">
    <w:abstractNumId w:val="9"/>
  </w:num>
  <w:num w:numId="6" w16cid:durableId="1788500837">
    <w:abstractNumId w:val="6"/>
  </w:num>
  <w:num w:numId="7" w16cid:durableId="249969665">
    <w:abstractNumId w:val="7"/>
  </w:num>
  <w:num w:numId="8" w16cid:durableId="665786921">
    <w:abstractNumId w:val="5"/>
  </w:num>
  <w:num w:numId="9" w16cid:durableId="173307748">
    <w:abstractNumId w:val="12"/>
  </w:num>
  <w:num w:numId="10" w16cid:durableId="1509253932">
    <w:abstractNumId w:val="8"/>
  </w:num>
  <w:num w:numId="11" w16cid:durableId="1771511865">
    <w:abstractNumId w:val="11"/>
  </w:num>
  <w:num w:numId="12" w16cid:durableId="1073505796">
    <w:abstractNumId w:val="2"/>
  </w:num>
  <w:num w:numId="13" w16cid:durableId="97348891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E8"/>
    <w:rsid w:val="00095561"/>
    <w:rsid w:val="000A7FCE"/>
    <w:rsid w:val="00117296"/>
    <w:rsid w:val="00125743"/>
    <w:rsid w:val="0016296A"/>
    <w:rsid w:val="001C4927"/>
    <w:rsid w:val="001E0109"/>
    <w:rsid w:val="0025137E"/>
    <w:rsid w:val="002E1075"/>
    <w:rsid w:val="002E3920"/>
    <w:rsid w:val="0034704F"/>
    <w:rsid w:val="00352ED5"/>
    <w:rsid w:val="00384E2A"/>
    <w:rsid w:val="003C1D75"/>
    <w:rsid w:val="004674BE"/>
    <w:rsid w:val="004E7BA1"/>
    <w:rsid w:val="004F3220"/>
    <w:rsid w:val="0050344F"/>
    <w:rsid w:val="00507AE2"/>
    <w:rsid w:val="005807BD"/>
    <w:rsid w:val="0058715E"/>
    <w:rsid w:val="005C0518"/>
    <w:rsid w:val="005D6672"/>
    <w:rsid w:val="00673BDF"/>
    <w:rsid w:val="00680AF4"/>
    <w:rsid w:val="007B2FDE"/>
    <w:rsid w:val="0084254A"/>
    <w:rsid w:val="00863809"/>
    <w:rsid w:val="008B73DF"/>
    <w:rsid w:val="00933166"/>
    <w:rsid w:val="00943D7D"/>
    <w:rsid w:val="0094558D"/>
    <w:rsid w:val="00974842"/>
    <w:rsid w:val="009B0A25"/>
    <w:rsid w:val="009B30EF"/>
    <w:rsid w:val="009B67D6"/>
    <w:rsid w:val="009C7467"/>
    <w:rsid w:val="009E1D96"/>
    <w:rsid w:val="00A03962"/>
    <w:rsid w:val="00A63C03"/>
    <w:rsid w:val="00A71BE8"/>
    <w:rsid w:val="00A8377C"/>
    <w:rsid w:val="00A874CA"/>
    <w:rsid w:val="00AA65C4"/>
    <w:rsid w:val="00AE1367"/>
    <w:rsid w:val="00AF3BF8"/>
    <w:rsid w:val="00C6746C"/>
    <w:rsid w:val="00CA1D9E"/>
    <w:rsid w:val="00CA5F69"/>
    <w:rsid w:val="00CF444B"/>
    <w:rsid w:val="00D17FA7"/>
    <w:rsid w:val="00D26A7A"/>
    <w:rsid w:val="00D52E7F"/>
    <w:rsid w:val="00D62818"/>
    <w:rsid w:val="00D65121"/>
    <w:rsid w:val="00D854D3"/>
    <w:rsid w:val="00DA66FE"/>
    <w:rsid w:val="00DB7D16"/>
    <w:rsid w:val="00E03DAA"/>
    <w:rsid w:val="00E058D9"/>
    <w:rsid w:val="00E27B68"/>
    <w:rsid w:val="00E30CB1"/>
    <w:rsid w:val="00E778C3"/>
    <w:rsid w:val="00E97218"/>
    <w:rsid w:val="00F25728"/>
    <w:rsid w:val="00F50DE8"/>
    <w:rsid w:val="00FC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B766EDF"/>
  <w15:docId w15:val="{CF9799A2-A627-4B6A-A4A0-5268EA42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DE8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aliases w:val="Znak6"/>
    <w:basedOn w:val="Normalny"/>
    <w:next w:val="Normalny"/>
    <w:link w:val="Nagwek2Znak"/>
    <w:qFormat/>
    <w:rsid w:val="00F50DE8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50DE8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autoRedefine/>
    <w:qFormat/>
    <w:rsid w:val="00F50DE8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D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50DE8"/>
    <w:pPr>
      <w:keepNext/>
      <w:tabs>
        <w:tab w:val="left" w:pos="0"/>
        <w:tab w:val="right" w:pos="8953"/>
      </w:tabs>
      <w:overflowPunct/>
      <w:autoSpaceDE/>
      <w:autoSpaceDN/>
      <w:adjustRightInd/>
      <w:spacing w:line="360" w:lineRule="atLeast"/>
      <w:textAlignment w:val="auto"/>
      <w:outlineLvl w:val="5"/>
    </w:pPr>
    <w:rPr>
      <w:rFonts w:ascii="Arial" w:hAnsi="Arial"/>
      <w:b/>
      <w:sz w:val="22"/>
      <w:u w:val="single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F50DE8"/>
    <w:pPr>
      <w:overflowPunct/>
      <w:autoSpaceDE/>
      <w:autoSpaceDN/>
      <w:adjustRightInd/>
      <w:jc w:val="left"/>
      <w:textAlignment w:val="auto"/>
      <w:outlineLvl w:val="6"/>
    </w:pPr>
    <w:rPr>
      <w:rFonts w:ascii="Arial" w:hAnsi="Arial"/>
      <w:b/>
      <w:sz w:val="24"/>
      <w:u w:val="single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F50DE8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50DE8"/>
    <w:pPr>
      <w:keepNext/>
      <w:tabs>
        <w:tab w:val="left" w:pos="1008"/>
        <w:tab w:val="left" w:pos="7459"/>
      </w:tabs>
      <w:overflowPunct/>
      <w:autoSpaceDE/>
      <w:autoSpaceDN/>
      <w:adjustRightInd/>
      <w:snapToGrid w:val="0"/>
      <w:textAlignment w:val="auto"/>
      <w:outlineLvl w:val="8"/>
    </w:pPr>
    <w:rPr>
      <w:rFonts w:ascii="Times New Roman" w:hAnsi="Times New Roman"/>
      <w:b/>
      <w:color w:val="000000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DE8"/>
    <w:rPr>
      <w:rFonts w:ascii="Calibri" w:eastAsia="Times New Roman" w:hAnsi="Calibri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aliases w:val="Znak6 Znak"/>
    <w:basedOn w:val="Domylnaczcionkaakapitu"/>
    <w:link w:val="Nagwek2"/>
    <w:rsid w:val="00F50DE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50D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D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DE8"/>
    <w:rPr>
      <w:rFonts w:ascii="Arial" w:eastAsia="Times New Roman" w:hAnsi="Arial" w:cs="Times New Roman"/>
      <w:b/>
      <w:szCs w:val="20"/>
      <w:u w:val="single"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F50DE8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F50DE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DE8"/>
    <w:rPr>
      <w:rFonts w:ascii="Times New Roman" w:eastAsia="Times New Roman" w:hAnsi="Times New Roman" w:cs="Times New Roman"/>
      <w:b/>
      <w:color w:val="000000"/>
      <w:szCs w:val="24"/>
      <w:lang w:eastAsia="pl-PL"/>
    </w:rPr>
  </w:style>
  <w:style w:type="paragraph" w:styleId="Spistreci1">
    <w:name w:val="toc 1"/>
    <w:basedOn w:val="Normalny"/>
    <w:next w:val="Normalny"/>
    <w:uiPriority w:val="39"/>
    <w:rsid w:val="00F50DE8"/>
    <w:pPr>
      <w:tabs>
        <w:tab w:val="right" w:leader="dot" w:pos="9072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F50DE8"/>
    <w:pPr>
      <w:tabs>
        <w:tab w:val="right" w:leader="dot" w:pos="9072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F50DE8"/>
    <w:pPr>
      <w:tabs>
        <w:tab w:val="right" w:leader="dot" w:pos="9072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F50DE8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F50DE8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F50DE8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F50DE8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F50DE8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F50DE8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basedOn w:val="Normalny"/>
    <w:link w:val="TekstprzypisudolnegoZnak"/>
    <w:rsid w:val="00F50DE8"/>
  </w:style>
  <w:style w:type="character" w:customStyle="1" w:styleId="TekstprzypisudolnegoZnak">
    <w:name w:val="Tekst przypisu dolnego Znak"/>
    <w:basedOn w:val="Domylnaczcionkaakapitu"/>
    <w:link w:val="Tekstprzypisudoln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50DE8"/>
    <w:rPr>
      <w:vertAlign w:val="superscript"/>
    </w:rPr>
  </w:style>
  <w:style w:type="paragraph" w:styleId="Stopka">
    <w:name w:val="footer"/>
    <w:aliases w:val="Znak2"/>
    <w:basedOn w:val="Normalny"/>
    <w:link w:val="StopkaZnak"/>
    <w:uiPriority w:val="99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aliases w:val="Znak2 Znak"/>
    <w:basedOn w:val="Domylnaczcionkaakapitu"/>
    <w:link w:val="Stopka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F50DE8"/>
    <w:pPr>
      <w:overflowPunct/>
      <w:autoSpaceDE/>
      <w:autoSpaceDN/>
      <w:adjustRightInd/>
      <w:spacing w:line="300" w:lineRule="atLeast"/>
      <w:ind w:left="714" w:hanging="357"/>
      <w:jc w:val="left"/>
      <w:textAlignment w:val="auto"/>
    </w:pPr>
    <w:rPr>
      <w:sz w:val="24"/>
    </w:rPr>
  </w:style>
  <w:style w:type="paragraph" w:customStyle="1" w:styleId="t-nadrzednyCalibri18pt">
    <w:name w:val="!t - nadrzedny + Calibri 18 pt"/>
    <w:basedOn w:val="Nagwek1"/>
    <w:link w:val="t-nadrzednyCalibri18ptZnak"/>
    <w:rsid w:val="00F50DE8"/>
    <w:pPr>
      <w:jc w:val="center"/>
    </w:pPr>
    <w:rPr>
      <w:bCs/>
      <w:sz w:val="36"/>
    </w:rPr>
  </w:style>
  <w:style w:type="character" w:customStyle="1" w:styleId="t-nadrzednyCalibri18ptZnak">
    <w:name w:val="!t - nadrzedny + Calibri 18 pt Znak"/>
    <w:basedOn w:val="Nagwek1Znak"/>
    <w:link w:val="t-nadrzednyCalibri18pt"/>
    <w:rsid w:val="00F50DE8"/>
    <w:rPr>
      <w:rFonts w:ascii="Calibri" w:eastAsia="Times New Roman" w:hAnsi="Calibri" w:cs="Times New Roman"/>
      <w:b/>
      <w:bCs/>
      <w:caps/>
      <w:kern w:val="28"/>
      <w:sz w:val="36"/>
      <w:szCs w:val="20"/>
      <w:lang w:eastAsia="pl-PL"/>
    </w:rPr>
  </w:style>
  <w:style w:type="character" w:styleId="Hipercze">
    <w:name w:val="Hyperlink"/>
    <w:basedOn w:val="Domylnaczcionkaakapitu"/>
    <w:rsid w:val="00F50DE8"/>
    <w:rPr>
      <w:color w:val="0000FF"/>
      <w:u w:val="single"/>
    </w:rPr>
  </w:style>
  <w:style w:type="paragraph" w:customStyle="1" w:styleId="TOMEK-NAGWEK2">
    <w:name w:val="TOMEK - NAGŁÓWEK 2"/>
    <w:basedOn w:val="Normalny"/>
    <w:rsid w:val="00F50DE8"/>
    <w:pPr>
      <w:keepNext/>
      <w:keepLines/>
      <w:suppressAutoHyphens/>
      <w:spacing w:before="240" w:after="120"/>
      <w:jc w:val="center"/>
      <w:outlineLvl w:val="0"/>
    </w:pPr>
    <w:rPr>
      <w:b/>
      <w:bCs/>
      <w:caps/>
      <w:kern w:val="28"/>
      <w:sz w:val="36"/>
    </w:rPr>
  </w:style>
  <w:style w:type="paragraph" w:styleId="Nagwek">
    <w:name w:val="header"/>
    <w:aliases w:val="Nagłówek strony,gruby numer"/>
    <w:basedOn w:val="Normalny"/>
    <w:link w:val="NagwekZnak"/>
    <w:rsid w:val="00F50DE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NagwekZnak">
    <w:name w:val="Nagłówek Znak"/>
    <w:aliases w:val="Nagłówek strony Znak,gruby numer Znak"/>
    <w:basedOn w:val="Domylnaczcionkaakapitu"/>
    <w:link w:val="Nagwek"/>
    <w:uiPriority w:val="99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OMEK-NAGWEK3">
    <w:name w:val="TOMEK - NAGŁÓWEK 3"/>
    <w:basedOn w:val="Normalny"/>
    <w:link w:val="TOMEK-NAGWEK3Znak"/>
    <w:rsid w:val="00F50DE8"/>
    <w:pPr>
      <w:spacing w:before="120" w:after="120"/>
    </w:pPr>
    <w:rPr>
      <w:rFonts w:cs="Arial"/>
      <w:b/>
    </w:rPr>
  </w:style>
  <w:style w:type="character" w:customStyle="1" w:styleId="TOMEK-NAGWEK3Znak">
    <w:name w:val="TOMEK - NAGŁÓWEK 3 Znak"/>
    <w:basedOn w:val="Domylnaczcionkaakapitu"/>
    <w:link w:val="TOMEK-NAGWEK3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4">
    <w:name w:val="TOMEK - NAGŁÓWEK 4"/>
    <w:basedOn w:val="Normalny"/>
    <w:link w:val="TOMEK-NAGWEK4Znak"/>
    <w:rsid w:val="00F50DE8"/>
    <w:pPr>
      <w:spacing w:before="120" w:after="120"/>
      <w:ind w:left="708"/>
    </w:pPr>
    <w:rPr>
      <w:rFonts w:cs="Arial"/>
      <w:b/>
    </w:rPr>
  </w:style>
  <w:style w:type="character" w:customStyle="1" w:styleId="TOMEK-NAGWEK4Znak">
    <w:name w:val="TOMEK - NAGŁÓWEK 4 Znak"/>
    <w:basedOn w:val="Domylnaczcionkaakapitu"/>
    <w:link w:val="TOMEK-NAGWEK4"/>
    <w:rsid w:val="00F50DE8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TOMEK-Nagwek5">
    <w:name w:val="TOMEK - Nagłówek 5"/>
    <w:basedOn w:val="Normalny"/>
    <w:link w:val="TOMEK-Nagwek5Znak"/>
    <w:rsid w:val="00F50DE8"/>
    <w:pPr>
      <w:spacing w:before="120" w:after="120"/>
      <w:ind w:left="708"/>
    </w:pPr>
    <w:rPr>
      <w:rFonts w:cs="Arial"/>
    </w:rPr>
  </w:style>
  <w:style w:type="character" w:customStyle="1" w:styleId="TOMEK-Nagwek5Znak">
    <w:name w:val="TOMEK - Nagłówek 5 Znak"/>
    <w:basedOn w:val="Domylnaczcionkaakapitu"/>
    <w:link w:val="TOMEK-Nagwek5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6">
    <w:name w:val="Tomek - Nagłówek 6"/>
    <w:basedOn w:val="TOMEK-Nagwek5"/>
    <w:link w:val="Tomek-Nagwek6Znak"/>
    <w:rsid w:val="00F50DE8"/>
    <w:pPr>
      <w:ind w:left="851"/>
    </w:pPr>
  </w:style>
  <w:style w:type="character" w:customStyle="1" w:styleId="Tomek-Nagwek6Znak">
    <w:name w:val="Tomek - Nagłówek 6 Znak"/>
    <w:basedOn w:val="TOMEK-Nagwek5Znak"/>
    <w:link w:val="Tomek-Nagwek6"/>
    <w:rsid w:val="00F50DE8"/>
    <w:rPr>
      <w:rFonts w:ascii="Calibri" w:eastAsia="Times New Roman" w:hAnsi="Calibri" w:cs="Arial"/>
      <w:sz w:val="20"/>
      <w:szCs w:val="20"/>
      <w:lang w:eastAsia="pl-PL"/>
    </w:rPr>
  </w:style>
  <w:style w:type="paragraph" w:customStyle="1" w:styleId="Tomek-Nagwek1">
    <w:name w:val="Tomek - Nagłówek 1"/>
    <w:basedOn w:val="Nagwek1"/>
    <w:rsid w:val="00F50DE8"/>
    <w:pPr>
      <w:jc w:val="center"/>
    </w:pPr>
    <w:rPr>
      <w:bCs/>
      <w:sz w:val="36"/>
    </w:rPr>
  </w:style>
  <w:style w:type="table" w:styleId="Tabela-Siatka">
    <w:name w:val="Table Grid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F50DE8"/>
  </w:style>
  <w:style w:type="paragraph" w:styleId="Tekstdymka">
    <w:name w:val="Balloon Text"/>
    <w:basedOn w:val="Normalny"/>
    <w:link w:val="TekstdymkaZnak"/>
    <w:rsid w:val="00F50D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F50D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ost">
    <w:name w:val="tekst ost"/>
    <w:basedOn w:val="Default"/>
    <w:next w:val="Default"/>
    <w:rsid w:val="00F50DE8"/>
    <w:rPr>
      <w:color w:val="auto"/>
    </w:rPr>
  </w:style>
  <w:style w:type="paragraph" w:customStyle="1" w:styleId="StylIwony">
    <w:name w:val="Styl Iwony"/>
    <w:basedOn w:val="Default"/>
    <w:next w:val="Default"/>
    <w:rsid w:val="00F50DE8"/>
    <w:rPr>
      <w:color w:val="auto"/>
    </w:rPr>
  </w:style>
  <w:style w:type="character" w:styleId="UyteHipercze">
    <w:name w:val="FollowedHyperlink"/>
    <w:basedOn w:val="Domylnaczcionkaakapitu"/>
    <w:uiPriority w:val="99"/>
    <w:semiHidden/>
    <w:rsid w:val="00F50DE8"/>
    <w:rPr>
      <w:color w:val="800080"/>
      <w:u w:val="single"/>
    </w:rPr>
  </w:style>
  <w:style w:type="character" w:customStyle="1" w:styleId="ZnakZnak14">
    <w:name w:val="Znak Znak14"/>
    <w:basedOn w:val="Domylnaczcionkaakapitu"/>
    <w:locked/>
    <w:rsid w:val="00F50DE8"/>
    <w:rPr>
      <w:rFonts w:ascii="Calibri" w:hAnsi="Calibri"/>
      <w:b/>
      <w:caps/>
      <w:kern w:val="28"/>
      <w:lang w:val="pl-PL" w:eastAsia="pl-PL" w:bidi="ar-SA"/>
    </w:rPr>
  </w:style>
  <w:style w:type="character" w:customStyle="1" w:styleId="ZnakZnak13">
    <w:name w:val="Znak Znak13"/>
    <w:basedOn w:val="Domylnaczcionkaakapitu"/>
    <w:locked/>
    <w:rsid w:val="00F50DE8"/>
    <w:rPr>
      <w:rFonts w:ascii="Calibri" w:hAnsi="Calibri"/>
      <w:lang w:val="pl-PL" w:eastAsia="pl-PL" w:bidi="ar-SA"/>
    </w:rPr>
  </w:style>
  <w:style w:type="character" w:customStyle="1" w:styleId="ZnakZnak12">
    <w:name w:val="Znak Znak12"/>
    <w:basedOn w:val="Domylnaczcionkaakapitu"/>
    <w:locked/>
    <w:rsid w:val="00F50DE8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ZnakZnak11">
    <w:name w:val="Znak Znak11"/>
    <w:basedOn w:val="Domylnaczcionkaakapitu"/>
    <w:locked/>
    <w:rsid w:val="00F50DE8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F50DE8"/>
    <w:pPr>
      <w:overflowPunct/>
      <w:autoSpaceDE/>
      <w:autoSpaceDN/>
      <w:adjustRightInd/>
      <w:spacing w:before="120" w:after="120"/>
      <w:jc w:val="center"/>
      <w:textAlignment w:val="auto"/>
    </w:pPr>
    <w:rPr>
      <w:rFonts w:ascii="Century Gothic" w:hAnsi="Century Gothic" w:cs="Arial"/>
      <w:b/>
      <w:iCs/>
      <w:sz w:val="22"/>
      <w:szCs w:val="24"/>
    </w:rPr>
  </w:style>
  <w:style w:type="paragraph" w:styleId="Listapunktowana3">
    <w:name w:val="List Bullet 3"/>
    <w:basedOn w:val="Normalny"/>
    <w:autoRedefine/>
    <w:semiHidden/>
    <w:rsid w:val="00F50DE8"/>
    <w:pPr>
      <w:tabs>
        <w:tab w:val="num" w:pos="926"/>
      </w:tabs>
      <w:overflowPunct/>
      <w:autoSpaceDE/>
      <w:autoSpaceDN/>
      <w:adjustRightInd/>
      <w:ind w:left="926" w:hanging="360"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basedOn w:val="Normalny"/>
    <w:autoRedefine/>
    <w:semiHidden/>
    <w:rsid w:val="00F50DE8"/>
    <w:pPr>
      <w:tabs>
        <w:tab w:val="num" w:pos="1209"/>
      </w:tabs>
      <w:overflowPunct/>
      <w:autoSpaceDE/>
      <w:autoSpaceDN/>
      <w:adjustRightInd/>
      <w:ind w:left="1209" w:hanging="360"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basedOn w:val="Normalny"/>
    <w:autoRedefine/>
    <w:semiHidden/>
    <w:rsid w:val="00F50DE8"/>
    <w:pPr>
      <w:tabs>
        <w:tab w:val="num" w:pos="1492"/>
      </w:tabs>
      <w:overflowPunct/>
      <w:autoSpaceDE/>
      <w:autoSpaceDN/>
      <w:adjustRightInd/>
      <w:ind w:left="1492" w:hanging="360"/>
      <w:jc w:val="left"/>
      <w:textAlignment w:val="auto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F50DE8"/>
    <w:pPr>
      <w:tabs>
        <w:tab w:val="left" w:pos="0"/>
        <w:tab w:val="right" w:pos="8953"/>
      </w:tabs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4"/>
    </w:rPr>
  </w:style>
  <w:style w:type="character" w:customStyle="1" w:styleId="TytuZnak">
    <w:name w:val="Tytuł Znak"/>
    <w:basedOn w:val="Domylnaczcionkaakapitu"/>
    <w:link w:val="Tytu"/>
    <w:rsid w:val="00F50D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50D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ZnakZnakZnakZnak">
    <w:name w:val="Standardowy.tekst Znak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Tekstpodstawowy21">
    <w:name w:val="Tekst podstawowy 21"/>
    <w:basedOn w:val="Normalny"/>
    <w:rsid w:val="00F50DE8"/>
    <w:pPr>
      <w:tabs>
        <w:tab w:val="left" w:pos="0"/>
        <w:tab w:val="right" w:pos="8953"/>
      </w:tabs>
      <w:overflowPunct/>
      <w:autoSpaceDE/>
      <w:autoSpaceDN/>
      <w:adjustRightInd/>
      <w:ind w:firstLine="794"/>
      <w:textAlignment w:val="auto"/>
    </w:pPr>
    <w:rPr>
      <w:rFonts w:ascii="Times New Roman" w:hAnsi="Times New Roman"/>
      <w:sz w:val="22"/>
    </w:rPr>
  </w:style>
  <w:style w:type="paragraph" w:customStyle="1" w:styleId="Punktowanie">
    <w:name w:val="Punktowanie"/>
    <w:basedOn w:val="Normalny"/>
    <w:rsid w:val="00F50DE8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paragraph" w:customStyle="1" w:styleId="Standardowytekst1">
    <w:name w:val="Standardowy.tekst1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">
    <w:name w:val="Standardowy.tekst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50DE8"/>
    <w:pPr>
      <w:tabs>
        <w:tab w:val="left" w:pos="964"/>
      </w:tabs>
      <w:spacing w:after="120"/>
      <w:ind w:left="964" w:hanging="964"/>
      <w:textAlignment w:val="auto"/>
    </w:pPr>
    <w:rPr>
      <w:rFonts w:ascii="Times New Roman" w:hAnsi="Times New Roman"/>
    </w:rPr>
  </w:style>
  <w:style w:type="paragraph" w:customStyle="1" w:styleId="StandardowytekstZnakZnak">
    <w:name w:val="Standardowy.tekst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ZnakZnak">
    <w:name w:val="Standardowy.tekst Znak Znak Znak"/>
    <w:rsid w:val="00F50DE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50DE8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Tekstpodstawowy211">
    <w:name w:val="Tekst podstawowy 211"/>
    <w:basedOn w:val="Normalny"/>
    <w:rsid w:val="00F50DE8"/>
    <w:pPr>
      <w:tabs>
        <w:tab w:val="left" w:pos="0"/>
        <w:tab w:val="right" w:pos="5766"/>
      </w:tabs>
      <w:suppressAutoHyphens/>
      <w:overflowPunct/>
      <w:autoSpaceDE/>
      <w:autoSpaceDN/>
      <w:adjustRightInd/>
      <w:spacing w:line="240" w:lineRule="atLeast"/>
      <w:jc w:val="left"/>
      <w:textAlignment w:val="auto"/>
    </w:pPr>
    <w:rPr>
      <w:rFonts w:ascii="Arial" w:hAnsi="Arial"/>
      <w:sz w:val="24"/>
      <w:lang w:val="en-GB" w:eastAsia="ar-SA"/>
    </w:rPr>
  </w:style>
  <w:style w:type="paragraph" w:customStyle="1" w:styleId="Tekstpodstawowy31">
    <w:name w:val="Tekst podstawowy 31"/>
    <w:basedOn w:val="Normalny"/>
    <w:rsid w:val="00F50DE8"/>
    <w:pPr>
      <w:tabs>
        <w:tab w:val="left" w:pos="0"/>
        <w:tab w:val="right" w:pos="8809"/>
      </w:tabs>
      <w:suppressAutoHyphens/>
      <w:overflowPunct/>
      <w:autoSpaceDE/>
      <w:autoSpaceDN/>
      <w:adjustRightInd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Tekstpodstawowywcity311">
    <w:name w:val="Tekst podstawowy wcięty 311"/>
    <w:basedOn w:val="Normalny"/>
    <w:rsid w:val="00F50DE8"/>
    <w:pPr>
      <w:tabs>
        <w:tab w:val="left" w:pos="326"/>
        <w:tab w:val="right" w:pos="8953"/>
      </w:tabs>
      <w:suppressAutoHyphens/>
      <w:overflowPunct/>
      <w:autoSpaceDE/>
      <w:autoSpaceDN/>
      <w:adjustRightInd/>
      <w:ind w:left="326" w:hanging="278"/>
      <w:textAlignment w:val="auto"/>
    </w:pPr>
    <w:rPr>
      <w:rFonts w:ascii="Times New Roman" w:hAnsi="Times New Roman"/>
      <w:sz w:val="22"/>
      <w:lang w:eastAsia="ar-SA"/>
    </w:rPr>
  </w:style>
  <w:style w:type="paragraph" w:customStyle="1" w:styleId="normalny3">
    <w:name w:val="normalny 3"/>
    <w:basedOn w:val="Normalny"/>
    <w:rsid w:val="00F50DE8"/>
    <w:pPr>
      <w:tabs>
        <w:tab w:val="left" w:pos="397"/>
        <w:tab w:val="left" w:pos="737"/>
      </w:tabs>
      <w:overflowPunct/>
      <w:autoSpaceDE/>
      <w:autoSpaceDN/>
      <w:adjustRightInd/>
      <w:spacing w:before="6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abela">
    <w:name w:val="Tabela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jc w:val="left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Normal12">
    <w:name w:val="Normal 12"/>
    <w:basedOn w:val="Normalny"/>
    <w:rsid w:val="00F50DE8"/>
    <w:pPr>
      <w:tabs>
        <w:tab w:val="left" w:pos="397"/>
        <w:tab w:val="left" w:pos="567"/>
        <w:tab w:val="left" w:pos="737"/>
      </w:tabs>
      <w:overflowPunct/>
      <w:autoSpaceDE/>
      <w:autoSpaceDN/>
      <w:adjustRightInd/>
      <w:spacing w:before="240"/>
      <w:textAlignment w:val="auto"/>
    </w:pPr>
    <w:rPr>
      <w:rFonts w:ascii="Times New Roman" w:hAnsi="Times New Roman" w:cs="Arial"/>
      <w:bCs/>
      <w:iCs/>
      <w:szCs w:val="24"/>
    </w:rPr>
  </w:style>
  <w:style w:type="paragraph" w:customStyle="1" w:styleId="Tekstpodstawowy22">
    <w:name w:val="Tekst podstawowy 22"/>
    <w:basedOn w:val="Normalny"/>
    <w:rsid w:val="00F50DE8"/>
    <w:pPr>
      <w:pBdr>
        <w:top w:val="single" w:sz="6" w:space="1" w:color="auto"/>
        <w:bottom w:val="single" w:sz="6" w:space="1" w:color="auto"/>
      </w:pBdr>
      <w:spacing w:line="180" w:lineRule="atLeast"/>
      <w:jc w:val="left"/>
      <w:textAlignment w:val="auto"/>
    </w:pPr>
    <w:rPr>
      <w:rFonts w:ascii="Times New Roman" w:hAnsi="Times New Roman"/>
      <w:sz w:val="16"/>
    </w:rPr>
  </w:style>
  <w:style w:type="paragraph" w:customStyle="1" w:styleId="nagl">
    <w:name w:val="nagl"/>
    <w:basedOn w:val="Nagwek1"/>
    <w:rsid w:val="00F50DE8"/>
    <w:pPr>
      <w:spacing w:before="120"/>
      <w:textAlignment w:val="auto"/>
    </w:pPr>
    <w:rPr>
      <w:rFonts w:ascii="Times New Roman" w:hAnsi="Times New Roman"/>
      <w:sz w:val="28"/>
      <w:szCs w:val="28"/>
    </w:rPr>
  </w:style>
  <w:style w:type="paragraph" w:customStyle="1" w:styleId="StylLegenda">
    <w:name w:val="Styl Legenda"/>
    <w:basedOn w:val="Legenda"/>
    <w:next w:val="Tekstpodstawowy"/>
    <w:rsid w:val="00F50DE8"/>
    <w:rPr>
      <w:bCs/>
    </w:rPr>
  </w:style>
  <w:style w:type="paragraph" w:styleId="Tekstpodstawowy">
    <w:name w:val="Body Text"/>
    <w:basedOn w:val="Normalny"/>
    <w:link w:val="TekstpodstawowyZnak"/>
    <w:rsid w:val="00F50DE8"/>
    <w:pPr>
      <w:tabs>
        <w:tab w:val="left" w:pos="1008"/>
        <w:tab w:val="left" w:pos="7459"/>
      </w:tabs>
      <w:overflowPunct/>
      <w:autoSpaceDE/>
      <w:autoSpaceDN/>
      <w:adjustRightInd/>
      <w:snapToGrid w:val="0"/>
      <w:jc w:val="left"/>
      <w:textAlignment w:val="auto"/>
    </w:pPr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50DE8"/>
    <w:rPr>
      <w:rFonts w:ascii="Arial" w:eastAsia="Times New Roman" w:hAnsi="Arial" w:cs="Times New Roman"/>
      <w:b/>
      <w:color w:val="000000"/>
      <w:sz w:val="24"/>
      <w:szCs w:val="20"/>
      <w:lang w:eastAsia="pl-PL"/>
    </w:rPr>
  </w:style>
  <w:style w:type="character" w:customStyle="1" w:styleId="StandardowytekstZnakZnakZnakZnakZnak">
    <w:name w:val="Standardowy.tekst Znak Znak Znak Znak Znak"/>
    <w:basedOn w:val="Domylnaczcionkaakapitu"/>
    <w:rsid w:val="00F50DE8"/>
    <w:rPr>
      <w:lang w:val="pl-PL" w:eastAsia="pl-PL" w:bidi="ar-SA"/>
    </w:rPr>
  </w:style>
  <w:style w:type="character" w:customStyle="1" w:styleId="Znak3ZnakZnakZnakZnakZnak">
    <w:name w:val="Znak3 Znak Znak Znak Znak Znak"/>
    <w:aliases w:val="Znak3 Znak Znak Znak Znak Znak Znak Zna"/>
    <w:basedOn w:val="Domylnaczcionkaakapitu"/>
    <w:rsid w:val="00F50DE8"/>
    <w:rPr>
      <w:rFonts w:ascii="Arial" w:hAnsi="Arial" w:cs="Arial" w:hint="default"/>
      <w:b/>
      <w:bCs w:val="0"/>
      <w:snapToGrid w:val="0"/>
      <w:color w:val="000000"/>
      <w:sz w:val="24"/>
    </w:rPr>
  </w:style>
  <w:style w:type="character" w:customStyle="1" w:styleId="StylPogrubienie">
    <w:name w:val="Styl Pogrubienie"/>
    <w:basedOn w:val="Domylnaczcionkaakapitu"/>
    <w:rsid w:val="00F50DE8"/>
    <w:rPr>
      <w:b/>
      <w:bCs w:val="0"/>
    </w:rPr>
  </w:style>
  <w:style w:type="character" w:customStyle="1" w:styleId="normalny3Znak">
    <w:name w:val="normalny 3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Normal12Znak">
    <w:name w:val="Normal 12 Znak"/>
    <w:basedOn w:val="Domylnaczcionkaakapitu"/>
    <w:rsid w:val="00F50DE8"/>
    <w:rPr>
      <w:rFonts w:ascii="Arial" w:hAnsi="Arial" w:cs="Arial" w:hint="default"/>
      <w:bCs/>
      <w:iCs/>
      <w:szCs w:val="24"/>
      <w:lang w:val="pl-PL" w:eastAsia="pl-PL" w:bidi="ar-SA"/>
    </w:rPr>
  </w:style>
  <w:style w:type="character" w:customStyle="1" w:styleId="Znak2ZnakZnak">
    <w:name w:val="Znak2 Znak Znak"/>
    <w:basedOn w:val="Domylnaczcionkaakapitu"/>
    <w:rsid w:val="00F50DE8"/>
    <w:rPr>
      <w:lang w:val="pl-PL" w:eastAsia="pl-PL" w:bidi="ar-SA"/>
    </w:rPr>
  </w:style>
  <w:style w:type="paragraph" w:styleId="Zwykytekst">
    <w:name w:val="Plain Text"/>
    <w:basedOn w:val="Normalny"/>
    <w:link w:val="ZwykytekstZnak"/>
    <w:semiHidden/>
    <w:rsid w:val="00F50DE8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F50DE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50DE8"/>
  </w:style>
  <w:style w:type="character" w:customStyle="1" w:styleId="TekstprzypisukocowegoZnak">
    <w:name w:val="Tekst przypisu końcowego Znak"/>
    <w:basedOn w:val="Domylnaczcionkaakapitu"/>
    <w:link w:val="Tekstprzypisukocowego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F50DE8"/>
    <w:rPr>
      <w:vertAlign w:val="superscript"/>
    </w:rPr>
  </w:style>
  <w:style w:type="character" w:customStyle="1" w:styleId="pricestar1">
    <w:name w:val="pricestar1"/>
    <w:basedOn w:val="Domylnaczcionkaakapitu"/>
    <w:rsid w:val="00F50DE8"/>
    <w:rPr>
      <w:b/>
      <w:bCs/>
      <w:color w:val="FF0000"/>
      <w:sz w:val="36"/>
      <w:szCs w:val="36"/>
    </w:rPr>
  </w:style>
  <w:style w:type="character" w:customStyle="1" w:styleId="tooltip">
    <w:name w:val="tooltip"/>
    <w:basedOn w:val="Domylnaczcionkaakapitu"/>
    <w:rsid w:val="00F50DE8"/>
  </w:style>
  <w:style w:type="character" w:customStyle="1" w:styleId="apple-converted-space">
    <w:name w:val="apple-converted-space"/>
    <w:basedOn w:val="Domylnaczcionkaakapitu"/>
    <w:rsid w:val="00F50DE8"/>
  </w:style>
  <w:style w:type="paragraph" w:styleId="Mapadokumentu">
    <w:name w:val="Document Map"/>
    <w:basedOn w:val="Normalny"/>
    <w:link w:val="MapadokumentuZnak"/>
    <w:uiPriority w:val="99"/>
    <w:unhideWhenUsed/>
    <w:rsid w:val="00F50DE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50DE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F50DE8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50D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F50DE8"/>
    <w:pPr>
      <w:ind w:left="142" w:firstLine="567"/>
      <w:textAlignment w:val="auto"/>
    </w:pPr>
    <w:rPr>
      <w:rFonts w:ascii="Times New Roman" w:hAnsi="Times New Roman"/>
    </w:rPr>
  </w:style>
  <w:style w:type="paragraph" w:customStyle="1" w:styleId="Tekstpodstawowy23">
    <w:name w:val="Tekst podstawowy 23"/>
    <w:basedOn w:val="Normalny"/>
    <w:rsid w:val="00F50DE8"/>
    <w:pPr>
      <w:ind w:left="426" w:hanging="426"/>
      <w:textAlignment w:val="auto"/>
    </w:pPr>
    <w:rPr>
      <w:rFonts w:ascii="Times New Roman" w:hAnsi="Times New Roman"/>
    </w:rPr>
  </w:style>
  <w:style w:type="character" w:customStyle="1" w:styleId="biggertext">
    <w:name w:val="biggertext"/>
    <w:basedOn w:val="Domylnaczcionkaakapitu"/>
    <w:rsid w:val="00F50DE8"/>
  </w:style>
  <w:style w:type="paragraph" w:styleId="Tekstpodstawowywcity">
    <w:name w:val="Body Text Indent"/>
    <w:basedOn w:val="Normalny"/>
    <w:link w:val="TekstpodstawowywcityZnak"/>
    <w:rsid w:val="00F50D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50D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F50D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50DE8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10">
    <w:name w:val="_10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Tekstpodstawowywcity32">
    <w:name w:val="Tekst podstawowy wcięty 32"/>
    <w:basedOn w:val="Normalny"/>
    <w:rsid w:val="00F50DE8"/>
    <w:pPr>
      <w:ind w:firstLine="709"/>
      <w:textAlignment w:val="auto"/>
    </w:pPr>
    <w:rPr>
      <w:rFonts w:ascii="Times New Roman" w:hAnsi="Times New Roman"/>
    </w:rPr>
  </w:style>
  <w:style w:type="paragraph" w:customStyle="1" w:styleId="Tekstpodstawowy32">
    <w:name w:val="Tekst podstawowy 32"/>
    <w:basedOn w:val="Normalny"/>
    <w:rsid w:val="00F50DE8"/>
    <w:pPr>
      <w:widowControl w:val="0"/>
      <w:textAlignment w:val="auto"/>
    </w:pPr>
    <w:rPr>
      <w:rFonts w:ascii="Times New Roman" w:hAnsi="Times New Roman"/>
      <w:sz w:val="24"/>
    </w:rPr>
  </w:style>
  <w:style w:type="paragraph" w:customStyle="1" w:styleId="Styl12ptWyjustowany">
    <w:name w:val="Styl 12 pt Wyjustowany"/>
    <w:basedOn w:val="Normalny"/>
    <w:rsid w:val="00F50DE8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TOMEK-NAGWEK3Tekstpodstawowy">
    <w:name w:val="Styl TOMEK - NAGŁÓWEK 3 + +Tekst podstawowy"/>
    <w:basedOn w:val="TOMEK-NAGWEK3"/>
    <w:rsid w:val="00F50DE8"/>
    <w:rPr>
      <w:bCs/>
      <w:smallCaps/>
    </w:rPr>
  </w:style>
  <w:style w:type="paragraph" w:customStyle="1" w:styleId="StylTOMEK-NAGWEK3Tekstpodstawowy1">
    <w:name w:val="Styl TOMEK - NAGŁÓWEK 3 + +Tekst podstawowy1"/>
    <w:basedOn w:val="TOMEK-NAGWEK3"/>
    <w:rsid w:val="00F50DE8"/>
    <w:rPr>
      <w:rFonts w:ascii="Cambria" w:hAnsi="Cambria"/>
      <w:bCs/>
      <w:smallCaps/>
    </w:rPr>
  </w:style>
  <w:style w:type="paragraph" w:customStyle="1" w:styleId="Zuzpodtytuy1-10">
    <w:name w:val="Zuz podtytuły 1-10"/>
    <w:basedOn w:val="Nagwek1"/>
    <w:link w:val="Zuzpodtytuy1-10Znak"/>
    <w:qFormat/>
    <w:rsid w:val="00F50DE8"/>
    <w:rPr>
      <w:rFonts w:cs="Calibri"/>
    </w:rPr>
  </w:style>
  <w:style w:type="character" w:styleId="Odwoaniedokomentarza">
    <w:name w:val="annotation reference"/>
    <w:basedOn w:val="Domylnaczcionkaakapitu"/>
    <w:rsid w:val="00F50DE8"/>
    <w:rPr>
      <w:sz w:val="16"/>
      <w:szCs w:val="16"/>
    </w:rPr>
  </w:style>
  <w:style w:type="character" w:customStyle="1" w:styleId="Zuzpodtytuy1-10Znak">
    <w:name w:val="Zuz podtytuły 1-10 Znak"/>
    <w:basedOn w:val="Nagwek1Znak"/>
    <w:link w:val="Zuzpodtytuy1-10"/>
    <w:rsid w:val="00F50DE8"/>
    <w:rPr>
      <w:rFonts w:ascii="Calibri" w:eastAsia="Times New Roman" w:hAnsi="Calibri" w:cs="Calibri"/>
      <w:b/>
      <w:caps/>
      <w:kern w:val="28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F50DE8"/>
  </w:style>
  <w:style w:type="character" w:customStyle="1" w:styleId="TekstkomentarzaZnak">
    <w:name w:val="Tekst komentarza Znak"/>
    <w:basedOn w:val="Domylnaczcionkaakapitu"/>
    <w:link w:val="Tekstkomentarza"/>
    <w:rsid w:val="00F50DE8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50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DE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Elegancki">
    <w:name w:val="Table Elegant"/>
    <w:basedOn w:val="Standardowy"/>
    <w:rsid w:val="00F50DE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rsid w:val="00F50DE8"/>
    <w:rPr>
      <w:i/>
      <w:iCs/>
    </w:rPr>
  </w:style>
  <w:style w:type="character" w:customStyle="1" w:styleId="f933">
    <w:name w:val="f933"/>
    <w:basedOn w:val="Domylnaczcionkaakapitu"/>
    <w:rsid w:val="00F50DE8"/>
  </w:style>
  <w:style w:type="character" w:customStyle="1" w:styleId="f929">
    <w:name w:val="f929"/>
    <w:basedOn w:val="Domylnaczcionkaakapitu"/>
    <w:rsid w:val="00F50DE8"/>
  </w:style>
  <w:style w:type="character" w:customStyle="1" w:styleId="sp">
    <w:name w:val="sp"/>
    <w:basedOn w:val="Domylnaczcionkaakapitu"/>
    <w:rsid w:val="00F50DE8"/>
  </w:style>
  <w:style w:type="character" w:customStyle="1" w:styleId="f943">
    <w:name w:val="f943"/>
    <w:basedOn w:val="Domylnaczcionkaakapitu"/>
    <w:rsid w:val="00F50DE8"/>
  </w:style>
  <w:style w:type="character" w:customStyle="1" w:styleId="f945">
    <w:name w:val="f945"/>
    <w:basedOn w:val="Domylnaczcionkaakapitu"/>
    <w:rsid w:val="00F50DE8"/>
  </w:style>
  <w:style w:type="character" w:customStyle="1" w:styleId="fh">
    <w:name w:val="fh"/>
    <w:basedOn w:val="Domylnaczcionkaakapitu"/>
    <w:rsid w:val="00F50DE8"/>
  </w:style>
  <w:style w:type="character" w:customStyle="1" w:styleId="WW8Num18z2">
    <w:name w:val="WW8Num18z2"/>
    <w:rsid w:val="00F50DE8"/>
    <w:rPr>
      <w:rFonts w:ascii="Wingdings" w:hAnsi="Wingdings"/>
    </w:rPr>
  </w:style>
  <w:style w:type="paragraph" w:styleId="Poprawka">
    <w:name w:val="Revision"/>
    <w:hidden/>
    <w:uiPriority w:val="99"/>
    <w:semiHidden/>
    <w:rsid w:val="00F50DE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CM15">
    <w:name w:val="CM15"/>
    <w:basedOn w:val="Normalny"/>
    <w:next w:val="Normalny"/>
    <w:uiPriority w:val="99"/>
    <w:rsid w:val="00F50DE8"/>
    <w:pPr>
      <w:widowControl w:val="0"/>
      <w:overflowPunct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maynr">
    <w:name w:val="mały nr"/>
    <w:basedOn w:val="Normalny"/>
    <w:rsid w:val="00F50DE8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Times New Roman" w:hAnsi="Times New Roman"/>
      <w:i/>
      <w:sz w:val="24"/>
      <w:u w:val="single"/>
    </w:rPr>
  </w:style>
  <w:style w:type="paragraph" w:customStyle="1" w:styleId="grubynr">
    <w:name w:val="gruby nr"/>
    <w:basedOn w:val="Nagwek"/>
    <w:rsid w:val="00F50DE8"/>
    <w:pPr>
      <w:tabs>
        <w:tab w:val="clear" w:pos="4536"/>
        <w:tab w:val="num" w:pos="360"/>
        <w:tab w:val="center" w:pos="1701"/>
      </w:tabs>
      <w:overflowPunct/>
      <w:autoSpaceDE/>
      <w:autoSpaceDN/>
      <w:adjustRightInd/>
      <w:spacing w:before="120" w:after="120"/>
      <w:jc w:val="left"/>
      <w:textAlignment w:val="auto"/>
    </w:pPr>
    <w:rPr>
      <w:b/>
      <w:sz w:val="28"/>
    </w:rPr>
  </w:style>
  <w:style w:type="character" w:styleId="Numerwiersza">
    <w:name w:val="line number"/>
    <w:basedOn w:val="Domylnaczcionkaakapitu"/>
    <w:rsid w:val="00F50DE8"/>
  </w:style>
  <w:style w:type="paragraph" w:customStyle="1" w:styleId="10Znak">
    <w:name w:val="_10 Znak"/>
    <w:basedOn w:val="Normalny"/>
    <w:rsid w:val="00F50DE8"/>
    <w:pPr>
      <w:overflowPunct/>
      <w:autoSpaceDE/>
      <w:autoSpaceDN/>
      <w:adjustRightInd/>
      <w:ind w:right="-57"/>
      <w:textAlignment w:val="auto"/>
    </w:pPr>
    <w:rPr>
      <w:rFonts w:ascii="Times New Roman" w:hAnsi="Times New Roman"/>
      <w:color w:val="000000"/>
    </w:rPr>
  </w:style>
  <w:style w:type="character" w:customStyle="1" w:styleId="ftr">
    <w:name w:val="ftr"/>
    <w:basedOn w:val="Domylnaczcionkaakapitu"/>
    <w:rsid w:val="00F50DE8"/>
  </w:style>
  <w:style w:type="character" w:customStyle="1" w:styleId="f638">
    <w:name w:val="f638"/>
    <w:basedOn w:val="Domylnaczcionkaakapitu"/>
    <w:rsid w:val="00F50DE8"/>
  </w:style>
  <w:style w:type="character" w:customStyle="1" w:styleId="ftb">
    <w:name w:val="ftb"/>
    <w:basedOn w:val="Domylnaczcionkaakapitu"/>
    <w:rsid w:val="00F50DE8"/>
  </w:style>
  <w:style w:type="paragraph" w:styleId="Tekstpodstawowywcity2">
    <w:name w:val="Body Text Indent 2"/>
    <w:basedOn w:val="Normalny"/>
    <w:link w:val="Tekstpodstawowywcity2Znak"/>
    <w:rsid w:val="00F50DE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 PL" w:hAnsi="Arial P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0DE8"/>
    <w:rPr>
      <w:rFonts w:ascii="Arial PL" w:eastAsia="Times New Roman" w:hAnsi="Arial PL" w:cs="Times New Roman"/>
      <w:szCs w:val="20"/>
      <w:lang w:eastAsia="pl-PL"/>
    </w:rPr>
  </w:style>
  <w:style w:type="character" w:customStyle="1" w:styleId="Technical2">
    <w:name w:val="Technical 2"/>
    <w:rsid w:val="00117296"/>
    <w:rPr>
      <w:rFonts w:ascii="Courier" w:hAnsi="Courier"/>
      <w:noProof w:val="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E9F57-16C2-4333-8D94-79BEAF05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6284</Words>
  <Characters>37708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Bartuś</dc:creator>
  <cp:lastModifiedBy>Stanisław Cieszyński</cp:lastModifiedBy>
  <cp:revision>18</cp:revision>
  <cp:lastPrinted>2022-12-19T16:35:00Z</cp:lastPrinted>
  <dcterms:created xsi:type="dcterms:W3CDTF">2021-08-26T17:32:00Z</dcterms:created>
  <dcterms:modified xsi:type="dcterms:W3CDTF">2023-12-07T08:33:00Z</dcterms:modified>
</cp:coreProperties>
</file>