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7669" w14:textId="77777777" w:rsidR="003F49C8" w:rsidRDefault="008C222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459FE7ED" wp14:editId="22914665">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9FE7ED" id="Prostokąt 7" o:spid="_x0000_s1026" style="position:absolute;left:0;text-align:left;margin-left:394.45pt;margin-top:7.1pt;width:48.4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" fillcolor="white [3201]" strokecolor="black [3213]" strokeweight=".25pt">
                <v:textbox>
                  <w:txbxContent>
                    <w:p w14:paraId="60B4F7F8" w14:textId="77777777" w:rsidR="008C2229" w:rsidRDefault="00ED463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I</w:t>
                      </w:r>
                    </w:p>
                  </w:txbxContent>
                </v:textbox>
              </v:rect>
            </w:pict>
          </mc:Fallback>
        </mc:AlternateContent>
      </w:r>
    </w:p>
    <w:p w14:paraId="6BED82D1" w14:textId="77777777" w:rsidR="003F49C8" w:rsidRDefault="003F49C8">
      <w:pPr>
        <w:spacing w:before="120" w:after="120" w:line="276" w:lineRule="auto"/>
        <w:contextualSpacing/>
        <w:jc w:val="center"/>
        <w:rPr>
          <w:rFonts w:ascii="Arial" w:hAnsi="Arial"/>
          <w:b/>
          <w:lang w:eastAsia="ar-SA"/>
        </w:rPr>
      </w:pPr>
    </w:p>
    <w:p w14:paraId="11C0829E" w14:textId="77777777" w:rsidR="003F49C8" w:rsidRDefault="003F49C8">
      <w:pPr>
        <w:tabs>
          <w:tab w:val="right" w:pos="9072"/>
        </w:tabs>
        <w:jc w:val="center"/>
        <w:rPr>
          <w:rFonts w:ascii="Arial" w:hAnsi="Arial"/>
          <w:b/>
          <w:sz w:val="18"/>
          <w:szCs w:val="18"/>
        </w:rPr>
      </w:pPr>
    </w:p>
    <w:p w14:paraId="215F9016" w14:textId="77777777" w:rsidR="003F49C8" w:rsidRDefault="003F49C8">
      <w:pPr>
        <w:tabs>
          <w:tab w:val="right" w:pos="9072"/>
        </w:tabs>
        <w:jc w:val="center"/>
        <w:rPr>
          <w:rFonts w:ascii="Arial" w:hAnsi="Arial"/>
          <w:b/>
          <w:sz w:val="18"/>
          <w:szCs w:val="18"/>
        </w:rPr>
      </w:pPr>
    </w:p>
    <w:p w14:paraId="6A2767AB" w14:textId="77777777" w:rsidR="003F49C8" w:rsidRDefault="003F49C8">
      <w:pPr>
        <w:tabs>
          <w:tab w:val="right" w:pos="9072"/>
        </w:tabs>
        <w:jc w:val="center"/>
        <w:rPr>
          <w:rFonts w:ascii="Arial" w:hAnsi="Arial" w:cs="Arial"/>
          <w:b/>
          <w:sz w:val="18"/>
          <w:szCs w:val="18"/>
        </w:rPr>
      </w:pPr>
    </w:p>
    <w:p w14:paraId="04C0F67F" w14:textId="77777777" w:rsidR="003F49C8" w:rsidRDefault="003F49C8">
      <w:pPr>
        <w:spacing w:before="120" w:after="120" w:line="276" w:lineRule="auto"/>
        <w:contextualSpacing/>
        <w:jc w:val="center"/>
        <w:rPr>
          <w:rFonts w:ascii="Arial" w:eastAsia="Arial Unicode MS" w:hAnsi="Arial" w:cs="Arial"/>
          <w:lang w:val="pl" w:eastAsia="ar-SA"/>
        </w:rPr>
      </w:pPr>
    </w:p>
    <w:p w14:paraId="79BD24C6" w14:textId="77777777" w:rsidR="003F49C8" w:rsidRDefault="003F49C8">
      <w:pPr>
        <w:spacing w:before="120" w:after="120" w:line="276" w:lineRule="auto"/>
        <w:contextualSpacing/>
        <w:jc w:val="center"/>
        <w:rPr>
          <w:rFonts w:ascii="Arial" w:eastAsia="Arial Unicode MS" w:hAnsi="Arial" w:cs="Arial"/>
          <w:lang w:val="pl" w:eastAsia="ar-SA"/>
        </w:rPr>
      </w:pPr>
    </w:p>
    <w:p w14:paraId="6838BA6F" w14:textId="77777777" w:rsidR="003F49C8" w:rsidRDefault="003F49C8">
      <w:pPr>
        <w:spacing w:before="120" w:after="120" w:line="276" w:lineRule="auto"/>
        <w:contextualSpacing/>
        <w:jc w:val="center"/>
        <w:rPr>
          <w:rFonts w:ascii="Arial" w:eastAsia="Arial Unicode MS" w:hAnsi="Arial" w:cs="Arial"/>
          <w:lang w:val="pl" w:eastAsia="ar-SA"/>
        </w:rPr>
      </w:pPr>
    </w:p>
    <w:p w14:paraId="635533ED" w14:textId="77777777" w:rsidR="003F49C8" w:rsidRDefault="003F49C8">
      <w:pPr>
        <w:spacing w:before="120" w:after="120" w:line="276" w:lineRule="auto"/>
        <w:contextualSpacing/>
        <w:jc w:val="center"/>
        <w:rPr>
          <w:rFonts w:ascii="Arial" w:eastAsia="Arial Unicode MS" w:hAnsi="Arial" w:cs="Arial"/>
          <w:lang w:val="pl" w:eastAsia="ar-SA"/>
        </w:rPr>
      </w:pPr>
    </w:p>
    <w:p w14:paraId="56B5F1C0" w14:textId="77777777" w:rsidR="003F49C8" w:rsidRDefault="003F49C8">
      <w:pPr>
        <w:spacing w:before="120" w:after="120" w:line="276" w:lineRule="auto"/>
        <w:contextualSpacing/>
        <w:jc w:val="center"/>
        <w:rPr>
          <w:rFonts w:ascii="Arial" w:eastAsia="Arial Unicode MS" w:hAnsi="Arial" w:cs="Arial"/>
          <w:lang w:val="pl" w:eastAsia="ar-SA"/>
        </w:rPr>
      </w:pPr>
    </w:p>
    <w:p w14:paraId="1D0826BF" w14:textId="77777777" w:rsidR="003F49C8" w:rsidRDefault="003F49C8">
      <w:pPr>
        <w:spacing w:before="120" w:after="120" w:line="276" w:lineRule="auto"/>
        <w:contextualSpacing/>
        <w:jc w:val="center"/>
        <w:rPr>
          <w:rFonts w:ascii="Arial" w:eastAsia="Arial Unicode MS" w:hAnsi="Arial" w:cs="Arial"/>
          <w:lang w:val="pl" w:eastAsia="ar-SA"/>
        </w:rPr>
      </w:pPr>
    </w:p>
    <w:p w14:paraId="5CC3389D" w14:textId="77777777" w:rsidR="003F49C8" w:rsidRDefault="008C2229">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SPECYFIKACJA TECHNICZNA WYKONANIA i ODBIORU ROBÓT BUDOWLANYCH</w:t>
      </w:r>
    </w:p>
    <w:p w14:paraId="485FC6F6"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D60A2BC"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1F4FD832"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5525BE18" w14:textId="77777777" w:rsidR="003F49C8" w:rsidRDefault="003F49C8">
      <w:pPr>
        <w:spacing w:before="120" w:after="120" w:line="276" w:lineRule="auto"/>
        <w:contextualSpacing/>
        <w:jc w:val="center"/>
        <w:rPr>
          <w:rFonts w:ascii="Arial" w:eastAsia="Arial Unicode MS" w:hAnsi="Arial" w:cs="Arial"/>
          <w:sz w:val="22"/>
          <w:szCs w:val="22"/>
          <w:lang w:val="pl" w:eastAsia="ar-SA"/>
        </w:rPr>
      </w:pPr>
    </w:p>
    <w:p w14:paraId="23FA86F2" w14:textId="77777777" w:rsidR="003F49C8" w:rsidRDefault="008C2229">
      <w:pPr>
        <w:pStyle w:val="Spistreci9"/>
        <w:jc w:val="center"/>
        <w:rPr>
          <w:rFonts w:ascii="Arial" w:eastAsiaTheme="majorEastAsia" w:hAnsi="Arial" w:cs="Arial"/>
          <w:bCs/>
          <w:iCs/>
          <w:sz w:val="22"/>
          <w:szCs w:val="22"/>
          <w:lang w:val="pl-PL"/>
        </w:rPr>
      </w:pPr>
      <w:r>
        <w:rPr>
          <w:rFonts w:ascii="Arial" w:eastAsiaTheme="majorEastAsia" w:hAnsi="Arial" w:cs="Arial"/>
          <w:bCs/>
          <w:iCs/>
          <w:sz w:val="22"/>
          <w:szCs w:val="22"/>
          <w:lang w:val="pl-PL"/>
        </w:rPr>
        <w:t xml:space="preserve">D-M.00.00.00 </w:t>
      </w:r>
    </w:p>
    <w:p w14:paraId="5D17BECA" w14:textId="77777777" w:rsidR="003F49C8" w:rsidRDefault="003F49C8">
      <w:pPr>
        <w:keepNext/>
        <w:tabs>
          <w:tab w:val="left" w:pos="1134"/>
        </w:tabs>
        <w:jc w:val="center"/>
        <w:outlineLvl w:val="2"/>
        <w:rPr>
          <w:rFonts w:ascii="Arial" w:eastAsiaTheme="majorEastAsia" w:hAnsi="Arial" w:cs="Arial"/>
          <w:bCs/>
          <w:iCs/>
          <w:sz w:val="22"/>
          <w:szCs w:val="22"/>
        </w:rPr>
      </w:pPr>
    </w:p>
    <w:p w14:paraId="72FF3328" w14:textId="77777777" w:rsidR="003F49C8" w:rsidRDefault="003F49C8">
      <w:pPr>
        <w:spacing w:before="120" w:after="120" w:line="276" w:lineRule="auto"/>
        <w:contextualSpacing/>
        <w:jc w:val="center"/>
        <w:rPr>
          <w:rFonts w:ascii="Arial" w:eastAsiaTheme="majorEastAsia" w:hAnsi="Arial" w:cs="Arial"/>
          <w:bCs/>
          <w:iCs/>
          <w:sz w:val="22"/>
          <w:szCs w:val="22"/>
        </w:rPr>
      </w:pPr>
    </w:p>
    <w:p w14:paraId="435A7553" w14:textId="77777777" w:rsidR="003F49C8" w:rsidRDefault="008C2229">
      <w:pPr>
        <w:tabs>
          <w:tab w:val="left" w:pos="0"/>
          <w:tab w:val="right" w:pos="8809"/>
        </w:tabs>
        <w:jc w:val="center"/>
        <w:rPr>
          <w:rFonts w:ascii="Arial" w:eastAsiaTheme="majorEastAsia" w:hAnsi="Arial" w:cs="Arial"/>
          <w:bCs/>
          <w:iCs/>
          <w:sz w:val="22"/>
          <w:szCs w:val="22"/>
        </w:rPr>
      </w:pPr>
      <w:r>
        <w:rPr>
          <w:rFonts w:ascii="Arial" w:eastAsiaTheme="majorEastAsia" w:hAnsi="Arial" w:cs="Arial"/>
          <w:bCs/>
          <w:iCs/>
          <w:sz w:val="22"/>
          <w:szCs w:val="22"/>
        </w:rPr>
        <w:t>WYMAGANIA OGÓLNE</w:t>
      </w:r>
    </w:p>
    <w:p w14:paraId="0053CB4C" w14:textId="77777777" w:rsidR="003F49C8" w:rsidRDefault="003F49C8">
      <w:pPr>
        <w:tabs>
          <w:tab w:val="left" w:pos="0"/>
          <w:tab w:val="right" w:pos="8809"/>
        </w:tabs>
        <w:jc w:val="center"/>
        <w:rPr>
          <w:rFonts w:ascii="Arial" w:eastAsia="Arial Unicode MS" w:hAnsi="Arial" w:cs="Arial"/>
          <w:highlight w:val="yellow"/>
          <w:lang w:val="pl" w:eastAsia="ar-SA"/>
        </w:rPr>
      </w:pPr>
    </w:p>
    <w:p w14:paraId="29AAC36E" w14:textId="77777777" w:rsidR="003F49C8" w:rsidRDefault="003F49C8">
      <w:pPr>
        <w:tabs>
          <w:tab w:val="left" w:pos="1134"/>
        </w:tabs>
        <w:jc w:val="center"/>
        <w:rPr>
          <w:rFonts w:ascii="Arial" w:eastAsia="Arial Unicode MS" w:hAnsi="Arial" w:cs="Arial"/>
          <w:highlight w:val="yellow"/>
          <w:lang w:val="pl" w:eastAsia="ar-SA"/>
        </w:rPr>
      </w:pPr>
    </w:p>
    <w:p w14:paraId="17181BDF" w14:textId="77777777" w:rsidR="003F49C8" w:rsidRDefault="003F49C8">
      <w:pPr>
        <w:spacing w:line="221" w:lineRule="exact"/>
        <w:ind w:right="-851"/>
        <w:rPr>
          <w:rFonts w:ascii="Arial" w:hAnsi="Arial" w:cs="Arial"/>
        </w:rPr>
      </w:pPr>
    </w:p>
    <w:p w14:paraId="12F1F1C3" w14:textId="77777777" w:rsidR="003F49C8" w:rsidRDefault="003F49C8">
      <w:pPr>
        <w:tabs>
          <w:tab w:val="left" w:pos="1134"/>
        </w:tabs>
        <w:jc w:val="center"/>
        <w:rPr>
          <w:rFonts w:ascii="Arial" w:hAnsi="Arial" w:cs="Arial"/>
          <w:b/>
          <w:sz w:val="18"/>
          <w:szCs w:val="18"/>
          <w:highlight w:val="yellow"/>
        </w:rPr>
      </w:pPr>
    </w:p>
    <w:p w14:paraId="66D47EB5" w14:textId="77777777" w:rsidR="003F49C8" w:rsidRDefault="003F49C8">
      <w:pPr>
        <w:spacing w:before="120" w:after="120" w:line="276" w:lineRule="auto"/>
        <w:contextualSpacing/>
        <w:rPr>
          <w:rFonts w:ascii="Arial" w:eastAsia="Arial Unicode MS" w:hAnsi="Arial" w:cs="Arial"/>
          <w:highlight w:val="yellow"/>
          <w:lang w:val="pl" w:eastAsia="ar-SA"/>
        </w:rPr>
      </w:pPr>
    </w:p>
    <w:p w14:paraId="010DE0C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C75629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0E5470C9"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8778EE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DB1CE6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9483A75"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52F769DA"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8A4B7BE"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6229F546"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EB3650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6CAC1"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280D1D77"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1A301F6C"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433226C2" w14:textId="77777777" w:rsidR="003F49C8" w:rsidRDefault="003F49C8">
      <w:pPr>
        <w:spacing w:before="120" w:after="120" w:line="276" w:lineRule="auto"/>
        <w:contextualSpacing/>
        <w:jc w:val="center"/>
        <w:rPr>
          <w:rFonts w:ascii="Arial" w:eastAsia="Arial Unicode MS" w:hAnsi="Arial" w:cs="Arial"/>
          <w:highlight w:val="yellow"/>
          <w:lang w:val="pl" w:eastAsia="ar-SA"/>
        </w:rPr>
      </w:pPr>
    </w:p>
    <w:p w14:paraId="7605C6FA" w14:textId="77777777" w:rsidR="003F49C8" w:rsidRDefault="003F49C8">
      <w:pPr>
        <w:spacing w:before="120" w:after="120" w:line="276" w:lineRule="auto"/>
        <w:contextualSpacing/>
        <w:jc w:val="center"/>
        <w:rPr>
          <w:rFonts w:ascii="Arial" w:eastAsia="Arial Unicode MS" w:hAnsi="Arial" w:cs="Arial"/>
          <w:lang w:val="pl" w:eastAsia="ar-SA"/>
        </w:rPr>
      </w:pPr>
    </w:p>
    <w:p w14:paraId="56AF513E" w14:textId="77777777" w:rsidR="003F49C8" w:rsidRDefault="003F49C8">
      <w:pPr>
        <w:spacing w:before="120" w:after="120" w:line="276" w:lineRule="auto"/>
        <w:contextualSpacing/>
        <w:jc w:val="center"/>
        <w:rPr>
          <w:rFonts w:ascii="Arial" w:eastAsia="Arial Unicode MS" w:hAnsi="Arial" w:cs="Arial"/>
          <w:lang w:val="pl" w:eastAsia="ar-SA"/>
        </w:rPr>
      </w:pPr>
    </w:p>
    <w:p w14:paraId="1ECC8B12" w14:textId="77777777" w:rsidR="003F49C8" w:rsidRDefault="003F49C8">
      <w:pPr>
        <w:spacing w:before="120" w:after="120" w:line="276" w:lineRule="auto"/>
        <w:contextualSpacing/>
        <w:jc w:val="center"/>
        <w:rPr>
          <w:rFonts w:ascii="Arial" w:eastAsia="Arial Unicode MS" w:hAnsi="Arial" w:cs="Arial"/>
          <w:lang w:val="pl" w:eastAsia="ar-SA"/>
        </w:rPr>
      </w:pPr>
    </w:p>
    <w:p w14:paraId="27FFF952" w14:textId="77777777" w:rsidR="003F49C8" w:rsidRDefault="003F49C8">
      <w:pPr>
        <w:spacing w:before="120" w:after="120" w:line="276" w:lineRule="auto"/>
        <w:contextualSpacing/>
        <w:jc w:val="center"/>
        <w:rPr>
          <w:rFonts w:ascii="Arial" w:eastAsia="Arial Unicode MS" w:hAnsi="Arial" w:cs="Arial"/>
          <w:lang w:val="pl" w:eastAsia="ar-SA"/>
        </w:rPr>
      </w:pPr>
    </w:p>
    <w:p w14:paraId="220C9914" w14:textId="77777777" w:rsidR="003F49C8" w:rsidRDefault="003F49C8">
      <w:pPr>
        <w:spacing w:before="120" w:after="120" w:line="276" w:lineRule="auto"/>
        <w:contextualSpacing/>
        <w:jc w:val="center"/>
        <w:rPr>
          <w:rFonts w:ascii="Arial" w:eastAsia="Arial Unicode MS" w:hAnsi="Arial" w:cs="Arial"/>
          <w:lang w:val="pl" w:eastAsia="ar-SA"/>
        </w:rPr>
      </w:pPr>
    </w:p>
    <w:p w14:paraId="58596962" w14:textId="77777777" w:rsidR="003F49C8" w:rsidRDefault="003F49C8">
      <w:pPr>
        <w:spacing w:before="120" w:after="120" w:line="276" w:lineRule="auto"/>
        <w:contextualSpacing/>
        <w:jc w:val="center"/>
        <w:rPr>
          <w:rFonts w:ascii="Arial" w:eastAsia="Arial Unicode MS" w:hAnsi="Arial" w:cs="Arial"/>
          <w:lang w:val="pl" w:eastAsia="ar-SA"/>
        </w:rPr>
      </w:pPr>
    </w:p>
    <w:p w14:paraId="792CBBA0" w14:textId="77777777" w:rsidR="003F49C8" w:rsidRDefault="003F49C8">
      <w:pPr>
        <w:spacing w:before="120" w:after="120" w:line="276" w:lineRule="auto"/>
        <w:contextualSpacing/>
        <w:jc w:val="center"/>
        <w:rPr>
          <w:rFonts w:ascii="Arial" w:eastAsia="Arial Unicode MS" w:hAnsi="Arial" w:cs="Arial"/>
          <w:lang w:val="pl" w:eastAsia="ar-SA"/>
        </w:rPr>
      </w:pPr>
    </w:p>
    <w:p w14:paraId="4426DFF6" w14:textId="31853B9B" w:rsidR="003F49C8" w:rsidRDefault="00E67C46">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Marzec 2023</w:t>
      </w:r>
    </w:p>
    <w:p w14:paraId="226ABD81" w14:textId="77777777" w:rsidR="00EB7AF1" w:rsidRDefault="00EB7AF1" w:rsidP="00EB7AF1">
      <w:pPr>
        <w:spacing w:line="276" w:lineRule="auto"/>
        <w:contextualSpacing/>
        <w:rPr>
          <w:rFonts w:ascii="Arial" w:eastAsia="Arial Unicode MS" w:hAnsi="Arial" w:cs="Arial"/>
          <w:lang w:val="pl" w:eastAsia="ar-SA"/>
        </w:rPr>
      </w:pPr>
    </w:p>
    <w:p w14:paraId="73F4CF3C" w14:textId="77777777" w:rsidR="00EB7AF1" w:rsidRDefault="00EB7AF1" w:rsidP="00EB7AF1">
      <w:pPr>
        <w:spacing w:line="276" w:lineRule="auto"/>
        <w:contextualSpacing/>
        <w:rPr>
          <w:rFonts w:ascii="Arial" w:eastAsia="Arial Unicode MS" w:hAnsi="Arial" w:cs="Arial"/>
          <w:lang w:val="pl" w:eastAsia="ar-SA"/>
        </w:rPr>
      </w:pPr>
    </w:p>
    <w:p w14:paraId="11BF14AE" w14:textId="77777777" w:rsidR="00EB7AF1" w:rsidRDefault="00EB7AF1" w:rsidP="00EB7AF1">
      <w:pPr>
        <w:spacing w:line="276" w:lineRule="auto"/>
        <w:contextualSpacing/>
        <w:rPr>
          <w:rFonts w:ascii="Arial" w:eastAsia="Arial Unicode MS" w:hAnsi="Arial" w:cs="Arial"/>
          <w:lang w:val="pl" w:eastAsia="ar-SA"/>
        </w:rPr>
      </w:pPr>
    </w:p>
    <w:p w14:paraId="6A890FA1" w14:textId="77777777" w:rsidR="00EB7AF1" w:rsidRDefault="00EB7AF1" w:rsidP="00EB7AF1">
      <w:pPr>
        <w:spacing w:line="276" w:lineRule="auto"/>
        <w:contextualSpacing/>
        <w:rPr>
          <w:rFonts w:ascii="Arial" w:eastAsia="Arial Unicode MS" w:hAnsi="Arial" w:cs="Arial"/>
          <w:lang w:val="pl" w:eastAsia="ar-SA"/>
        </w:rPr>
      </w:pPr>
      <w:r w:rsidRPr="00EB7AF1">
        <w:rPr>
          <w:rFonts w:ascii="Arial" w:eastAsia="Arial Unicode MS" w:hAnsi="Arial" w:cs="Arial"/>
          <w:lang w:val="pl" w:eastAsia="ar-SA"/>
        </w:rPr>
        <w:t>SPIS TRE</w:t>
      </w:r>
      <w:r w:rsidRPr="00EB7AF1">
        <w:rPr>
          <w:rFonts w:ascii="Arial" w:eastAsia="Arial Unicode MS" w:hAnsi="Arial" w:cs="Arial" w:hint="eastAsia"/>
          <w:lang w:val="pl" w:eastAsia="ar-SA"/>
        </w:rPr>
        <w:t>Ś</w:t>
      </w:r>
      <w:r w:rsidRPr="00EB7AF1">
        <w:rPr>
          <w:rFonts w:ascii="Arial" w:eastAsia="Arial Unicode MS" w:hAnsi="Arial" w:cs="Arial"/>
          <w:lang w:val="pl" w:eastAsia="ar-SA"/>
        </w:rPr>
        <w:t>CI:</w:t>
      </w:r>
    </w:p>
    <w:p w14:paraId="27298B13" w14:textId="77777777" w:rsidR="00EB7AF1" w:rsidRDefault="00EB7AF1">
      <w:pPr>
        <w:spacing w:line="276" w:lineRule="auto"/>
        <w:contextualSpacing/>
        <w:jc w:val="center"/>
        <w:rPr>
          <w:rFonts w:ascii="Arial" w:eastAsia="Arial Unicode MS" w:hAnsi="Arial" w:cs="Arial"/>
          <w:lang w:val="pl" w:eastAsia="ar-SA"/>
        </w:rPr>
      </w:pPr>
    </w:p>
    <w:p w14:paraId="7FC92DD7" w14:textId="77777777" w:rsidR="00EB7AF1" w:rsidRDefault="00EB7AF1" w:rsidP="00EB7AF1">
      <w:pPr>
        <w:spacing w:after="120" w:line="276" w:lineRule="auto"/>
        <w:jc w:val="center"/>
        <w:rPr>
          <w:rFonts w:ascii="Arial" w:eastAsia="Arial Unicode MS" w:hAnsi="Arial" w:cs="Arial"/>
          <w:lang w:val="pl" w:eastAsia="ar-SA"/>
        </w:rPr>
      </w:pPr>
    </w:p>
    <w:p w14:paraId="63F09E6B"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0" w:history="1">
        <w:r w:rsidR="008C2229" w:rsidRPr="00E54142">
          <w:rPr>
            <w:rStyle w:val="Hipercze"/>
            <w:rFonts w:ascii="Arial" w:hAnsi="Arial" w:cs="Arial"/>
            <w:color w:val="auto"/>
            <w:sz w:val="20"/>
            <w:u w:val="none"/>
            <w:lang w:val="pl-PL"/>
          </w:rPr>
          <w:t>1.WSTĘP</w:t>
        </w:r>
        <w:r w:rsidR="008C2229" w:rsidRPr="00E54142">
          <w:rPr>
            <w:rStyle w:val="Hipercze"/>
            <w:rFonts w:ascii="Arial" w:hAnsi="Arial" w:cs="Arial"/>
            <w:webHidden/>
            <w:color w:val="auto"/>
            <w:sz w:val="20"/>
            <w:u w:val="none"/>
            <w:lang w:val="pl-PL"/>
          </w:rPr>
          <w:tab/>
          <w:t>3</w:t>
        </w:r>
      </w:hyperlink>
    </w:p>
    <w:p w14:paraId="20FA5EE4"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6" w:history="1">
        <w:r w:rsidR="008C2229" w:rsidRPr="00E54142">
          <w:rPr>
            <w:rStyle w:val="Hipercze"/>
            <w:rFonts w:ascii="Arial" w:hAnsi="Arial" w:cs="Arial"/>
            <w:color w:val="auto"/>
            <w:sz w:val="20"/>
            <w:u w:val="none"/>
            <w:lang w:val="pl-PL"/>
          </w:rPr>
          <w:t>2. MATERIAŁY</w:t>
        </w:r>
        <w:r w:rsidR="008C2229" w:rsidRPr="00E54142">
          <w:rPr>
            <w:rStyle w:val="Hipercze"/>
            <w:rFonts w:ascii="Arial" w:hAnsi="Arial" w:cs="Arial"/>
            <w:webHidden/>
            <w:color w:val="auto"/>
            <w:sz w:val="20"/>
            <w:u w:val="none"/>
            <w:lang w:val="pl-PL"/>
          </w:rPr>
          <w:tab/>
          <w:t>20</w:t>
        </w:r>
      </w:hyperlink>
    </w:p>
    <w:p w14:paraId="40171982"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7" w:history="1">
        <w:r w:rsidR="008C2229" w:rsidRPr="00E54142">
          <w:rPr>
            <w:rStyle w:val="Hipercze"/>
            <w:rFonts w:ascii="Arial" w:hAnsi="Arial" w:cs="Arial"/>
            <w:color w:val="auto"/>
            <w:sz w:val="20"/>
            <w:u w:val="none"/>
            <w:lang w:val="pl-PL"/>
          </w:rPr>
          <w:t>3. SPRZĘT</w:t>
        </w:r>
        <w:r w:rsidR="008C2229" w:rsidRPr="00E54142">
          <w:rPr>
            <w:rStyle w:val="Hipercze"/>
            <w:rFonts w:ascii="Arial" w:hAnsi="Arial" w:cs="Arial"/>
            <w:webHidden/>
            <w:color w:val="auto"/>
            <w:sz w:val="20"/>
            <w:u w:val="none"/>
            <w:lang w:val="pl-PL"/>
          </w:rPr>
          <w:tab/>
          <w:t>21</w:t>
        </w:r>
      </w:hyperlink>
    </w:p>
    <w:p w14:paraId="513A7168"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39" w:history="1">
        <w:r w:rsidR="008C2229" w:rsidRPr="00E54142">
          <w:rPr>
            <w:rStyle w:val="Hipercze"/>
            <w:rFonts w:ascii="Arial" w:hAnsi="Arial" w:cs="Arial"/>
            <w:color w:val="auto"/>
            <w:sz w:val="20"/>
            <w:u w:val="none"/>
            <w:lang w:val="pl-PL"/>
          </w:rPr>
          <w:t>4. TRANSPORT</w:t>
        </w:r>
        <w:r w:rsidR="008C2229" w:rsidRPr="00E54142">
          <w:rPr>
            <w:rStyle w:val="Hipercze"/>
            <w:rFonts w:ascii="Arial" w:hAnsi="Arial" w:cs="Arial"/>
            <w:webHidden/>
            <w:color w:val="auto"/>
            <w:sz w:val="20"/>
            <w:u w:val="none"/>
            <w:lang w:val="pl-PL"/>
          </w:rPr>
          <w:tab/>
          <w:t>22</w:t>
        </w:r>
      </w:hyperlink>
    </w:p>
    <w:p w14:paraId="4A1D932C"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 xml:space="preserve">5. WYKONANIE ROBÓT </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6BA3EA81" w14:textId="77777777" w:rsidR="003F49C8" w:rsidRPr="00E54142" w:rsidRDefault="008C2229" w:rsidP="00EB7AF1">
      <w:pPr>
        <w:pStyle w:val="Spistreci1"/>
        <w:spacing w:before="0" w:after="120" w:line="276" w:lineRule="auto"/>
        <w:ind w:right="-1"/>
        <w:rPr>
          <w:rStyle w:val="Hipercze"/>
          <w:rFonts w:ascii="Arial" w:hAnsi="Arial" w:cs="Arial"/>
          <w:color w:val="auto"/>
          <w:sz w:val="20"/>
          <w:u w:val="none"/>
          <w:lang w:val="pl-PL"/>
        </w:rPr>
      </w:pPr>
      <w:r w:rsidRPr="00E54142">
        <w:rPr>
          <w:rStyle w:val="Hipercze"/>
          <w:rFonts w:ascii="Arial" w:hAnsi="Arial" w:cs="Arial"/>
          <w:color w:val="auto"/>
          <w:sz w:val="20"/>
          <w:u w:val="none"/>
          <w:lang w:val="pl-PL"/>
        </w:rPr>
        <w:t>6. KONTROLA JAKOŚCI ROBÓT</w:t>
      </w:r>
      <w:r w:rsidRPr="00E54142">
        <w:rPr>
          <w:rStyle w:val="Hipercze"/>
          <w:rFonts w:ascii="Arial" w:hAnsi="Arial" w:cs="Arial"/>
          <w:webHidden/>
          <w:color w:val="auto"/>
          <w:sz w:val="20"/>
          <w:u w:val="none"/>
          <w:lang w:val="pl-PL"/>
        </w:rPr>
        <w:tab/>
      </w:r>
      <w:r w:rsidRPr="00E54142">
        <w:rPr>
          <w:rStyle w:val="Hipercze"/>
          <w:rFonts w:ascii="Arial" w:hAnsi="Arial" w:cs="Arial"/>
          <w:color w:val="auto"/>
          <w:sz w:val="20"/>
          <w:u w:val="none"/>
          <w:lang w:val="pl-PL"/>
        </w:rPr>
        <w:t>22</w:t>
      </w:r>
    </w:p>
    <w:p w14:paraId="0A6849CF"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6" w:history="1">
        <w:r w:rsidR="008C2229" w:rsidRPr="00E54142">
          <w:rPr>
            <w:rStyle w:val="Hipercze"/>
            <w:rFonts w:ascii="Arial" w:hAnsi="Arial" w:cs="Arial"/>
            <w:color w:val="auto"/>
            <w:sz w:val="20"/>
            <w:u w:val="none"/>
            <w:lang w:val="pl-PL"/>
          </w:rPr>
          <w:t>7. OBMIAR ROBÓT</w:t>
        </w:r>
        <w:r w:rsidR="008C2229" w:rsidRPr="00E54142">
          <w:rPr>
            <w:rStyle w:val="Hipercze"/>
            <w:rFonts w:ascii="Arial" w:hAnsi="Arial" w:cs="Arial"/>
            <w:webHidden/>
            <w:color w:val="auto"/>
            <w:sz w:val="20"/>
            <w:u w:val="none"/>
            <w:lang w:val="pl-PL"/>
          </w:rPr>
          <w:tab/>
          <w:t>26</w:t>
        </w:r>
      </w:hyperlink>
    </w:p>
    <w:p w14:paraId="5DE42FE3"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7" w:history="1">
        <w:r w:rsidR="008C2229" w:rsidRPr="00E54142">
          <w:rPr>
            <w:rStyle w:val="Hipercze"/>
            <w:rFonts w:ascii="Arial" w:hAnsi="Arial" w:cs="Arial"/>
            <w:color w:val="auto"/>
            <w:sz w:val="20"/>
            <w:u w:val="none"/>
            <w:lang w:val="pl-PL"/>
          </w:rPr>
          <w:t>8. ODBIÓR ROBÓT</w:t>
        </w:r>
        <w:r w:rsidR="008C2229" w:rsidRPr="00E54142">
          <w:rPr>
            <w:rStyle w:val="Hipercze"/>
            <w:rFonts w:ascii="Arial" w:hAnsi="Arial" w:cs="Arial"/>
            <w:webHidden/>
            <w:color w:val="auto"/>
            <w:sz w:val="20"/>
            <w:u w:val="none"/>
            <w:lang w:val="pl-PL"/>
          </w:rPr>
          <w:tab/>
          <w:t>27</w:t>
        </w:r>
      </w:hyperlink>
    </w:p>
    <w:p w14:paraId="160DFF51"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48" w:history="1">
        <w:r w:rsidR="008C2229" w:rsidRPr="00E54142">
          <w:rPr>
            <w:rStyle w:val="Hipercze"/>
            <w:rFonts w:ascii="Arial" w:hAnsi="Arial" w:cs="Arial"/>
            <w:color w:val="auto"/>
            <w:sz w:val="20"/>
            <w:u w:val="none"/>
            <w:lang w:val="pl-PL"/>
          </w:rPr>
          <w:t>9. PODSTAWA PŁATNOŚCI</w:t>
        </w:r>
        <w:r w:rsidR="008C2229" w:rsidRPr="00E54142">
          <w:rPr>
            <w:rStyle w:val="Hipercze"/>
            <w:rFonts w:ascii="Arial" w:hAnsi="Arial" w:cs="Arial"/>
            <w:webHidden/>
            <w:color w:val="auto"/>
            <w:sz w:val="20"/>
            <w:u w:val="none"/>
            <w:lang w:val="pl-PL"/>
          </w:rPr>
          <w:tab/>
          <w:t>29</w:t>
        </w:r>
      </w:hyperlink>
    </w:p>
    <w:p w14:paraId="320896D3" w14:textId="77777777" w:rsidR="003F49C8" w:rsidRPr="00E54142" w:rsidRDefault="00000000" w:rsidP="00EB7AF1">
      <w:pPr>
        <w:pStyle w:val="Spistreci1"/>
        <w:spacing w:before="0" w:after="120" w:line="276" w:lineRule="auto"/>
        <w:rPr>
          <w:rStyle w:val="Hipercze"/>
          <w:rFonts w:ascii="Arial" w:hAnsi="Arial" w:cs="Arial"/>
          <w:color w:val="auto"/>
          <w:sz w:val="20"/>
          <w:u w:val="none"/>
          <w:lang w:val="pl-PL"/>
        </w:rPr>
      </w:pPr>
      <w:hyperlink w:anchor="_Toc34917750" w:history="1">
        <w:r w:rsidR="008C2229" w:rsidRPr="00E54142">
          <w:rPr>
            <w:rStyle w:val="Hipercze"/>
            <w:rFonts w:ascii="Arial" w:hAnsi="Arial" w:cs="Arial"/>
            <w:color w:val="auto"/>
            <w:sz w:val="20"/>
            <w:u w:val="none"/>
            <w:lang w:val="pl-PL"/>
          </w:rPr>
          <w:t>10. PRZEPISY ZWIĄZANE</w:t>
        </w:r>
        <w:r w:rsidR="008C2229" w:rsidRPr="00E54142">
          <w:rPr>
            <w:rStyle w:val="Hipercze"/>
            <w:rFonts w:ascii="Arial" w:hAnsi="Arial" w:cs="Arial"/>
            <w:webHidden/>
            <w:color w:val="auto"/>
            <w:sz w:val="20"/>
            <w:u w:val="none"/>
            <w:lang w:val="pl-PL"/>
          </w:rPr>
          <w:tab/>
          <w:t>30</w:t>
        </w:r>
      </w:hyperlink>
    </w:p>
    <w:p w14:paraId="0E8EF2AC" w14:textId="77777777" w:rsidR="003F49C8" w:rsidRDefault="003F49C8" w:rsidP="00EB7AF1">
      <w:pPr>
        <w:tabs>
          <w:tab w:val="right" w:pos="9072"/>
        </w:tabs>
        <w:spacing w:after="120"/>
        <w:jc w:val="center"/>
        <w:rPr>
          <w:rFonts w:ascii="Verdana" w:hAnsi="Verdana"/>
          <w:b/>
          <w:sz w:val="18"/>
          <w:szCs w:val="18"/>
        </w:rPr>
      </w:pPr>
    </w:p>
    <w:p w14:paraId="1D00780B" w14:textId="77777777" w:rsidR="003F49C8" w:rsidRDefault="003F49C8" w:rsidP="00EB7AF1">
      <w:pPr>
        <w:tabs>
          <w:tab w:val="right" w:pos="9072"/>
        </w:tabs>
        <w:spacing w:after="120"/>
        <w:jc w:val="center"/>
        <w:rPr>
          <w:rFonts w:ascii="Verdana" w:hAnsi="Verdana"/>
          <w:b/>
          <w:sz w:val="18"/>
          <w:szCs w:val="18"/>
        </w:rPr>
      </w:pPr>
    </w:p>
    <w:p w14:paraId="360A0361" w14:textId="77777777" w:rsidR="003F49C8" w:rsidRDefault="003F49C8">
      <w:pPr>
        <w:tabs>
          <w:tab w:val="right" w:pos="9072"/>
        </w:tabs>
        <w:jc w:val="center"/>
        <w:rPr>
          <w:rFonts w:ascii="Verdana" w:hAnsi="Verdana"/>
          <w:b/>
          <w:sz w:val="18"/>
          <w:szCs w:val="18"/>
          <w:highlight w:val="yellow"/>
        </w:rPr>
      </w:pPr>
    </w:p>
    <w:p w14:paraId="393081B9" w14:textId="77777777" w:rsidR="003F49C8" w:rsidRDefault="003F49C8">
      <w:pPr>
        <w:tabs>
          <w:tab w:val="right" w:pos="9072"/>
        </w:tabs>
        <w:rPr>
          <w:rFonts w:ascii="Verdana" w:hAnsi="Verdana"/>
          <w:b/>
          <w:highlight w:val="yellow"/>
        </w:rPr>
      </w:pPr>
    </w:p>
    <w:p w14:paraId="14ED55C0" w14:textId="77777777" w:rsidR="003F49C8" w:rsidRDefault="003F49C8">
      <w:pPr>
        <w:tabs>
          <w:tab w:val="right" w:pos="9072"/>
        </w:tabs>
        <w:jc w:val="center"/>
        <w:rPr>
          <w:rFonts w:ascii="Arial" w:hAnsi="Arial" w:cs="Arial"/>
          <w:b/>
          <w:highlight w:val="yellow"/>
        </w:rPr>
      </w:pPr>
    </w:p>
    <w:p w14:paraId="6FFF5B6C" w14:textId="77777777" w:rsidR="003F49C8" w:rsidRDefault="003F49C8">
      <w:pPr>
        <w:tabs>
          <w:tab w:val="right" w:pos="9072"/>
        </w:tabs>
        <w:jc w:val="center"/>
        <w:rPr>
          <w:rFonts w:ascii="Arial" w:hAnsi="Arial" w:cs="Arial"/>
          <w:b/>
          <w:highlight w:val="yellow"/>
        </w:rPr>
      </w:pPr>
    </w:p>
    <w:p w14:paraId="326332AD" w14:textId="77777777" w:rsidR="003F49C8" w:rsidRDefault="003F49C8">
      <w:pPr>
        <w:tabs>
          <w:tab w:val="right" w:pos="9072"/>
        </w:tabs>
        <w:jc w:val="center"/>
        <w:rPr>
          <w:rFonts w:ascii="Arial" w:hAnsi="Arial" w:cs="Arial"/>
          <w:b/>
          <w:highlight w:val="yellow"/>
        </w:rPr>
      </w:pPr>
    </w:p>
    <w:p w14:paraId="229BD4D1" w14:textId="77777777" w:rsidR="003F49C8" w:rsidRDefault="003F49C8">
      <w:pPr>
        <w:tabs>
          <w:tab w:val="right" w:pos="9072"/>
        </w:tabs>
        <w:jc w:val="center"/>
        <w:rPr>
          <w:rFonts w:ascii="Arial" w:hAnsi="Arial" w:cs="Arial"/>
          <w:b/>
          <w:highlight w:val="yellow"/>
        </w:rPr>
      </w:pPr>
    </w:p>
    <w:p w14:paraId="4F4011B8"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7F497B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D6DE39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BC1A91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81CEB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1E55020"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53FB44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37F369F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035440F"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6680BBAE"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3ACDFF2"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1829AB"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C036E8C"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4AB4BA2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255C3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F317094"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26B8CC49"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A81E35D"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3FC2E45"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7C87CB7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0096134A" w14:textId="77777777" w:rsidR="003F49C8" w:rsidRDefault="003F49C8">
      <w:pPr>
        <w:suppressAutoHyphens/>
        <w:autoSpaceDN w:val="0"/>
        <w:spacing w:before="120" w:after="120" w:line="276" w:lineRule="auto"/>
        <w:contextualSpacing/>
        <w:jc w:val="center"/>
        <w:textAlignment w:val="baseline"/>
        <w:rPr>
          <w:rFonts w:ascii="Verdana" w:hAnsi="Verdana"/>
          <w:b/>
          <w:kern w:val="3"/>
          <w:sz w:val="20"/>
          <w:lang w:eastAsia="ar-SA"/>
        </w:rPr>
      </w:pPr>
    </w:p>
    <w:p w14:paraId="186EBD0D" w14:textId="77777777" w:rsidR="003F49C8" w:rsidRDefault="003F49C8">
      <w:pPr>
        <w:ind w:firstLine="454"/>
        <w:contextualSpacing/>
        <w:jc w:val="both"/>
        <w:rPr>
          <w:rFonts w:ascii="Arial" w:eastAsia="Calibri" w:hAnsi="Arial" w:cs="Arial"/>
          <w:sz w:val="18"/>
          <w:szCs w:val="18"/>
        </w:rPr>
      </w:pPr>
    </w:p>
    <w:p w14:paraId="6B5753EB" w14:textId="77777777" w:rsidR="003F49C8" w:rsidRDefault="008C2229">
      <w:pPr>
        <w:tabs>
          <w:tab w:val="left" w:pos="-1440"/>
          <w:tab w:val="left" w:pos="-720"/>
          <w:tab w:val="left" w:pos="0"/>
        </w:tabs>
        <w:spacing w:after="120"/>
        <w:jc w:val="both"/>
        <w:rPr>
          <w:rFonts w:ascii="Arial" w:hAnsi="Arial" w:cs="Arial"/>
          <w:b/>
          <w:spacing w:val="-3"/>
          <w:sz w:val="18"/>
          <w:szCs w:val="18"/>
        </w:rPr>
      </w:pPr>
      <w:r>
        <w:rPr>
          <w:rFonts w:ascii="Arial" w:hAnsi="Arial" w:cs="Arial"/>
          <w:b/>
          <w:spacing w:val="-3"/>
          <w:sz w:val="18"/>
          <w:szCs w:val="18"/>
        </w:rPr>
        <w:lastRenderedPageBreak/>
        <w:t>1. WSTĘP</w:t>
      </w:r>
    </w:p>
    <w:p w14:paraId="103B4C8E" w14:textId="77777777" w:rsidR="003F49C8" w:rsidRDefault="008C2229">
      <w:pPr>
        <w:spacing w:after="60"/>
        <w:jc w:val="both"/>
        <w:rPr>
          <w:rFonts w:ascii="Arial" w:hAnsi="Arial" w:cs="Arial"/>
          <w:b/>
          <w:strike/>
          <w:spacing w:val="-3"/>
          <w:sz w:val="18"/>
          <w:szCs w:val="18"/>
        </w:rPr>
      </w:pPr>
      <w:r>
        <w:rPr>
          <w:rFonts w:ascii="Arial" w:hAnsi="Arial" w:cs="Arial"/>
          <w:b/>
          <w:spacing w:val="-3"/>
          <w:sz w:val="18"/>
          <w:szCs w:val="18"/>
        </w:rPr>
        <w:t>1.1. Przedmiot Specyfikacji Technicznej  Wykonania i Odbioru Robót Budowlanych (STWiORB).</w:t>
      </w:r>
    </w:p>
    <w:p w14:paraId="4DF4AE4A" w14:textId="77777777" w:rsidR="003F49C8" w:rsidRDefault="008C2229">
      <w:pPr>
        <w:pStyle w:val="Tekstpodstawowywcity"/>
        <w:tabs>
          <w:tab w:val="left" w:pos="-1440"/>
          <w:tab w:val="left" w:pos="-720"/>
          <w:tab w:val="left" w:pos="0"/>
        </w:tabs>
        <w:spacing w:after="60" w:line="240" w:lineRule="auto"/>
        <w:ind w:left="0" w:firstLine="567"/>
        <w:rPr>
          <w:rFonts w:ascii="Arial" w:hAnsi="Arial" w:cs="Arial"/>
          <w:spacing w:val="-3"/>
          <w:sz w:val="18"/>
          <w:szCs w:val="18"/>
        </w:rPr>
      </w:pPr>
      <w:r>
        <w:rPr>
          <w:rFonts w:ascii="Arial" w:hAnsi="Arial" w:cs="Arial"/>
          <w:spacing w:val="-3"/>
          <w:sz w:val="18"/>
          <w:szCs w:val="18"/>
        </w:rPr>
        <w:t>STWiORB</w:t>
      </w:r>
      <w:r>
        <w:rPr>
          <w:rFonts w:ascii="Arial" w:hAnsi="Arial" w:cs="Arial"/>
          <w:strike/>
          <w:spacing w:val="-3"/>
          <w:sz w:val="18"/>
          <w:szCs w:val="18"/>
        </w:rPr>
        <w:t xml:space="preserve"> </w:t>
      </w:r>
      <w:r>
        <w:rPr>
          <w:rFonts w:ascii="Arial" w:hAnsi="Arial" w:cs="Arial"/>
          <w:spacing w:val="-3"/>
          <w:sz w:val="18"/>
          <w:szCs w:val="18"/>
        </w:rPr>
        <w:t xml:space="preserve">odnosi się do wymagań wspólnych dla poszczególnych wymagań technicznych dotyczących wykonania i odbioru robót, które zostaną wykonane w ramach realizacji zadania: </w:t>
      </w:r>
    </w:p>
    <w:p w14:paraId="2AE09297" w14:textId="1F4EF1D2" w:rsidR="006E67FE" w:rsidRPr="006E67FE" w:rsidRDefault="00EA5F81" w:rsidP="006E67FE">
      <w:pPr>
        <w:pStyle w:val="Tekstpodstawowywcity"/>
        <w:tabs>
          <w:tab w:val="left" w:pos="-1440"/>
          <w:tab w:val="left" w:pos="-720"/>
          <w:tab w:val="left" w:pos="0"/>
        </w:tabs>
        <w:spacing w:line="240" w:lineRule="auto"/>
        <w:ind w:left="142" w:hanging="142"/>
        <w:rPr>
          <w:rFonts w:ascii="Arial" w:hAnsi="Arial" w:cs="Arial"/>
          <w:sz w:val="18"/>
          <w:szCs w:val="18"/>
        </w:rPr>
      </w:pPr>
      <w:r w:rsidRPr="00EA5F81">
        <w:rPr>
          <w:rFonts w:ascii="Arial" w:hAnsi="Arial" w:cs="Arial"/>
          <w:sz w:val="18"/>
          <w:szCs w:val="18"/>
        </w:rPr>
        <w:t>„</w:t>
      </w:r>
      <w:r w:rsidR="006E67FE" w:rsidRPr="006E67FE">
        <w:rPr>
          <w:rFonts w:ascii="Arial" w:hAnsi="Arial" w:cs="Arial"/>
          <w:sz w:val="18"/>
          <w:szCs w:val="18"/>
        </w:rPr>
        <w:t>Przebudowa drogi gminnej wewn</w:t>
      </w:r>
      <w:r w:rsidR="006E67FE" w:rsidRPr="006E67FE">
        <w:rPr>
          <w:rFonts w:ascii="Arial" w:hAnsi="Arial" w:cs="Arial" w:hint="eastAsia"/>
          <w:sz w:val="18"/>
          <w:szCs w:val="18"/>
        </w:rPr>
        <w:t>ę</w:t>
      </w:r>
      <w:r w:rsidR="006E67FE" w:rsidRPr="006E67FE">
        <w:rPr>
          <w:rFonts w:ascii="Arial" w:hAnsi="Arial" w:cs="Arial"/>
          <w:sz w:val="18"/>
          <w:szCs w:val="18"/>
        </w:rPr>
        <w:t>trznej ul. Kopernika w jej pasie drogowym od km  0+000 do  km 0+350</w:t>
      </w:r>
    </w:p>
    <w:p w14:paraId="2C9A328B" w14:textId="04648500" w:rsidR="003F49C8" w:rsidRDefault="006E67FE" w:rsidP="006E67FE">
      <w:pPr>
        <w:pStyle w:val="Tekstpodstawowywcity"/>
        <w:tabs>
          <w:tab w:val="left" w:pos="-1440"/>
          <w:tab w:val="left" w:pos="-720"/>
          <w:tab w:val="left" w:pos="0"/>
        </w:tabs>
        <w:spacing w:line="240" w:lineRule="auto"/>
        <w:ind w:left="142" w:hanging="142"/>
        <w:jc w:val="left"/>
        <w:rPr>
          <w:rFonts w:ascii="Arial" w:hAnsi="Arial" w:cs="Arial"/>
          <w:sz w:val="18"/>
          <w:szCs w:val="18"/>
        </w:rPr>
      </w:pPr>
      <w:r w:rsidRPr="006E67FE">
        <w:rPr>
          <w:rFonts w:ascii="Arial" w:hAnsi="Arial" w:cs="Arial"/>
          <w:sz w:val="18"/>
          <w:szCs w:val="18"/>
        </w:rPr>
        <w:t>w miejscowo</w:t>
      </w:r>
      <w:r w:rsidRPr="006E67FE">
        <w:rPr>
          <w:rFonts w:ascii="Arial" w:hAnsi="Arial" w:cs="Arial" w:hint="eastAsia"/>
          <w:sz w:val="18"/>
          <w:szCs w:val="18"/>
        </w:rPr>
        <w:t>ś</w:t>
      </w:r>
      <w:r w:rsidRPr="006E67FE">
        <w:rPr>
          <w:rFonts w:ascii="Arial" w:hAnsi="Arial" w:cs="Arial"/>
          <w:sz w:val="18"/>
          <w:szCs w:val="18"/>
        </w:rPr>
        <w:t>ci Radomy</w:t>
      </w:r>
      <w:r w:rsidRPr="006E67FE">
        <w:rPr>
          <w:rFonts w:ascii="Arial" w:hAnsi="Arial" w:cs="Arial" w:hint="eastAsia"/>
          <w:sz w:val="18"/>
          <w:szCs w:val="18"/>
        </w:rPr>
        <w:t>ś</w:t>
      </w:r>
      <w:r w:rsidRPr="006E67FE">
        <w:rPr>
          <w:rFonts w:ascii="Arial" w:hAnsi="Arial" w:cs="Arial"/>
          <w:sz w:val="18"/>
          <w:szCs w:val="18"/>
        </w:rPr>
        <w:t>l Wielki</w:t>
      </w:r>
      <w:r w:rsidR="00EA5F81" w:rsidRPr="00EA5F81">
        <w:rPr>
          <w:rFonts w:ascii="Arial" w:hAnsi="Arial" w:cs="Arial"/>
          <w:sz w:val="18"/>
          <w:szCs w:val="18"/>
        </w:rPr>
        <w:t>”</w:t>
      </w:r>
      <w:r w:rsidR="00B069C6" w:rsidRPr="00B069C6">
        <w:rPr>
          <w:rFonts w:ascii="Arial" w:hAnsi="Arial" w:cs="Arial"/>
          <w:sz w:val="18"/>
          <w:szCs w:val="18"/>
        </w:rPr>
        <w:t>;</w:t>
      </w:r>
    </w:p>
    <w:p w14:paraId="214BDFD9" w14:textId="77777777" w:rsidR="00AF4EF7" w:rsidRDefault="00AF4EF7">
      <w:pPr>
        <w:pStyle w:val="Tekstpodstawowywcity"/>
        <w:tabs>
          <w:tab w:val="left" w:pos="-1440"/>
          <w:tab w:val="left" w:pos="-720"/>
          <w:tab w:val="left" w:pos="0"/>
        </w:tabs>
        <w:spacing w:line="240" w:lineRule="auto"/>
        <w:ind w:left="0" w:firstLine="0"/>
        <w:rPr>
          <w:rFonts w:ascii="Arial" w:hAnsi="Arial" w:cs="Arial"/>
          <w:b/>
          <w:sz w:val="18"/>
          <w:szCs w:val="18"/>
        </w:rPr>
      </w:pPr>
    </w:p>
    <w:p w14:paraId="3291CDC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1.2. Zakres  STWiORB.</w:t>
      </w:r>
    </w:p>
    <w:p w14:paraId="1E8FDF27" w14:textId="77777777" w:rsidR="003F49C8" w:rsidRDefault="008C2229">
      <w:pPr>
        <w:tabs>
          <w:tab w:val="left" w:pos="-1440"/>
          <w:tab w:val="left" w:pos="-720"/>
          <w:tab w:val="left" w:pos="0"/>
        </w:tabs>
        <w:ind w:firstLine="567"/>
        <w:jc w:val="both"/>
        <w:rPr>
          <w:rFonts w:ascii="Arial" w:hAnsi="Arial" w:cs="Arial"/>
          <w:spacing w:val="-3"/>
          <w:sz w:val="18"/>
          <w:szCs w:val="18"/>
        </w:rPr>
      </w:pPr>
      <w:r>
        <w:rPr>
          <w:rFonts w:ascii="Arial" w:hAnsi="Arial" w:cs="Arial"/>
          <w:spacing w:val="-3"/>
          <w:sz w:val="18"/>
          <w:szCs w:val="18"/>
        </w:rPr>
        <w:t>STWiORB określają wymagania dla wykonania i odbioru robot budowlanych przewidzianych do wykonania w ramach Umowy, a zawarte w nich zapisy w zakresie standardu materiałów, wykonania robót i wymaganej ich jakości oraz kontroli jakości robót należy traktować jako minimalne.</w:t>
      </w:r>
    </w:p>
    <w:p w14:paraId="107093D1" w14:textId="77777777" w:rsidR="003F49C8" w:rsidRDefault="003F49C8">
      <w:pPr>
        <w:tabs>
          <w:tab w:val="left" w:pos="-1440"/>
          <w:tab w:val="left" w:pos="-720"/>
          <w:tab w:val="left" w:pos="0"/>
          <w:tab w:val="left" w:pos="720"/>
          <w:tab w:val="left" w:pos="1008"/>
          <w:tab w:val="left" w:pos="1440"/>
        </w:tabs>
        <w:jc w:val="both"/>
        <w:rPr>
          <w:rFonts w:ascii="Arial" w:hAnsi="Arial" w:cs="Arial"/>
          <w:spacing w:val="-3"/>
          <w:sz w:val="18"/>
          <w:szCs w:val="18"/>
        </w:rPr>
      </w:pPr>
    </w:p>
    <w:p w14:paraId="49E378B1"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1.3. Zakres Robót objętych STWiORB.</w:t>
      </w:r>
    </w:p>
    <w:p w14:paraId="3699E7E2" w14:textId="77777777" w:rsidR="003F49C8" w:rsidRDefault="008C2229">
      <w:pPr>
        <w:tabs>
          <w:tab w:val="left" w:pos="-1440"/>
          <w:tab w:val="left" w:pos="-720"/>
          <w:tab w:val="left" w:pos="0"/>
        </w:tabs>
        <w:spacing w:after="120"/>
        <w:ind w:firstLine="567"/>
        <w:jc w:val="both"/>
        <w:rPr>
          <w:rFonts w:ascii="Arial" w:hAnsi="Arial" w:cs="Arial"/>
          <w:spacing w:val="-3"/>
          <w:sz w:val="18"/>
          <w:szCs w:val="18"/>
        </w:rPr>
      </w:pPr>
      <w:r>
        <w:rPr>
          <w:rFonts w:ascii="Arial" w:hAnsi="Arial" w:cs="Arial"/>
          <w:spacing w:val="-3"/>
          <w:sz w:val="18"/>
          <w:szCs w:val="18"/>
        </w:rPr>
        <w:t>Wymagania ogólne należy rozumieć i stosować w powiązaniu z niżej wymienionymi  STWiORB.</w:t>
      </w:r>
    </w:p>
    <w:p w14:paraId="49618AD0" w14:textId="77777777" w:rsidR="003F49C8" w:rsidRPr="00BF7CC9" w:rsidRDefault="008C2229" w:rsidP="00BF7CC9">
      <w:pPr>
        <w:spacing w:after="60"/>
        <w:jc w:val="both"/>
        <w:rPr>
          <w:rFonts w:ascii="Arial" w:hAnsi="Arial" w:cs="Arial"/>
          <w:b/>
          <w:spacing w:val="-3"/>
          <w:sz w:val="18"/>
          <w:szCs w:val="18"/>
        </w:rPr>
      </w:pPr>
      <w:r w:rsidRPr="00BF7CC9">
        <w:rPr>
          <w:rFonts w:ascii="Arial" w:hAnsi="Arial" w:cs="Arial"/>
          <w:b/>
          <w:spacing w:val="-3"/>
          <w:sz w:val="18"/>
          <w:szCs w:val="18"/>
        </w:rPr>
        <w:t>1.3.1. Roboty drogowe</w:t>
      </w:r>
    </w:p>
    <w:p w14:paraId="3E1732DE"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F13BFD">
        <w:rPr>
          <w:rFonts w:ascii="Arial" w:eastAsiaTheme="majorEastAsia" w:hAnsi="Arial" w:cs="Arial"/>
          <w:bCs/>
          <w:iCs/>
          <w:sz w:val="18"/>
          <w:szCs w:val="18"/>
        </w:rPr>
        <w:t>D-M.00.00.00 Wymagania ogólne.</w:t>
      </w:r>
    </w:p>
    <w:p w14:paraId="1B07384E"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D-01.01.01 Odtworzenie trasy i punktów wysokościowych.</w:t>
      </w:r>
    </w:p>
    <w:p w14:paraId="69EA67A2" w14:textId="77777777" w:rsidR="003F49C8" w:rsidRPr="006E67FE"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D.01.02.02 Zdjęcie warstwy ziemi urodzajnej.</w:t>
      </w:r>
    </w:p>
    <w:p w14:paraId="058A5EFE" w14:textId="2E4718BA" w:rsidR="006E67FE" w:rsidRPr="00F13BFD" w:rsidRDefault="006E67FE">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D.01.02.04 Rozbiórka elementów dróg</w:t>
      </w:r>
    </w:p>
    <w:p w14:paraId="0DDDEFEB"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D.02.00.00 Roboty ziemne. Wymagania ogólne.</w:t>
      </w:r>
    </w:p>
    <w:p w14:paraId="1649D2D4"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D.02.01.01 Roboty ziemne. Wykonanie wykopów.</w:t>
      </w:r>
    </w:p>
    <w:p w14:paraId="2929DB4B"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color w:val="000000" w:themeColor="text1"/>
          <w:sz w:val="18"/>
          <w:szCs w:val="18"/>
        </w:rPr>
        <w:t xml:space="preserve">D.02.03.01 </w:t>
      </w:r>
      <w:r w:rsidRPr="00F13BFD">
        <w:rPr>
          <w:rFonts w:ascii="Arial" w:eastAsiaTheme="majorEastAsia" w:hAnsi="Arial" w:cs="Arial"/>
          <w:bCs/>
          <w:iCs/>
          <w:sz w:val="18"/>
          <w:szCs w:val="18"/>
        </w:rPr>
        <w:t xml:space="preserve">Roboty ziemne. </w:t>
      </w:r>
      <w:r w:rsidRPr="00F13BFD">
        <w:rPr>
          <w:rFonts w:ascii="Arial" w:eastAsiaTheme="majorEastAsia" w:hAnsi="Arial" w:cs="Arial"/>
          <w:bCs/>
          <w:iCs/>
          <w:color w:val="000000" w:themeColor="text1"/>
          <w:sz w:val="18"/>
          <w:szCs w:val="18"/>
        </w:rPr>
        <w:t>Wykonanie nasypów.</w:t>
      </w:r>
    </w:p>
    <w:p w14:paraId="45CEA2A3"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color w:val="000000" w:themeColor="text1"/>
          <w:sz w:val="18"/>
          <w:szCs w:val="18"/>
        </w:rPr>
        <w:t>D-03.02.01 Kanalizacja deszczowa/rów kryty.</w:t>
      </w:r>
    </w:p>
    <w:p w14:paraId="2342319D"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D.04.01.01 Koryto wraz z profilowaniem i zagęszczaniem podłoża.</w:t>
      </w:r>
    </w:p>
    <w:p w14:paraId="796340B3" w14:textId="77777777" w:rsidR="003F49C8" w:rsidRPr="00EA5F81"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D-04.04.02 Podbudowa i nawierzchnia z mieszanki niezwiązanej.</w:t>
      </w:r>
    </w:p>
    <w:p w14:paraId="14537C74" w14:textId="0AFDEFCE" w:rsidR="00EA5F81" w:rsidRPr="00EA5F81" w:rsidRDefault="00EA5F81">
      <w:pPr>
        <w:pStyle w:val="Akapitzlist"/>
        <w:numPr>
          <w:ilvl w:val="0"/>
          <w:numId w:val="21"/>
        </w:numPr>
        <w:tabs>
          <w:tab w:val="left" w:pos="-1440"/>
          <w:tab w:val="left" w:pos="-720"/>
          <w:tab w:val="left" w:pos="0"/>
          <w:tab w:val="left" w:pos="426"/>
          <w:tab w:val="left" w:pos="1008"/>
          <w:tab w:val="left" w:pos="1440"/>
        </w:tabs>
        <w:jc w:val="both"/>
        <w:rPr>
          <w:rFonts w:ascii="Arial" w:hAnsi="Arial" w:cs="Arial"/>
          <w:spacing w:val="-3"/>
          <w:sz w:val="18"/>
          <w:szCs w:val="18"/>
        </w:rPr>
      </w:pPr>
      <w:r w:rsidRPr="00EA5F81">
        <w:rPr>
          <w:rFonts w:ascii="Arial" w:hAnsi="Arial" w:cs="Arial"/>
          <w:spacing w:val="-3"/>
          <w:sz w:val="18"/>
          <w:szCs w:val="18"/>
        </w:rPr>
        <w:t>D-04.04.02.  Podbudowa i nawierzchnia z mieszanki niezwi</w:t>
      </w:r>
      <w:r w:rsidRPr="00EA5F81">
        <w:rPr>
          <w:rFonts w:ascii="Arial" w:hAnsi="Arial" w:cs="Arial" w:hint="eastAsia"/>
          <w:spacing w:val="-3"/>
          <w:sz w:val="18"/>
          <w:szCs w:val="18"/>
        </w:rPr>
        <w:t>ą</w:t>
      </w:r>
      <w:r w:rsidRPr="00EA5F81">
        <w:rPr>
          <w:rFonts w:ascii="Arial" w:hAnsi="Arial" w:cs="Arial"/>
          <w:spacing w:val="-3"/>
          <w:sz w:val="18"/>
          <w:szCs w:val="18"/>
        </w:rPr>
        <w:t>zanej</w:t>
      </w:r>
    </w:p>
    <w:p w14:paraId="6FB60DAF" w14:textId="1A04A6DF"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D.04.05.01b Ulepszone podłoże i warstwa mrozoochronna z gruntu stabilizowanego spoiwem hydraulicznym.</w:t>
      </w:r>
    </w:p>
    <w:p w14:paraId="17A9793D"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D-05.03.05.a Nawierzchnia z betonu asfaltowego. Warstwa wiążąca i wyrównawcza.</w:t>
      </w:r>
    </w:p>
    <w:p w14:paraId="5B9CCE82"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D-05.03.05.b Nawierzchnia z betonu asfaltowego. Warstwa ścieralna.</w:t>
      </w:r>
    </w:p>
    <w:p w14:paraId="40E967DA" w14:textId="21D5C3E7" w:rsidR="003F49C8" w:rsidRPr="006E67FE"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w:t>
      </w:r>
      <w:r w:rsidR="006E740D" w:rsidRPr="00F13BFD">
        <w:rPr>
          <w:rFonts w:ascii="Arial" w:eastAsiaTheme="majorEastAsia" w:hAnsi="Arial" w:cs="Arial"/>
          <w:bCs/>
          <w:iCs/>
          <w:sz w:val="18"/>
          <w:szCs w:val="18"/>
        </w:rPr>
        <w:t>-</w:t>
      </w:r>
      <w:r w:rsidRPr="00F13BFD">
        <w:rPr>
          <w:rFonts w:ascii="Arial" w:eastAsiaTheme="majorEastAsia" w:hAnsi="Arial" w:cs="Arial"/>
          <w:bCs/>
          <w:iCs/>
          <w:sz w:val="18"/>
          <w:szCs w:val="18"/>
        </w:rPr>
        <w:t xml:space="preserve">06.01.01 Umocnienie skarp i </w:t>
      </w:r>
      <w:r w:rsidR="006E740D" w:rsidRPr="00F13BFD">
        <w:rPr>
          <w:rFonts w:ascii="Arial" w:eastAsiaTheme="majorEastAsia" w:hAnsi="Arial" w:cs="Arial"/>
          <w:bCs/>
          <w:iCs/>
          <w:sz w:val="18"/>
          <w:szCs w:val="18"/>
        </w:rPr>
        <w:t>rowów</w:t>
      </w:r>
      <w:r w:rsidRPr="00F13BFD">
        <w:rPr>
          <w:rFonts w:ascii="Arial" w:eastAsiaTheme="majorEastAsia" w:hAnsi="Arial" w:cs="Arial"/>
          <w:bCs/>
          <w:iCs/>
          <w:sz w:val="18"/>
          <w:szCs w:val="18"/>
        </w:rPr>
        <w:t>.</w:t>
      </w:r>
    </w:p>
    <w:p w14:paraId="3DAB690B" w14:textId="08A092F0" w:rsidR="006E67FE" w:rsidRPr="00F13BFD" w:rsidRDefault="006E67FE">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D-06.02.01 Przepusty</w:t>
      </w:r>
    </w:p>
    <w:p w14:paraId="46844609" w14:textId="466E5E10" w:rsidR="00F13BFD" w:rsidRPr="00F13BFD" w:rsidRDefault="00F13BFD" w:rsidP="006E740D">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Pr>
          <w:rFonts w:ascii="Arial" w:eastAsiaTheme="majorEastAsia" w:hAnsi="Arial" w:cs="Arial"/>
          <w:bCs/>
          <w:iCs/>
          <w:sz w:val="18"/>
          <w:szCs w:val="18"/>
        </w:rPr>
        <w:t>D-08-01.0</w:t>
      </w:r>
      <w:r w:rsidR="00EA5F81">
        <w:rPr>
          <w:rFonts w:ascii="Arial" w:eastAsiaTheme="majorEastAsia" w:hAnsi="Arial" w:cs="Arial"/>
          <w:bCs/>
          <w:iCs/>
          <w:sz w:val="18"/>
          <w:szCs w:val="18"/>
        </w:rPr>
        <w:t>1</w:t>
      </w:r>
      <w:r>
        <w:rPr>
          <w:rFonts w:ascii="Arial" w:eastAsiaTheme="majorEastAsia" w:hAnsi="Arial" w:cs="Arial"/>
          <w:bCs/>
          <w:iCs/>
          <w:sz w:val="18"/>
          <w:szCs w:val="18"/>
        </w:rPr>
        <w:t xml:space="preserve"> </w:t>
      </w:r>
      <w:r w:rsidR="00EA5F81">
        <w:rPr>
          <w:rFonts w:ascii="Arial" w:eastAsiaTheme="majorEastAsia" w:hAnsi="Arial" w:cs="Arial"/>
          <w:bCs/>
          <w:iCs/>
          <w:sz w:val="18"/>
          <w:szCs w:val="18"/>
        </w:rPr>
        <w:t>Ustawienie krawężników betonowych</w:t>
      </w:r>
    </w:p>
    <w:p w14:paraId="13E70028" w14:textId="77777777" w:rsidR="003F49C8" w:rsidRPr="00F13BFD" w:rsidRDefault="008C2229">
      <w:pPr>
        <w:pStyle w:val="Akapitzlist"/>
        <w:numPr>
          <w:ilvl w:val="0"/>
          <w:numId w:val="21"/>
        </w:numPr>
        <w:tabs>
          <w:tab w:val="left" w:pos="-1440"/>
          <w:tab w:val="left" w:pos="-720"/>
          <w:tab w:val="left" w:pos="0"/>
          <w:tab w:val="left" w:pos="426"/>
          <w:tab w:val="left" w:pos="1008"/>
          <w:tab w:val="left" w:pos="1440"/>
        </w:tabs>
        <w:jc w:val="both"/>
        <w:rPr>
          <w:rFonts w:ascii="Arial" w:hAnsi="Arial" w:cs="Arial"/>
          <w:color w:val="FF0000"/>
          <w:spacing w:val="-3"/>
          <w:sz w:val="18"/>
          <w:szCs w:val="18"/>
        </w:rPr>
      </w:pPr>
      <w:r w:rsidRPr="00F13BFD">
        <w:rPr>
          <w:rFonts w:ascii="Arial" w:eastAsiaTheme="majorEastAsia" w:hAnsi="Arial" w:cs="Arial"/>
          <w:bCs/>
          <w:iCs/>
          <w:sz w:val="18"/>
          <w:szCs w:val="18"/>
        </w:rPr>
        <w:t>D-08.02.02 Chodniki, zjazdy z brukowej kostki betonowej.</w:t>
      </w:r>
    </w:p>
    <w:p w14:paraId="63F5F923" w14:textId="77777777" w:rsidR="003F49C8" w:rsidRDefault="003F49C8">
      <w:pPr>
        <w:tabs>
          <w:tab w:val="left" w:pos="-1440"/>
          <w:tab w:val="left" w:pos="-720"/>
          <w:tab w:val="left" w:pos="0"/>
          <w:tab w:val="left" w:pos="426"/>
          <w:tab w:val="left" w:pos="1008"/>
          <w:tab w:val="left" w:pos="1440"/>
        </w:tabs>
        <w:jc w:val="both"/>
        <w:rPr>
          <w:rFonts w:ascii="Arial" w:hAnsi="Arial" w:cs="Arial"/>
          <w:color w:val="FF0000"/>
          <w:spacing w:val="-3"/>
          <w:sz w:val="18"/>
          <w:szCs w:val="18"/>
        </w:rPr>
      </w:pPr>
    </w:p>
    <w:p w14:paraId="6E63998A"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1.3.2. Przebudowa linii teletechnicznyc</w:t>
      </w:r>
      <w:r w:rsidR="003B7EAC" w:rsidRPr="00AF4EF7">
        <w:rPr>
          <w:rFonts w:ascii="Arial" w:hAnsi="Arial" w:cs="Arial"/>
          <w:b/>
          <w:spacing w:val="-3"/>
          <w:sz w:val="18"/>
          <w:szCs w:val="18"/>
        </w:rPr>
        <w:t>h</w:t>
      </w:r>
    </w:p>
    <w:p w14:paraId="7E063D90" w14:textId="77777777" w:rsidR="006E740D" w:rsidRPr="00AF4EF7" w:rsidRDefault="006E740D" w:rsidP="006E740D">
      <w:pPr>
        <w:pStyle w:val="Akapitzlist"/>
        <w:numPr>
          <w:ilvl w:val="0"/>
          <w:numId w:val="31"/>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5074B605" w14:textId="77777777" w:rsidR="006E740D" w:rsidRPr="00AF4EF7" w:rsidRDefault="006E740D" w:rsidP="006E740D">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2877CFA2" w14:textId="77777777" w:rsidR="006E740D" w:rsidRPr="00AF4EF7" w:rsidRDefault="006E740D" w:rsidP="006E740D">
      <w:pPr>
        <w:spacing w:after="60"/>
        <w:jc w:val="both"/>
        <w:rPr>
          <w:rFonts w:ascii="Arial" w:hAnsi="Arial" w:cs="Arial"/>
          <w:b/>
          <w:spacing w:val="-3"/>
          <w:sz w:val="18"/>
          <w:szCs w:val="18"/>
        </w:rPr>
      </w:pPr>
      <w:r w:rsidRPr="00AF4EF7">
        <w:rPr>
          <w:rFonts w:ascii="Arial" w:hAnsi="Arial" w:cs="Arial"/>
          <w:b/>
          <w:spacing w:val="-3"/>
          <w:sz w:val="18"/>
          <w:szCs w:val="18"/>
        </w:rPr>
        <w:t>1.3.</w:t>
      </w:r>
      <w:r w:rsidR="003B7EAC" w:rsidRPr="00AF4EF7">
        <w:rPr>
          <w:rFonts w:ascii="Arial" w:hAnsi="Arial" w:cs="Arial"/>
          <w:b/>
          <w:spacing w:val="-3"/>
          <w:sz w:val="18"/>
          <w:szCs w:val="18"/>
        </w:rPr>
        <w:t>3</w:t>
      </w:r>
      <w:r w:rsidRPr="00AF4EF7">
        <w:rPr>
          <w:rFonts w:ascii="Arial" w:hAnsi="Arial" w:cs="Arial"/>
          <w:b/>
          <w:spacing w:val="-3"/>
          <w:sz w:val="18"/>
          <w:szCs w:val="18"/>
        </w:rPr>
        <w:t xml:space="preserve">. </w:t>
      </w:r>
      <w:r w:rsidR="003B7EAC" w:rsidRPr="00AF4EF7">
        <w:rPr>
          <w:rFonts w:ascii="Arial" w:hAnsi="Arial" w:cs="Arial"/>
          <w:b/>
          <w:spacing w:val="-3"/>
          <w:sz w:val="18"/>
          <w:szCs w:val="18"/>
        </w:rPr>
        <w:t>Przebudowa linii energetycznych</w:t>
      </w:r>
    </w:p>
    <w:p w14:paraId="17655052" w14:textId="77777777" w:rsidR="006E740D" w:rsidRPr="00AF4EF7" w:rsidRDefault="006E740D" w:rsidP="006E740D">
      <w:pPr>
        <w:pStyle w:val="Akapitzlist"/>
        <w:numPr>
          <w:ilvl w:val="0"/>
          <w:numId w:val="32"/>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24C724CB" w14:textId="77777777" w:rsidR="003B7EAC" w:rsidRPr="00AF4EF7" w:rsidRDefault="003B7EAC" w:rsidP="003B7EAC">
      <w:pPr>
        <w:pStyle w:val="Akapitzlist"/>
        <w:tabs>
          <w:tab w:val="left" w:pos="-1440"/>
          <w:tab w:val="left" w:pos="-720"/>
          <w:tab w:val="left" w:pos="0"/>
          <w:tab w:val="left" w:pos="426"/>
          <w:tab w:val="left" w:pos="1008"/>
          <w:tab w:val="left" w:pos="1440"/>
        </w:tabs>
        <w:jc w:val="both"/>
        <w:rPr>
          <w:rFonts w:ascii="Arial" w:eastAsiaTheme="majorEastAsia" w:hAnsi="Arial" w:cs="Arial"/>
          <w:bCs/>
          <w:iCs/>
          <w:sz w:val="18"/>
          <w:szCs w:val="18"/>
        </w:rPr>
      </w:pPr>
    </w:p>
    <w:p w14:paraId="06DB52C5" w14:textId="77777777" w:rsidR="003B7EAC" w:rsidRPr="00AF4EF7" w:rsidRDefault="003B7EAC" w:rsidP="003B7EAC">
      <w:pPr>
        <w:spacing w:after="60"/>
        <w:jc w:val="both"/>
        <w:rPr>
          <w:rFonts w:ascii="Arial" w:hAnsi="Arial" w:cs="Arial"/>
          <w:b/>
          <w:spacing w:val="-3"/>
          <w:sz w:val="18"/>
          <w:szCs w:val="18"/>
        </w:rPr>
      </w:pPr>
      <w:r w:rsidRPr="00AF4EF7">
        <w:rPr>
          <w:rFonts w:ascii="Arial" w:hAnsi="Arial" w:cs="Arial"/>
          <w:b/>
          <w:spacing w:val="-3"/>
          <w:sz w:val="18"/>
          <w:szCs w:val="18"/>
        </w:rPr>
        <w:t>1.3.4. Przebudowa sieci gazowych</w:t>
      </w:r>
    </w:p>
    <w:p w14:paraId="27030CEF" w14:textId="77777777" w:rsidR="003B7EAC" w:rsidRPr="00AF4EF7" w:rsidRDefault="003B7EAC" w:rsidP="003B7EAC">
      <w:pPr>
        <w:pStyle w:val="Akapitzlist"/>
        <w:numPr>
          <w:ilvl w:val="0"/>
          <w:numId w:val="33"/>
        </w:numPr>
        <w:tabs>
          <w:tab w:val="left" w:pos="-1440"/>
          <w:tab w:val="left" w:pos="-720"/>
          <w:tab w:val="left" w:pos="0"/>
          <w:tab w:val="left" w:pos="426"/>
          <w:tab w:val="left" w:pos="1008"/>
          <w:tab w:val="left" w:pos="1440"/>
        </w:tabs>
        <w:jc w:val="both"/>
        <w:rPr>
          <w:rFonts w:ascii="Arial" w:eastAsiaTheme="majorEastAsia" w:hAnsi="Arial" w:cs="Arial"/>
          <w:bCs/>
          <w:iCs/>
          <w:sz w:val="18"/>
          <w:szCs w:val="18"/>
        </w:rPr>
      </w:pPr>
      <w:r w:rsidRPr="00AF4EF7">
        <w:rPr>
          <w:rFonts w:ascii="Arial" w:eastAsiaTheme="majorEastAsia" w:hAnsi="Arial" w:cs="Arial"/>
          <w:bCs/>
          <w:iCs/>
          <w:sz w:val="18"/>
          <w:szCs w:val="18"/>
        </w:rPr>
        <w:t>D-M.00.00.00 Wymagania ogólne.</w:t>
      </w:r>
    </w:p>
    <w:p w14:paraId="3B13FD99" w14:textId="77777777" w:rsidR="003F49C8" w:rsidRDefault="003F49C8">
      <w:pPr>
        <w:tabs>
          <w:tab w:val="left" w:pos="1560"/>
          <w:tab w:val="left" w:pos="1700"/>
          <w:tab w:val="left" w:leader="dot" w:pos="9070"/>
        </w:tabs>
        <w:jc w:val="both"/>
        <w:rPr>
          <w:rFonts w:ascii="Arial" w:hAnsi="Arial" w:cs="Arial"/>
          <w:bCs/>
          <w:sz w:val="18"/>
          <w:szCs w:val="18"/>
        </w:rPr>
      </w:pPr>
    </w:p>
    <w:p w14:paraId="08F4A915"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1.4. Określenia podstawowe</w:t>
      </w:r>
    </w:p>
    <w:p w14:paraId="2D073D95" w14:textId="77777777" w:rsidR="003F49C8" w:rsidRDefault="008C2229">
      <w:pPr>
        <w:tabs>
          <w:tab w:val="left" w:pos="-1440"/>
          <w:tab w:val="left" w:pos="-720"/>
          <w:tab w:val="left" w:pos="0"/>
          <w:tab w:val="left" w:pos="720"/>
          <w:tab w:val="left" w:pos="1008"/>
          <w:tab w:val="left" w:pos="1440"/>
        </w:tabs>
        <w:spacing w:after="120"/>
        <w:ind w:firstLine="567"/>
        <w:jc w:val="both"/>
        <w:rPr>
          <w:rFonts w:ascii="Arial" w:hAnsi="Arial" w:cs="Arial"/>
          <w:spacing w:val="-3"/>
          <w:sz w:val="18"/>
          <w:szCs w:val="18"/>
        </w:rPr>
      </w:pPr>
      <w:r>
        <w:rPr>
          <w:rFonts w:ascii="Arial" w:hAnsi="Arial" w:cs="Arial"/>
          <w:spacing w:val="-3"/>
          <w:sz w:val="18"/>
          <w:szCs w:val="18"/>
        </w:rPr>
        <w:t>Użyte w STWiORB</w:t>
      </w:r>
      <w:r>
        <w:rPr>
          <w:rFonts w:ascii="Arial" w:hAnsi="Arial" w:cs="Arial"/>
          <w:color w:val="FF0000"/>
          <w:spacing w:val="-3"/>
          <w:sz w:val="18"/>
          <w:szCs w:val="18"/>
        </w:rPr>
        <w:t xml:space="preserve"> </w:t>
      </w:r>
      <w:r>
        <w:rPr>
          <w:rFonts w:ascii="Arial" w:hAnsi="Arial" w:cs="Arial"/>
          <w:spacing w:val="-3"/>
          <w:sz w:val="18"/>
          <w:szCs w:val="18"/>
        </w:rPr>
        <w:t>wymienione poniżej określenia należy rozumieć w każdym przypadku następująco:</w:t>
      </w:r>
    </w:p>
    <w:p w14:paraId="09D2446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robót ziemnych:</w:t>
      </w:r>
    </w:p>
    <w:p w14:paraId="629659D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Badania akustyczne, badania dynamiczne ciągłości</w:t>
      </w:r>
      <w:r>
        <w:rPr>
          <w:rFonts w:ascii="Arial" w:hAnsi="Arial" w:cs="Arial"/>
          <w:spacing w:val="-3"/>
          <w:sz w:val="18"/>
          <w:szCs w:val="18"/>
        </w:rPr>
        <w:t xml:space="preserve"> (przy małych odkształceniach) - badanie ciągłości, w którym seria fal akustycznych jest przesyłana od nadajnika do odbiornika przez beton pala, a charakterystyki odbieranych fal są mierzone i wykorzystywane do oceny ciągłości i zmian przekroju trzonu pala.</w:t>
      </w:r>
    </w:p>
    <w:p w14:paraId="3D0158B5" w14:textId="77777777" w:rsidR="003F49C8" w:rsidRDefault="008C2229">
      <w:pPr>
        <w:pStyle w:val="Default"/>
        <w:jc w:val="both"/>
        <w:rPr>
          <w:rFonts w:ascii="Arial" w:hAnsi="Arial" w:cs="Arial"/>
          <w:sz w:val="18"/>
          <w:szCs w:val="18"/>
        </w:rPr>
      </w:pPr>
      <w:r>
        <w:rPr>
          <w:rFonts w:ascii="Arial" w:hAnsi="Arial" w:cs="Arial"/>
          <w:b/>
          <w:sz w:val="18"/>
          <w:szCs w:val="18"/>
        </w:rPr>
        <w:t>Budowla ziemna</w:t>
      </w:r>
      <w:r>
        <w:rPr>
          <w:rFonts w:ascii="Arial" w:hAnsi="Arial" w:cs="Arial"/>
          <w:sz w:val="18"/>
          <w:szCs w:val="18"/>
        </w:rPr>
        <w:t xml:space="preserve">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14:paraId="77B4FC28" w14:textId="77777777" w:rsidR="003F49C8" w:rsidRDefault="008C2229">
      <w:pPr>
        <w:pStyle w:val="Default"/>
        <w:jc w:val="both"/>
        <w:rPr>
          <w:rFonts w:ascii="Arial" w:hAnsi="Arial" w:cs="Arial"/>
          <w:sz w:val="18"/>
          <w:szCs w:val="18"/>
        </w:rPr>
      </w:pPr>
      <w:r>
        <w:rPr>
          <w:rFonts w:ascii="Arial" w:hAnsi="Arial" w:cs="Arial"/>
          <w:b/>
          <w:sz w:val="18"/>
          <w:szCs w:val="18"/>
        </w:rPr>
        <w:t>Ciągły pomiar zagęszczenia</w:t>
      </w:r>
      <w:r>
        <w:rPr>
          <w:rFonts w:ascii="Arial" w:hAnsi="Arial" w:cs="Arial"/>
          <w:sz w:val="18"/>
          <w:szCs w:val="18"/>
        </w:rPr>
        <w:t xml:space="preserve">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53A73A7" w14:textId="77777777" w:rsidR="003F49C8" w:rsidRDefault="008C2229">
      <w:pPr>
        <w:pStyle w:val="Default"/>
        <w:jc w:val="both"/>
        <w:rPr>
          <w:rFonts w:ascii="Arial" w:hAnsi="Arial" w:cs="Arial"/>
          <w:sz w:val="18"/>
          <w:szCs w:val="18"/>
        </w:rPr>
      </w:pPr>
      <w:r>
        <w:rPr>
          <w:rFonts w:ascii="Arial" w:hAnsi="Arial" w:cs="Arial"/>
          <w:b/>
          <w:sz w:val="18"/>
          <w:szCs w:val="18"/>
        </w:rPr>
        <w:t>Deklaracja Właściwości Użytkowych (DWU)</w:t>
      </w:r>
      <w:r>
        <w:rPr>
          <w:rFonts w:ascii="Arial" w:hAnsi="Arial" w:cs="Arial"/>
          <w:sz w:val="18"/>
          <w:szCs w:val="18"/>
        </w:rPr>
        <w:t xml:space="preserve"> – dokument wyrażający właściwości użytkowe wyrobów budowlanych w odniesieniu do zasadniczych charakterystyk tych wyrobów zgodnie z odpowiednimi zharmonizowanymi specyfikacjami technicznymi. </w:t>
      </w:r>
    </w:p>
    <w:p w14:paraId="5E73C7E0" w14:textId="77777777" w:rsidR="003F49C8" w:rsidRDefault="008C2229">
      <w:pPr>
        <w:pStyle w:val="Default"/>
        <w:jc w:val="both"/>
        <w:rPr>
          <w:rFonts w:ascii="Arial" w:hAnsi="Arial" w:cs="Arial"/>
          <w:sz w:val="18"/>
          <w:szCs w:val="18"/>
        </w:rPr>
      </w:pPr>
      <w:r>
        <w:rPr>
          <w:rFonts w:ascii="Arial" w:hAnsi="Arial" w:cs="Arial"/>
          <w:b/>
          <w:sz w:val="18"/>
          <w:szCs w:val="18"/>
        </w:rPr>
        <w:t>Dokop</w:t>
      </w:r>
      <w:r>
        <w:rPr>
          <w:rFonts w:ascii="Arial" w:hAnsi="Arial" w:cs="Arial"/>
          <w:sz w:val="18"/>
          <w:szCs w:val="18"/>
        </w:rPr>
        <w:t xml:space="preserve"> - miejsce pozyskania gruntu do wykonania nasypów, położone poza pasem robót drogowych. </w:t>
      </w:r>
    </w:p>
    <w:p w14:paraId="1AC7C01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 xml:space="preserve">Dren pionowy </w:t>
      </w:r>
      <w:r>
        <w:rPr>
          <w:rFonts w:ascii="Arial" w:hAnsi="Arial" w:cs="Arial"/>
          <w:spacing w:val="-3"/>
          <w:sz w:val="18"/>
          <w:szCs w:val="18"/>
        </w:rPr>
        <w:t>(geodren) – prefabrykowany dren pionowy powodujący przyśpieszenie procesu konsolidacji gruntu. Zbudowany jest z warstwy zewnętrznej wykonanej z geowłókniny poliestrowej oraz warstwy wewnętrznej wykonanej z tłoczonej geomembrany polipropylenowej. Całość połączona jest ze sobą w sposób trwały przez obróbkę termiczną.</w:t>
      </w:r>
    </w:p>
    <w:p w14:paraId="7C219C9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dojazdowa</w:t>
      </w:r>
      <w:r>
        <w:rPr>
          <w:rFonts w:ascii="Arial" w:hAnsi="Arial" w:cs="Arial"/>
          <w:spacing w:val="-3"/>
          <w:sz w:val="18"/>
          <w:szCs w:val="18"/>
        </w:rPr>
        <w:t xml:space="preserve"> - część platformy roboczej służąca do rozładunku i uzbrojenia ciężkiego sprzętu budowlanego na podwoziu gąsienicowym oraz umożliwiająca dojazd do właściwej platformy roboczej lub/i rampy zjazdowej/najazdowej. Droga dojazdowa nie służy do pracy sprzętu.</w:t>
      </w:r>
    </w:p>
    <w:p w14:paraId="3080D2A0"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DTR (Dokumentacja Techniczno-Ruchowa)</w:t>
      </w:r>
      <w:r>
        <w:rPr>
          <w:rFonts w:ascii="Arial" w:hAnsi="Arial" w:cs="Arial"/>
          <w:spacing w:val="-3"/>
          <w:sz w:val="18"/>
          <w:szCs w:val="18"/>
        </w:rPr>
        <w:t xml:space="preserve"> - charakterystyka wykorzystywanego sprzętu zawierająca m.in. obciążenia generowane na podłoże w różnych fazach pracy i przemieszczania sprzętu , które są wykorzystywane w projektowaniu platform roboczych.</w:t>
      </w:r>
    </w:p>
    <w:p w14:paraId="591D1D83" w14:textId="77777777" w:rsidR="003F49C8" w:rsidRDefault="008C2229">
      <w:pPr>
        <w:pStyle w:val="Default"/>
        <w:jc w:val="both"/>
        <w:rPr>
          <w:rFonts w:ascii="Arial" w:hAnsi="Arial" w:cs="Arial"/>
          <w:sz w:val="18"/>
          <w:szCs w:val="18"/>
        </w:rPr>
      </w:pPr>
      <w:r>
        <w:rPr>
          <w:rFonts w:ascii="Arial" w:hAnsi="Arial" w:cs="Arial"/>
          <w:b/>
          <w:sz w:val="18"/>
          <w:szCs w:val="18"/>
        </w:rPr>
        <w:t>Geomaterac</w:t>
      </w:r>
      <w:r>
        <w:rPr>
          <w:rFonts w:ascii="Arial" w:hAnsi="Arial" w:cs="Arial"/>
          <w:sz w:val="18"/>
          <w:szCs w:val="18"/>
        </w:rPr>
        <w:t xml:space="preserve"> – warstwa kruszywa otoczona materiałem geosyntetycznym.</w:t>
      </w:r>
    </w:p>
    <w:p w14:paraId="4D021F2E" w14:textId="77777777" w:rsidR="003F49C8" w:rsidRDefault="008C2229">
      <w:pPr>
        <w:pStyle w:val="Default"/>
        <w:jc w:val="both"/>
        <w:rPr>
          <w:rFonts w:ascii="Arial" w:hAnsi="Arial" w:cs="Arial"/>
          <w:color w:val="000000" w:themeColor="text1"/>
          <w:sz w:val="18"/>
          <w:szCs w:val="18"/>
        </w:rPr>
      </w:pPr>
      <w:r>
        <w:rPr>
          <w:rFonts w:ascii="Arial" w:hAnsi="Arial" w:cs="Arial"/>
          <w:b/>
          <w:sz w:val="18"/>
          <w:szCs w:val="18"/>
        </w:rPr>
        <w:t>Geosiatka</w:t>
      </w:r>
      <w:r>
        <w:rPr>
          <w:rFonts w:ascii="Arial" w:hAnsi="Arial" w:cs="Arial"/>
          <w:sz w:val="18"/>
          <w:szCs w:val="18"/>
        </w:rPr>
        <w:t xml:space="preserve"> – geosyntetyk o płaskiej strukturze w postaci siatki, z otworami znacznie większymi niż elementy składowe, z oczkami trwale połączonymi w węzłach (poprzez klejenie, zgrzewanie lub pokrycie w procesie technologicznym warstwą tworzywa polimerowego) lub </w:t>
      </w:r>
      <w:r>
        <w:rPr>
          <w:rFonts w:ascii="Arial" w:hAnsi="Arial" w:cs="Arial"/>
          <w:color w:val="000000" w:themeColor="text1"/>
          <w:sz w:val="18"/>
          <w:szCs w:val="18"/>
        </w:rPr>
        <w:t>ciągnionymi.</w:t>
      </w:r>
    </w:p>
    <w:p w14:paraId="6572F37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Geowłóknina</w:t>
      </w:r>
      <w:r>
        <w:rPr>
          <w:rFonts w:ascii="Arial" w:hAnsi="Arial" w:cs="Arial"/>
          <w:color w:val="000000" w:themeColor="text1"/>
          <w:sz w:val="18"/>
          <w:szCs w:val="18"/>
        </w:rPr>
        <w:t xml:space="preserve"> – materiał wytwarzany w postaci runa włókien o uporządkowanej lub przypadkowej orientacji, połączonych siłami tarcia i/lub kohezji i/lub adhezji (włókniny igłowane, przeszywane, łączone termicznie, chemicznie itp.).</w:t>
      </w:r>
    </w:p>
    <w:p w14:paraId="05F2E836" w14:textId="77777777" w:rsidR="003F49C8" w:rsidRDefault="008C2229">
      <w:pPr>
        <w:pStyle w:val="Default"/>
        <w:jc w:val="both"/>
        <w:rPr>
          <w:rFonts w:ascii="Arial" w:hAnsi="Arial" w:cs="Arial"/>
          <w:color w:val="000000" w:themeColor="text1"/>
          <w:sz w:val="18"/>
          <w:szCs w:val="18"/>
        </w:rPr>
      </w:pPr>
      <w:r>
        <w:rPr>
          <w:rFonts w:ascii="Arial" w:hAnsi="Arial" w:cs="Arial"/>
          <w:b/>
          <w:color w:val="000000" w:themeColor="text1"/>
          <w:sz w:val="18"/>
          <w:szCs w:val="18"/>
        </w:rPr>
        <w:t>Geotkanina</w:t>
      </w:r>
      <w:r>
        <w:rPr>
          <w:rFonts w:ascii="Arial" w:hAnsi="Arial" w:cs="Arial"/>
          <w:color w:val="000000" w:themeColor="text1"/>
          <w:sz w:val="18"/>
          <w:szCs w:val="18"/>
        </w:rPr>
        <w:t xml:space="preserve"> - materiał tkany wytwarzany z włókien syntetycznych przez przeplatanie dwóch lub więcej układów przędz, włókien, taśm lub innych elementów, powstały z przeplecenia ciągłych tasiemek z polimeru.</w:t>
      </w:r>
    </w:p>
    <w:p w14:paraId="52C31A23" w14:textId="77777777" w:rsidR="003F49C8" w:rsidRDefault="008C2229">
      <w:pPr>
        <w:pStyle w:val="Default"/>
        <w:jc w:val="both"/>
        <w:rPr>
          <w:rFonts w:ascii="Arial" w:hAnsi="Arial" w:cs="Arial"/>
          <w:sz w:val="18"/>
          <w:szCs w:val="18"/>
        </w:rPr>
      </w:pPr>
      <w:r>
        <w:rPr>
          <w:rFonts w:ascii="Arial" w:hAnsi="Arial" w:cs="Arial"/>
          <w:b/>
          <w:color w:val="000000" w:themeColor="text1"/>
          <w:sz w:val="18"/>
          <w:szCs w:val="18"/>
        </w:rPr>
        <w:t>Geosyntetyk</w:t>
      </w:r>
      <w:r>
        <w:rPr>
          <w:rFonts w:ascii="Arial" w:hAnsi="Arial" w:cs="Arial"/>
          <w:color w:val="000000" w:themeColor="text1"/>
          <w:sz w:val="18"/>
          <w:szCs w:val="18"/>
        </w:rPr>
        <w:t xml:space="preserve"> – wyrób, którego przynajmniej jeden składnik wytworzony został z polimeru (poliestru, polipropylenu, polietylenu lub poliamidu), mający postać arkusza, paska lub formy przestrzennej</w:t>
      </w:r>
      <w:r>
        <w:rPr>
          <w:rFonts w:ascii="Arial" w:hAnsi="Arial" w:cs="Arial"/>
          <w:sz w:val="18"/>
          <w:szCs w:val="18"/>
        </w:rPr>
        <w:t>, stosowany w kontakcie z gruntem (lub innym materiałem) w geotechnice, fundamentowaniu i budownictwie lądowym i wodnym.</w:t>
      </w:r>
    </w:p>
    <w:p w14:paraId="21CE853C" w14:textId="77777777" w:rsidR="003F49C8" w:rsidRDefault="008C2229">
      <w:pPr>
        <w:pStyle w:val="Default"/>
        <w:jc w:val="both"/>
        <w:rPr>
          <w:rFonts w:ascii="Arial" w:hAnsi="Arial" w:cs="Arial"/>
          <w:sz w:val="18"/>
          <w:szCs w:val="18"/>
        </w:rPr>
      </w:pPr>
      <w:r>
        <w:rPr>
          <w:rFonts w:ascii="Arial" w:hAnsi="Arial" w:cs="Arial"/>
          <w:b/>
          <w:sz w:val="18"/>
          <w:szCs w:val="18"/>
        </w:rPr>
        <w:t>Gęstość objętościowa szkieletu</w:t>
      </w:r>
      <w:r>
        <w:rPr>
          <w:rFonts w:ascii="Arial" w:hAnsi="Arial" w:cs="Arial"/>
          <w:sz w:val="18"/>
          <w:szCs w:val="18"/>
        </w:rPr>
        <w:t xml:space="preserve"> – stosunek masy suchego szkieletu gruntu lub materiału antropogenicznego do objętości próbki. </w:t>
      </w:r>
    </w:p>
    <w:p w14:paraId="0ADA2472" w14:textId="77777777" w:rsidR="003F49C8" w:rsidRDefault="008C2229">
      <w:pPr>
        <w:pStyle w:val="Default"/>
        <w:jc w:val="both"/>
        <w:rPr>
          <w:rFonts w:ascii="Arial" w:hAnsi="Arial" w:cs="Arial"/>
          <w:sz w:val="18"/>
          <w:szCs w:val="18"/>
        </w:rPr>
      </w:pPr>
      <w:r>
        <w:rPr>
          <w:rFonts w:ascii="Arial" w:hAnsi="Arial" w:cs="Arial"/>
          <w:b/>
          <w:sz w:val="18"/>
          <w:szCs w:val="18"/>
        </w:rPr>
        <w:t>Górna warstwa nasypu</w:t>
      </w:r>
      <w:r>
        <w:rPr>
          <w:rFonts w:ascii="Arial" w:hAnsi="Arial" w:cs="Arial"/>
          <w:sz w:val="18"/>
          <w:szCs w:val="18"/>
        </w:rPr>
        <w:t xml:space="preserve"> – nasyp znajdujący się w obrębie obliczeniowej głębokości przemarzania. </w:t>
      </w:r>
    </w:p>
    <w:p w14:paraId="6DB4CE20" w14:textId="77777777" w:rsidR="003F49C8" w:rsidRDefault="008C2229">
      <w:pPr>
        <w:pStyle w:val="Default"/>
        <w:jc w:val="both"/>
        <w:rPr>
          <w:rFonts w:ascii="Arial" w:hAnsi="Arial" w:cs="Arial"/>
          <w:sz w:val="18"/>
          <w:szCs w:val="18"/>
        </w:rPr>
      </w:pPr>
      <w:r>
        <w:rPr>
          <w:rFonts w:ascii="Arial" w:hAnsi="Arial" w:cs="Arial"/>
          <w:b/>
          <w:sz w:val="18"/>
          <w:szCs w:val="18"/>
        </w:rPr>
        <w:t>Grunt</w:t>
      </w:r>
      <w:r>
        <w:rPr>
          <w:rFonts w:ascii="Arial" w:hAnsi="Arial" w:cs="Arial"/>
          <w:sz w:val="18"/>
          <w:szCs w:val="18"/>
        </w:rPr>
        <w:t xml:space="preserve"> – zespół cząstek mineralnych, który może być rozdrobniony przez delikatne rozcieranie w ręce i który zawiera wodę i powietrze, a niekiedy także inne gazy; materiał pochodzenia naturalnego, przemysłowego lub z recyklingu lub dowolna kombinacja tych składników.</w:t>
      </w:r>
    </w:p>
    <w:p w14:paraId="4C54A1FA" w14:textId="77777777" w:rsidR="003F49C8" w:rsidRDefault="008C2229">
      <w:pPr>
        <w:pStyle w:val="Default"/>
        <w:jc w:val="both"/>
        <w:rPr>
          <w:rFonts w:ascii="Arial" w:hAnsi="Arial" w:cs="Arial"/>
          <w:sz w:val="18"/>
          <w:szCs w:val="18"/>
        </w:rPr>
      </w:pPr>
      <w:r>
        <w:rPr>
          <w:rFonts w:ascii="Arial" w:hAnsi="Arial" w:cs="Arial"/>
          <w:b/>
          <w:sz w:val="18"/>
          <w:szCs w:val="18"/>
        </w:rPr>
        <w:t>Grunt organiczny</w:t>
      </w:r>
      <w:r>
        <w:rPr>
          <w:rFonts w:ascii="Arial" w:hAnsi="Arial" w:cs="Arial"/>
          <w:sz w:val="18"/>
          <w:szCs w:val="18"/>
        </w:rPr>
        <w:t xml:space="preserve"> – grunt z zawartością substancji organicznej większą od 2,0 %.</w:t>
      </w:r>
    </w:p>
    <w:p w14:paraId="65D6D380" w14:textId="77777777" w:rsidR="003F49C8" w:rsidRDefault="008C2229">
      <w:pPr>
        <w:pStyle w:val="Default"/>
        <w:jc w:val="both"/>
        <w:rPr>
          <w:rFonts w:ascii="Arial" w:hAnsi="Arial" w:cs="Arial"/>
          <w:sz w:val="18"/>
          <w:szCs w:val="18"/>
        </w:rPr>
      </w:pPr>
      <w:r>
        <w:rPr>
          <w:rFonts w:ascii="Arial" w:hAnsi="Arial" w:cs="Arial"/>
          <w:b/>
          <w:sz w:val="18"/>
          <w:szCs w:val="18"/>
        </w:rPr>
        <w:t>Humus (gleba)</w:t>
      </w:r>
      <w:r>
        <w:rPr>
          <w:rFonts w:ascii="Arial" w:hAnsi="Arial" w:cs="Arial"/>
          <w:sz w:val="18"/>
          <w:szCs w:val="18"/>
        </w:rPr>
        <w:t xml:space="preserve"> – przypowierzchniowa strefa gruntu (zwietrzałej skały) przeobrażona działalnością roślin, drobnoustrojów, zwierząt, stanowiąca grunt organiczny o właściwościach zapewniających prawidłowy rozwój roślinom. </w:t>
      </w:r>
    </w:p>
    <w:p w14:paraId="7D7CD3F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Kolumna iniekcyjna</w:t>
      </w:r>
      <w:r>
        <w:rPr>
          <w:rFonts w:ascii="Arial" w:hAnsi="Arial" w:cs="Arial"/>
          <w:spacing w:val="-3"/>
          <w:sz w:val="18"/>
          <w:szCs w:val="18"/>
        </w:rPr>
        <w:t xml:space="preserve"> (pal iniekcyjny) — zainiektowana bryła gruntu o kształcie zbliżonym do walca i średnicy określonej w Dokumentacji Projektowej, powstała w wyniku bezpośredniego wymieszania wtłaczanego zaczynu wiążącego z cząsteczkami gruntu (bryła gruntu o zmodyfikowanych własnościach).</w:t>
      </w:r>
    </w:p>
    <w:p w14:paraId="38DD0F0A" w14:textId="77777777" w:rsidR="003F49C8" w:rsidRDefault="008C2229">
      <w:pPr>
        <w:pStyle w:val="Default"/>
        <w:jc w:val="both"/>
        <w:rPr>
          <w:rFonts w:ascii="Arial" w:hAnsi="Arial" w:cs="Arial"/>
          <w:sz w:val="18"/>
          <w:szCs w:val="18"/>
        </w:rPr>
      </w:pPr>
      <w:r>
        <w:rPr>
          <w:rFonts w:ascii="Arial" w:hAnsi="Arial" w:cs="Arial"/>
          <w:b/>
          <w:sz w:val="18"/>
          <w:szCs w:val="18"/>
        </w:rPr>
        <w:t>Materiał antropogeniczny</w:t>
      </w:r>
      <w:r>
        <w:rPr>
          <w:rFonts w:ascii="Arial" w:hAnsi="Arial" w:cs="Arial"/>
          <w:sz w:val="18"/>
          <w:szCs w:val="18"/>
        </w:rPr>
        <w:t xml:space="preserve"> – materiał powstały w wyniku bezpośredniej lub pośredniej działalności człowieka (na przykład grunt ulepszony, odpad przemysłowy, materiał z recyklingu).</w:t>
      </w:r>
    </w:p>
    <w:p w14:paraId="1396B7CB" w14:textId="77777777" w:rsidR="003F49C8" w:rsidRDefault="008C2229">
      <w:pPr>
        <w:pStyle w:val="Default"/>
        <w:jc w:val="both"/>
        <w:rPr>
          <w:rFonts w:ascii="Arial" w:hAnsi="Arial" w:cs="Arial"/>
          <w:sz w:val="18"/>
          <w:szCs w:val="18"/>
        </w:rPr>
      </w:pPr>
      <w:r>
        <w:rPr>
          <w:rFonts w:ascii="Arial" w:hAnsi="Arial" w:cs="Arial"/>
          <w:b/>
          <w:sz w:val="18"/>
          <w:szCs w:val="18"/>
        </w:rPr>
        <w:t>Materiał nasypowy</w:t>
      </w:r>
      <w:r>
        <w:rPr>
          <w:rFonts w:ascii="Arial" w:hAnsi="Arial" w:cs="Arial"/>
          <w:sz w:val="18"/>
          <w:szCs w:val="18"/>
        </w:rPr>
        <w:t xml:space="preserve"> – grunt lub materiał antropogeniczny użyty do budowy nasypu.</w:t>
      </w:r>
    </w:p>
    <w:p w14:paraId="1815B353" w14:textId="77777777" w:rsidR="003F49C8" w:rsidRDefault="008C2229">
      <w:pPr>
        <w:pStyle w:val="Default"/>
        <w:jc w:val="both"/>
        <w:rPr>
          <w:rFonts w:ascii="Arial" w:hAnsi="Arial" w:cs="Arial"/>
          <w:sz w:val="18"/>
          <w:szCs w:val="18"/>
        </w:rPr>
      </w:pPr>
      <w:r>
        <w:rPr>
          <w:rFonts w:ascii="Arial" w:hAnsi="Arial" w:cs="Arial"/>
          <w:b/>
          <w:sz w:val="18"/>
          <w:szCs w:val="18"/>
        </w:rPr>
        <w:t>Materiał</w:t>
      </w:r>
      <w:r>
        <w:rPr>
          <w:rFonts w:ascii="Arial" w:hAnsi="Arial" w:cs="Arial"/>
          <w:sz w:val="18"/>
          <w:szCs w:val="18"/>
        </w:rPr>
        <w:t xml:space="preserve"> </w:t>
      </w:r>
      <w:r>
        <w:rPr>
          <w:rFonts w:ascii="Arial" w:hAnsi="Arial" w:cs="Arial"/>
          <w:b/>
          <w:sz w:val="18"/>
          <w:szCs w:val="18"/>
        </w:rPr>
        <w:t>nieprzydatny</w:t>
      </w:r>
      <w:r>
        <w:rPr>
          <w:rFonts w:ascii="Arial" w:hAnsi="Arial" w:cs="Arial"/>
          <w:sz w:val="18"/>
          <w:szCs w:val="18"/>
        </w:rPr>
        <w:t xml:space="preserve">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38D430F" w14:textId="77777777" w:rsidR="003F49C8" w:rsidRDefault="008C2229">
      <w:pPr>
        <w:pStyle w:val="Default"/>
        <w:jc w:val="both"/>
        <w:rPr>
          <w:rFonts w:ascii="Arial" w:hAnsi="Arial" w:cs="Arial"/>
          <w:sz w:val="18"/>
          <w:szCs w:val="18"/>
        </w:rPr>
      </w:pPr>
      <w:r>
        <w:rPr>
          <w:rFonts w:ascii="Arial" w:hAnsi="Arial" w:cs="Arial"/>
          <w:b/>
          <w:sz w:val="18"/>
          <w:szCs w:val="18"/>
        </w:rPr>
        <w:t>Materiał przydatny</w:t>
      </w:r>
      <w:r>
        <w:rPr>
          <w:rFonts w:ascii="Arial" w:hAnsi="Arial" w:cs="Arial"/>
          <w:sz w:val="18"/>
          <w:szCs w:val="18"/>
        </w:rPr>
        <w:t xml:space="preserve"> – grunt lub materiał antropogeniczny, którego właściwości umożliwiają wykorzystanie go jako materiał nasypowy bez stosowania dodatkowych zabiegów. </w:t>
      </w:r>
    </w:p>
    <w:p w14:paraId="2D524A00" w14:textId="77777777" w:rsidR="003F49C8" w:rsidRDefault="008C2229">
      <w:pPr>
        <w:pStyle w:val="Default"/>
        <w:jc w:val="both"/>
        <w:rPr>
          <w:rFonts w:ascii="Arial" w:hAnsi="Arial" w:cs="Arial"/>
          <w:sz w:val="18"/>
          <w:szCs w:val="18"/>
        </w:rPr>
      </w:pPr>
      <w:r>
        <w:rPr>
          <w:rFonts w:ascii="Arial" w:hAnsi="Arial" w:cs="Arial"/>
          <w:b/>
          <w:sz w:val="18"/>
          <w:szCs w:val="18"/>
        </w:rPr>
        <w:t>Materiał ulepszony</w:t>
      </w:r>
      <w:r>
        <w:rPr>
          <w:rFonts w:ascii="Arial" w:hAnsi="Arial" w:cs="Arial"/>
          <w:sz w:val="18"/>
          <w:szCs w:val="18"/>
        </w:rPr>
        <w:t xml:space="preserve"> – grunt lub materiał antropogeniczny, którego właściwości zostały zmienione, w efekcie czego spełnia on wymagania wynikające z przewidzianego zastosowania.</w:t>
      </w:r>
    </w:p>
    <w:p w14:paraId="48EDBAA4" w14:textId="77777777" w:rsidR="003F49C8" w:rsidRDefault="008C2229">
      <w:pPr>
        <w:pStyle w:val="Default"/>
        <w:jc w:val="both"/>
        <w:rPr>
          <w:rFonts w:ascii="Arial" w:hAnsi="Arial" w:cs="Arial"/>
          <w:sz w:val="18"/>
          <w:szCs w:val="18"/>
        </w:rPr>
      </w:pPr>
      <w:r>
        <w:rPr>
          <w:rFonts w:ascii="Arial" w:hAnsi="Arial" w:cs="Arial"/>
          <w:b/>
          <w:sz w:val="18"/>
          <w:szCs w:val="18"/>
        </w:rPr>
        <w:t>Miejsce zerowe robót ziemnych</w:t>
      </w:r>
      <w:r>
        <w:rPr>
          <w:rFonts w:ascii="Arial" w:hAnsi="Arial" w:cs="Arial"/>
          <w:sz w:val="18"/>
          <w:szCs w:val="18"/>
        </w:rPr>
        <w:t xml:space="preserve"> (przekrój zerowy robót ziemnych) - granica pomiędzy nasypem i wykopem. Przekrój przejściowy, w którym powierzchnie nasypu i wykopu w przekroju poprzecznym są równe (charakter robót ziemnych zmienia się z wykopu na nasyp lub odwrotnie).</w:t>
      </w:r>
    </w:p>
    <w:p w14:paraId="631DFAD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Korona drogi </w:t>
      </w:r>
      <w:r>
        <w:rPr>
          <w:rFonts w:ascii="Arial" w:hAnsi="Arial" w:cs="Arial"/>
          <w:spacing w:val="-3"/>
          <w:sz w:val="18"/>
          <w:szCs w:val="18"/>
        </w:rPr>
        <w:t xml:space="preserve">– część przekroju poprzecznego drogi, obejmująca jezdnie z poboczami i pasem dzielącym, pasy awaryjnego postoju, chodniki, zatoki oraz ewentualne inne elementy, położona pomiędzy górnymi krawędziami skarp. </w:t>
      </w:r>
    </w:p>
    <w:p w14:paraId="102D256F" w14:textId="77777777" w:rsidR="003F49C8" w:rsidRDefault="008C2229">
      <w:pPr>
        <w:pStyle w:val="Default"/>
        <w:jc w:val="both"/>
        <w:rPr>
          <w:rFonts w:ascii="Arial" w:hAnsi="Arial" w:cs="Arial"/>
          <w:sz w:val="18"/>
          <w:szCs w:val="18"/>
        </w:rPr>
      </w:pPr>
      <w:r>
        <w:rPr>
          <w:rFonts w:ascii="Arial" w:hAnsi="Arial" w:cs="Arial"/>
          <w:b/>
          <w:spacing w:val="-3"/>
          <w:sz w:val="18"/>
          <w:szCs w:val="18"/>
        </w:rPr>
        <w:t>Korpus drogowy</w:t>
      </w:r>
      <w:r>
        <w:rPr>
          <w:rFonts w:ascii="Arial" w:hAnsi="Arial" w:cs="Arial"/>
          <w:spacing w:val="-3"/>
          <w:sz w:val="18"/>
          <w:szCs w:val="18"/>
        </w:rPr>
        <w:t xml:space="preserve"> –</w:t>
      </w:r>
      <w:r>
        <w:rPr>
          <w:rFonts w:ascii="Arial" w:hAnsi="Arial" w:cs="Arial"/>
          <w:sz w:val="18"/>
          <w:szCs w:val="18"/>
        </w:rPr>
        <w:t>cały nasyp oraz ta część wykopu, która jest ograniczona koroną drogi i wewnętrznymi skarpami rowów.</w:t>
      </w:r>
    </w:p>
    <w:p w14:paraId="2F01DB8E" w14:textId="77777777" w:rsidR="003F49C8" w:rsidRDefault="008C2229">
      <w:pPr>
        <w:pStyle w:val="Default"/>
        <w:jc w:val="both"/>
        <w:rPr>
          <w:rFonts w:ascii="Arial" w:hAnsi="Arial" w:cs="Arial"/>
          <w:sz w:val="18"/>
          <w:szCs w:val="18"/>
        </w:rPr>
      </w:pPr>
      <w:r>
        <w:rPr>
          <w:rFonts w:ascii="Arial" w:hAnsi="Arial" w:cs="Arial"/>
          <w:b/>
          <w:sz w:val="18"/>
          <w:szCs w:val="18"/>
        </w:rPr>
        <w:t>Mieszanie wgłębne miejscowego gruntu</w:t>
      </w:r>
      <w:r>
        <w:rPr>
          <w:rFonts w:ascii="Arial" w:hAnsi="Arial" w:cs="Arial"/>
          <w:sz w:val="18"/>
          <w:szCs w:val="18"/>
        </w:rPr>
        <w:t xml:space="preserve"> - metoda formowania w podłożu ze słabych gruntów - kolumn lub ich układów albo masywnych bloków utworzonych z miejscowego gruntu mieszanego ze spoiwem.</w:t>
      </w:r>
    </w:p>
    <w:p w14:paraId="7550B451" w14:textId="77777777" w:rsidR="003F49C8" w:rsidRDefault="008C2229">
      <w:pPr>
        <w:pStyle w:val="Default"/>
        <w:jc w:val="both"/>
        <w:rPr>
          <w:rFonts w:ascii="Arial" w:hAnsi="Arial" w:cs="Arial"/>
          <w:sz w:val="18"/>
          <w:szCs w:val="18"/>
        </w:rPr>
      </w:pPr>
      <w:r>
        <w:rPr>
          <w:rFonts w:ascii="Arial" w:hAnsi="Arial" w:cs="Arial"/>
          <w:b/>
          <w:sz w:val="18"/>
          <w:szCs w:val="18"/>
        </w:rPr>
        <w:t>Moduł odkształcenia gruntu</w:t>
      </w:r>
      <w:r>
        <w:rPr>
          <w:rFonts w:ascii="Arial" w:hAnsi="Arial" w:cs="Arial"/>
          <w:sz w:val="18"/>
          <w:szCs w:val="18"/>
        </w:rPr>
        <w:t xml:space="preserve"> – wielkość charakteryzująca nośność na powierzchni warstwy gruntu lub materiału antropogenicznego, badana zgodnie z Załącznikiem 2 (procedura według PN-S-02205, załącznik B), określana według wzoru: </w:t>
      </w:r>
    </w:p>
    <w:p w14:paraId="3422908C"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A464C43" wp14:editId="35E86954">
            <wp:extent cx="1285875" cy="7524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752475"/>
                    </a:xfrm>
                    <a:prstGeom prst="rect">
                      <a:avLst/>
                    </a:prstGeom>
                    <a:noFill/>
                    <a:ln>
                      <a:noFill/>
                    </a:ln>
                  </pic:spPr>
                </pic:pic>
              </a:graphicData>
            </a:graphic>
          </wp:inline>
        </w:drawing>
      </w:r>
    </w:p>
    <w:p w14:paraId="2D100DEC" w14:textId="77777777" w:rsidR="003F49C8" w:rsidRDefault="008C2229">
      <w:pPr>
        <w:pStyle w:val="Default"/>
        <w:jc w:val="both"/>
        <w:rPr>
          <w:rFonts w:ascii="Arial" w:hAnsi="Arial" w:cs="Arial"/>
          <w:sz w:val="18"/>
          <w:szCs w:val="18"/>
        </w:rPr>
      </w:pPr>
      <w:r>
        <w:rPr>
          <w:rFonts w:ascii="Arial" w:hAnsi="Arial" w:cs="Arial"/>
          <w:sz w:val="18"/>
          <w:szCs w:val="18"/>
        </w:rPr>
        <w:t xml:space="preserve">gdzie: </w:t>
      </w:r>
    </w:p>
    <w:p w14:paraId="5BF2E003" w14:textId="77777777" w:rsidR="003F49C8" w:rsidRDefault="008C2229">
      <w:pPr>
        <w:pStyle w:val="Default"/>
        <w:jc w:val="both"/>
        <w:rPr>
          <w:rFonts w:ascii="Arial" w:hAnsi="Arial" w:cs="Arial"/>
          <w:sz w:val="18"/>
          <w:szCs w:val="18"/>
        </w:rPr>
      </w:pPr>
      <w:r>
        <w:rPr>
          <w:rFonts w:ascii="Arial" w:hAnsi="Arial" w:cs="Arial"/>
          <w:sz w:val="18"/>
          <w:szCs w:val="18"/>
        </w:rPr>
        <w:t xml:space="preserve">Ei moduł odkształcenia gruntu [MPa] </w:t>
      </w:r>
    </w:p>
    <w:p w14:paraId="0F88C5A9" w14:textId="77777777" w:rsidR="003F49C8" w:rsidRDefault="008C2229">
      <w:pPr>
        <w:pStyle w:val="Default"/>
        <w:jc w:val="both"/>
        <w:rPr>
          <w:rFonts w:ascii="Arial" w:hAnsi="Arial" w:cs="Arial"/>
          <w:sz w:val="18"/>
          <w:szCs w:val="18"/>
        </w:rPr>
      </w:pPr>
      <w:r>
        <w:rPr>
          <w:rFonts w:ascii="Arial" w:hAnsi="Arial" w:cs="Arial"/>
          <w:sz w:val="18"/>
          <w:szCs w:val="18"/>
        </w:rPr>
        <w:t xml:space="preserve">Δp przyrost obciążenia jednostkowego [MPa], </w:t>
      </w:r>
    </w:p>
    <w:p w14:paraId="0D138D75" w14:textId="77777777" w:rsidR="003F49C8" w:rsidRDefault="008C2229">
      <w:pPr>
        <w:pStyle w:val="Default"/>
        <w:jc w:val="both"/>
        <w:rPr>
          <w:rFonts w:ascii="Arial" w:hAnsi="Arial" w:cs="Arial"/>
          <w:sz w:val="18"/>
          <w:szCs w:val="18"/>
        </w:rPr>
      </w:pPr>
      <w:r>
        <w:rPr>
          <w:rFonts w:ascii="Arial" w:hAnsi="Arial" w:cs="Arial"/>
          <w:sz w:val="18"/>
          <w:szCs w:val="18"/>
        </w:rPr>
        <w:t xml:space="preserve">Δs przyrost osiadania odpowiadający przyrostowi obciążenia jednostkowego [mm] </w:t>
      </w:r>
    </w:p>
    <w:p w14:paraId="422689A9" w14:textId="77777777" w:rsidR="003F49C8" w:rsidRDefault="008C2229">
      <w:pPr>
        <w:pStyle w:val="Default"/>
        <w:jc w:val="both"/>
        <w:rPr>
          <w:rFonts w:ascii="Arial" w:hAnsi="Arial" w:cs="Arial"/>
          <w:sz w:val="18"/>
          <w:szCs w:val="18"/>
        </w:rPr>
      </w:pPr>
      <w:r>
        <w:rPr>
          <w:rFonts w:ascii="Arial" w:hAnsi="Arial" w:cs="Arial"/>
          <w:sz w:val="18"/>
          <w:szCs w:val="18"/>
        </w:rPr>
        <w:t>D średnica płyty [mm]</w:t>
      </w:r>
    </w:p>
    <w:p w14:paraId="5B7BEF29" w14:textId="77777777" w:rsidR="003F49C8" w:rsidRDefault="008C2229">
      <w:pPr>
        <w:pStyle w:val="Default"/>
        <w:jc w:val="both"/>
        <w:rPr>
          <w:rFonts w:ascii="Arial" w:hAnsi="Arial" w:cs="Arial"/>
          <w:sz w:val="18"/>
          <w:szCs w:val="18"/>
        </w:rPr>
      </w:pPr>
      <w:r>
        <w:rPr>
          <w:rFonts w:ascii="Arial" w:hAnsi="Arial" w:cs="Arial"/>
          <w:b/>
          <w:sz w:val="18"/>
          <w:szCs w:val="18"/>
        </w:rPr>
        <w:t>Monitorowanie</w:t>
      </w:r>
      <w:r>
        <w:rPr>
          <w:rFonts w:ascii="Arial" w:hAnsi="Arial" w:cs="Arial"/>
          <w:sz w:val="18"/>
          <w:szCs w:val="18"/>
        </w:rPr>
        <w:t xml:space="preserve"> - prowadzenie obserwacji w ramach kontroli jakości technicznej procesu palowania</w:t>
      </w:r>
    </w:p>
    <w:p w14:paraId="3C92DEC6" w14:textId="77777777" w:rsidR="003F49C8" w:rsidRDefault="008C2229">
      <w:pPr>
        <w:pStyle w:val="Default"/>
        <w:jc w:val="both"/>
        <w:rPr>
          <w:rFonts w:ascii="Arial" w:hAnsi="Arial" w:cs="Arial"/>
          <w:sz w:val="18"/>
          <w:szCs w:val="18"/>
        </w:rPr>
      </w:pPr>
      <w:r>
        <w:rPr>
          <w:rFonts w:ascii="Arial" w:hAnsi="Arial" w:cs="Arial"/>
          <w:b/>
          <w:sz w:val="18"/>
          <w:szCs w:val="18"/>
        </w:rPr>
        <w:t xml:space="preserve">Nadzór </w:t>
      </w:r>
      <w:r>
        <w:rPr>
          <w:rFonts w:ascii="Arial" w:hAnsi="Arial" w:cs="Arial"/>
          <w:sz w:val="18"/>
          <w:szCs w:val="18"/>
        </w:rPr>
        <w:t>– aktywna funkcja w nadzorowaniu i kierowaniu wykonaniem pali</w:t>
      </w:r>
    </w:p>
    <w:p w14:paraId="69791477"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Nasyp</w:t>
      </w:r>
      <w:r>
        <w:rPr>
          <w:rFonts w:ascii="Arial" w:hAnsi="Arial" w:cs="Arial"/>
          <w:sz w:val="18"/>
          <w:szCs w:val="18"/>
        </w:rPr>
        <w:t xml:space="preserve"> – budowla ziemna wykonana w obrębie pasa drogowego poprzez wbudowanie materiału nasypowego w kontrolowany sposób polegający na układaniu i zagęszczaniu kolejnych warstw powyżej powierzchni terenu </w:t>
      </w:r>
    </w:p>
    <w:p w14:paraId="6512FE75" w14:textId="77777777" w:rsidR="003F49C8" w:rsidRDefault="008C2229">
      <w:pPr>
        <w:pStyle w:val="Default"/>
        <w:jc w:val="both"/>
        <w:rPr>
          <w:rFonts w:ascii="Arial" w:hAnsi="Arial" w:cs="Arial"/>
          <w:sz w:val="18"/>
          <w:szCs w:val="18"/>
        </w:rPr>
      </w:pPr>
      <w:r>
        <w:rPr>
          <w:rFonts w:ascii="Arial" w:hAnsi="Arial" w:cs="Arial"/>
          <w:b/>
          <w:sz w:val="18"/>
          <w:szCs w:val="18"/>
        </w:rPr>
        <w:t>Nasyp przeciążający</w:t>
      </w:r>
      <w:r>
        <w:rPr>
          <w:rFonts w:ascii="Arial" w:hAnsi="Arial" w:cs="Arial"/>
          <w:sz w:val="18"/>
          <w:szCs w:val="18"/>
        </w:rPr>
        <w:t xml:space="preserve"> - warstwa nasypu przeciążającego o obliczanej miąższości, zgodnie z dokumentacją projektową, uformowana na koronie projektowanego nasypu i pozostawiona na okres zgodnie z wytycznymi zawartymi w dokumentacji projektowej, wykonywa z materiału o zakładanym ciężarze. </w:t>
      </w:r>
    </w:p>
    <w:p w14:paraId="24B8B78E" w14:textId="77777777" w:rsidR="003F49C8" w:rsidRDefault="008C2229">
      <w:pPr>
        <w:pStyle w:val="Default"/>
        <w:jc w:val="both"/>
        <w:rPr>
          <w:rFonts w:ascii="Arial" w:hAnsi="Arial" w:cs="Arial"/>
          <w:sz w:val="18"/>
          <w:szCs w:val="18"/>
        </w:rPr>
      </w:pPr>
      <w:r>
        <w:rPr>
          <w:rFonts w:ascii="Arial" w:hAnsi="Arial" w:cs="Arial"/>
          <w:b/>
          <w:sz w:val="18"/>
          <w:szCs w:val="18"/>
        </w:rPr>
        <w:t>Nasyp „topiony”-</w:t>
      </w:r>
      <w:r>
        <w:rPr>
          <w:rFonts w:ascii="Arial" w:hAnsi="Arial" w:cs="Arial"/>
          <w:sz w:val="18"/>
          <w:szCs w:val="18"/>
        </w:rPr>
        <w:t xml:space="preserve"> objętość nasypu docelowego lub przeciążającego (w zależności od przekroju drogi) która znajdzie się poniżej poziomu terenu w związku z osiadaniem rodzimego podłoża gruntowego. Objętości te należy odpowiednio uwzględnić w obmiarach poszczególnych robót (nasyp wg STWiORB D-02.03.01 „Roboty ziemne. Wykonanie nasypów”, nasyp przeciążający wg niniejszych STWiORB</w:t>
      </w:r>
    </w:p>
    <w:p w14:paraId="5D668F63" w14:textId="77777777" w:rsidR="003F49C8" w:rsidRDefault="008C2229">
      <w:pPr>
        <w:pStyle w:val="Default"/>
        <w:jc w:val="both"/>
        <w:rPr>
          <w:rFonts w:ascii="Arial" w:hAnsi="Arial" w:cs="Arial"/>
          <w:sz w:val="18"/>
          <w:szCs w:val="18"/>
        </w:rPr>
      </w:pPr>
      <w:r>
        <w:rPr>
          <w:rFonts w:ascii="Arial" w:hAnsi="Arial" w:cs="Arial"/>
          <w:b/>
          <w:sz w:val="18"/>
          <w:szCs w:val="18"/>
        </w:rPr>
        <w:t>Niweleta robót ziemnych</w:t>
      </w:r>
      <w:r>
        <w:rPr>
          <w:rFonts w:ascii="Arial" w:hAnsi="Arial" w:cs="Arial"/>
          <w:sz w:val="18"/>
          <w:szCs w:val="18"/>
        </w:rPr>
        <w:t xml:space="preserve">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4297A9C6" w14:textId="77777777" w:rsidR="003F49C8" w:rsidRDefault="003F49C8">
      <w:pPr>
        <w:pStyle w:val="Default"/>
        <w:jc w:val="both"/>
        <w:rPr>
          <w:rFonts w:ascii="Arial" w:hAnsi="Arial" w:cs="Arial"/>
          <w:sz w:val="18"/>
          <w:szCs w:val="18"/>
        </w:rPr>
      </w:pPr>
    </w:p>
    <w:p w14:paraId="4F58DE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301D7DD4" wp14:editId="7670FE56">
            <wp:extent cx="4871713" cy="2323885"/>
            <wp:effectExtent l="0" t="0" r="5715"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96912" cy="2335905"/>
                    </a:xfrm>
                    <a:prstGeom prst="rect">
                      <a:avLst/>
                    </a:prstGeom>
                    <a:noFill/>
                    <a:ln>
                      <a:noFill/>
                    </a:ln>
                  </pic:spPr>
                </pic:pic>
              </a:graphicData>
            </a:graphic>
          </wp:inline>
        </w:drawing>
      </w:r>
    </w:p>
    <w:p w14:paraId="1F5BEE73"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4D77C7C" w14:textId="77777777" w:rsidR="003F49C8" w:rsidRDefault="008C2229">
      <w:pPr>
        <w:pStyle w:val="Default"/>
        <w:jc w:val="both"/>
        <w:rPr>
          <w:rFonts w:ascii="Arial" w:hAnsi="Arial" w:cs="Arial"/>
          <w:sz w:val="18"/>
          <w:szCs w:val="18"/>
        </w:rPr>
      </w:pPr>
      <w:r>
        <w:rPr>
          <w:rFonts w:ascii="Arial" w:hAnsi="Arial" w:cs="Arial"/>
          <w:b/>
          <w:sz w:val="18"/>
          <w:szCs w:val="18"/>
        </w:rPr>
        <w:t>Obliczeniowa głębokość przemarzania</w:t>
      </w:r>
      <w:r>
        <w:rPr>
          <w:rFonts w:ascii="Arial" w:hAnsi="Arial" w:cs="Arial"/>
          <w:sz w:val="18"/>
          <w:szCs w:val="18"/>
        </w:rPr>
        <w:t xml:space="preserve"> - umowna głębokość przemarzania w danym rejonie, będąca głębokością przemarzania zredukowaną w zależności od obciążenia ruchem samochodowym i warunków gruntowo-wodnych. </w:t>
      </w:r>
    </w:p>
    <w:p w14:paraId="79CF5831" w14:textId="77777777" w:rsidR="003F49C8" w:rsidRDefault="008C2229">
      <w:pPr>
        <w:pStyle w:val="Default"/>
        <w:jc w:val="both"/>
        <w:rPr>
          <w:rFonts w:ascii="Arial" w:hAnsi="Arial" w:cs="Arial"/>
          <w:sz w:val="18"/>
          <w:szCs w:val="18"/>
        </w:rPr>
      </w:pPr>
      <w:r>
        <w:rPr>
          <w:rFonts w:ascii="Arial" w:hAnsi="Arial" w:cs="Arial"/>
          <w:b/>
          <w:sz w:val="18"/>
          <w:szCs w:val="18"/>
        </w:rPr>
        <w:t>Obszar roboczy platformy</w:t>
      </w:r>
      <w:r>
        <w:rPr>
          <w:rFonts w:ascii="Arial" w:hAnsi="Arial" w:cs="Arial"/>
          <w:sz w:val="18"/>
          <w:szCs w:val="18"/>
        </w:rPr>
        <w:t xml:space="preserve"> – wyraźnie oznakowana cześć część platformy przeznaczona do pracy ciężkiego sprzętu budowlanego na podwoziu gąsienicowym. Poza obszarem roboczym znajdują się krawędzie platformy w postaci skarp lub fragmentów wymaganych np. ze względu na kotwienie ewentualnych geosyntetyków wzmacniających, na których nie dopuszcza się pracy ciężkiego sprzętu.</w:t>
      </w:r>
    </w:p>
    <w:p w14:paraId="22774404" w14:textId="77777777" w:rsidR="003F49C8" w:rsidRDefault="008C2229">
      <w:pPr>
        <w:pStyle w:val="Default"/>
        <w:jc w:val="both"/>
        <w:rPr>
          <w:rFonts w:ascii="Arial" w:hAnsi="Arial" w:cs="Arial"/>
          <w:sz w:val="18"/>
          <w:szCs w:val="18"/>
        </w:rPr>
      </w:pPr>
      <w:r>
        <w:rPr>
          <w:rFonts w:ascii="Arial" w:hAnsi="Arial" w:cs="Arial"/>
          <w:b/>
          <w:sz w:val="18"/>
          <w:szCs w:val="18"/>
        </w:rPr>
        <w:t xml:space="preserve">Odkład </w:t>
      </w:r>
      <w:r>
        <w:rPr>
          <w:rFonts w:ascii="Arial" w:hAnsi="Arial" w:cs="Arial"/>
          <w:sz w:val="18"/>
          <w:szCs w:val="18"/>
        </w:rPr>
        <w:t xml:space="preserve">– miejsce wbudowania lub składowania gruntów pozyskanych w czasie wykonywania wykopów, a nie wykorzystywanych do budowy nasypów lub innych robót. </w:t>
      </w:r>
    </w:p>
    <w:p w14:paraId="54791CCD" w14:textId="77777777" w:rsidR="003F49C8" w:rsidRDefault="008C2229">
      <w:pPr>
        <w:pStyle w:val="Default"/>
        <w:jc w:val="both"/>
        <w:rPr>
          <w:rFonts w:ascii="Arial" w:hAnsi="Arial" w:cs="Arial"/>
          <w:sz w:val="18"/>
          <w:szCs w:val="18"/>
        </w:rPr>
      </w:pPr>
      <w:r>
        <w:rPr>
          <w:rFonts w:ascii="Arial" w:hAnsi="Arial" w:cs="Arial"/>
          <w:b/>
          <w:sz w:val="18"/>
          <w:szCs w:val="18"/>
        </w:rPr>
        <w:t>Pas drogowy</w:t>
      </w:r>
      <w:r>
        <w:rPr>
          <w:rFonts w:ascii="Arial" w:hAnsi="Arial" w:cs="Arial"/>
          <w:sz w:val="18"/>
          <w:szCs w:val="18"/>
        </w:rPr>
        <w:t xml:space="preserve"> - wydzielony teren, przeznaczony pod drogę oraz urządzenia związane z obsługą i ochroną drogi, obsługą ruchu i ochroną środowiska, a także zawierający rezerwę pod przyszłą rozbudowę drogi.</w:t>
      </w:r>
    </w:p>
    <w:p w14:paraId="4552CC06"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Platforma robocza</w:t>
      </w:r>
      <w:r>
        <w:rPr>
          <w:rFonts w:ascii="Arial" w:hAnsi="Arial" w:cs="Arial"/>
          <w:spacing w:val="-3"/>
          <w:sz w:val="18"/>
          <w:szCs w:val="18"/>
        </w:rPr>
        <w:t xml:space="preserve"> - oparta na podłożu gruntowym konstrukcja tymczasowa i stała wykonana z materiałów ziarnistych i stanowiąca nawierzchnię dla pracy ciężkiego sprzętu na podwoziu gąsienicowym.</w:t>
      </w:r>
    </w:p>
    <w:p w14:paraId="1469DD12" w14:textId="77777777" w:rsidR="003F49C8" w:rsidRDefault="008C2229">
      <w:pPr>
        <w:pStyle w:val="Default"/>
        <w:jc w:val="both"/>
        <w:rPr>
          <w:rFonts w:ascii="Arial" w:hAnsi="Arial" w:cs="Arial"/>
          <w:sz w:val="18"/>
          <w:szCs w:val="18"/>
        </w:rPr>
      </w:pPr>
      <w:r>
        <w:rPr>
          <w:rFonts w:ascii="Arial" w:hAnsi="Arial" w:cs="Arial"/>
          <w:b/>
          <w:sz w:val="18"/>
          <w:szCs w:val="18"/>
        </w:rPr>
        <w:t>Pochylenie skarpy lub zbocza</w:t>
      </w:r>
      <w:r>
        <w:rPr>
          <w:rFonts w:ascii="Arial" w:hAnsi="Arial" w:cs="Arial"/>
          <w:sz w:val="18"/>
          <w:szCs w:val="18"/>
        </w:rPr>
        <w:t xml:space="preserve"> - kąt nachylenia powierzchni skarpy lub zbocza do rzutu poziomego skarpy lub zbocza. </w:t>
      </w:r>
    </w:p>
    <w:p w14:paraId="3C52BBA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w:t>
      </w:r>
      <w:r>
        <w:rPr>
          <w:rFonts w:ascii="Arial" w:hAnsi="Arial" w:cs="Arial"/>
          <w:spacing w:val="-3"/>
          <w:sz w:val="18"/>
          <w:szCs w:val="18"/>
        </w:rPr>
        <w:t xml:space="preserve"> </w:t>
      </w:r>
      <w:r>
        <w:rPr>
          <w:rFonts w:ascii="Arial" w:hAnsi="Arial" w:cs="Arial"/>
          <w:b/>
          <w:spacing w:val="-3"/>
          <w:sz w:val="18"/>
          <w:szCs w:val="18"/>
        </w:rPr>
        <w:t xml:space="preserve">nawierzchni </w:t>
      </w:r>
      <w:r>
        <w:rPr>
          <w:rFonts w:ascii="Arial" w:hAnsi="Arial" w:cs="Arial"/>
          <w:spacing w:val="-3"/>
          <w:sz w:val="18"/>
          <w:szCs w:val="18"/>
        </w:rPr>
        <w:t>– grunt rodzimy lub nasypowy, leżący pod nawierzchnią do głębokości przemarzania.</w:t>
      </w:r>
    </w:p>
    <w:p w14:paraId="4CF6C845" w14:textId="77777777" w:rsidR="003F49C8" w:rsidRDefault="008C2229">
      <w:pPr>
        <w:pStyle w:val="Default"/>
        <w:jc w:val="both"/>
        <w:rPr>
          <w:rFonts w:ascii="Arial" w:hAnsi="Arial" w:cs="Arial"/>
          <w:sz w:val="18"/>
          <w:szCs w:val="18"/>
        </w:rPr>
      </w:pPr>
      <w:r>
        <w:rPr>
          <w:rFonts w:ascii="Arial" w:hAnsi="Arial" w:cs="Arial"/>
          <w:b/>
          <w:sz w:val="18"/>
          <w:szCs w:val="18"/>
        </w:rPr>
        <w:t>Podłoże gruntowe budowli ziemnej (nasypu lub wykopu)</w:t>
      </w:r>
      <w:r>
        <w:rPr>
          <w:rFonts w:ascii="Arial" w:hAnsi="Arial" w:cs="Arial"/>
          <w:sz w:val="18"/>
          <w:szCs w:val="18"/>
        </w:rPr>
        <w:t xml:space="preserve"> – strefa gruntu rodzimego poniżej spodu budowli ziemnej, której właściwości mają wpływ na projektowanie, wykonanie i eksploatację budowli ziemnej.</w:t>
      </w:r>
    </w:p>
    <w:p w14:paraId="326DD28A" w14:textId="77777777" w:rsidR="003F49C8" w:rsidRDefault="008C2229">
      <w:pPr>
        <w:pStyle w:val="Default"/>
        <w:jc w:val="both"/>
        <w:rPr>
          <w:rFonts w:ascii="Arial" w:hAnsi="Arial" w:cs="Arial"/>
          <w:sz w:val="18"/>
          <w:szCs w:val="18"/>
        </w:rPr>
      </w:pPr>
      <w:r>
        <w:rPr>
          <w:rFonts w:ascii="Arial" w:hAnsi="Arial" w:cs="Arial"/>
          <w:b/>
          <w:sz w:val="18"/>
          <w:szCs w:val="18"/>
        </w:rPr>
        <w:t>Projekt Geotechniczny</w:t>
      </w:r>
      <w:r>
        <w:rPr>
          <w:rFonts w:ascii="Arial" w:hAnsi="Arial" w:cs="Arial"/>
          <w:sz w:val="18"/>
          <w:szCs w:val="18"/>
        </w:rPr>
        <w:t xml:space="preserve">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3A32B8F2" w14:textId="77777777" w:rsidR="003F49C8" w:rsidRDefault="008C2229">
      <w:pPr>
        <w:pStyle w:val="Default"/>
        <w:jc w:val="both"/>
        <w:rPr>
          <w:rFonts w:ascii="Arial" w:hAnsi="Arial" w:cs="Arial"/>
          <w:sz w:val="18"/>
          <w:szCs w:val="18"/>
        </w:rPr>
      </w:pPr>
      <w:r>
        <w:rPr>
          <w:rFonts w:ascii="Arial" w:hAnsi="Arial" w:cs="Arial"/>
          <w:b/>
          <w:sz w:val="18"/>
          <w:szCs w:val="18"/>
        </w:rPr>
        <w:t>Projekt robót ziemnych</w:t>
      </w:r>
      <w:r>
        <w:rPr>
          <w:rFonts w:ascii="Arial" w:hAnsi="Arial" w:cs="Arial"/>
          <w:sz w:val="18"/>
          <w:szCs w:val="18"/>
        </w:rPr>
        <w:t xml:space="preserve"> – projekt określający proces technologiczny wykonania budowli ziemnej, spełniającej wymagania wynikające z projektu geotechnicznego (jeżeli był opracowany) i ustaleń Kontraktu.</w:t>
      </w:r>
    </w:p>
    <w:p w14:paraId="46EDFA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Rampa zjazdowa/najazdowa</w:t>
      </w:r>
      <w:r>
        <w:rPr>
          <w:rFonts w:ascii="Arial" w:hAnsi="Arial" w:cs="Arial"/>
          <w:spacing w:val="-3"/>
          <w:sz w:val="18"/>
          <w:szCs w:val="18"/>
        </w:rPr>
        <w:t xml:space="preserve"> - część platformy roboczej służąca do pokonywania różnicy poziomów między poziomem terenu a poziomem platformy roboczej lub pomiędzy platformami roboczymi zlokalizowanymi na różnych poziomach. Rampy zjazdowe/najazdowe nie służą do pracy ciężkiego sprzętu.</w:t>
      </w:r>
    </w:p>
    <w:p w14:paraId="32A916E6" w14:textId="77777777" w:rsidR="003F49C8" w:rsidRDefault="008C2229">
      <w:pPr>
        <w:pStyle w:val="Default"/>
        <w:jc w:val="both"/>
        <w:rPr>
          <w:rFonts w:ascii="Arial" w:hAnsi="Arial" w:cs="Arial"/>
          <w:sz w:val="18"/>
          <w:szCs w:val="18"/>
        </w:rPr>
      </w:pPr>
      <w:r>
        <w:rPr>
          <w:rFonts w:ascii="Arial" w:hAnsi="Arial" w:cs="Arial"/>
          <w:b/>
          <w:sz w:val="18"/>
          <w:szCs w:val="18"/>
        </w:rPr>
        <w:t>Roboty ziemne</w:t>
      </w:r>
      <w:r>
        <w:rPr>
          <w:rFonts w:ascii="Arial" w:hAnsi="Arial" w:cs="Arial"/>
          <w:sz w:val="18"/>
          <w:szCs w:val="18"/>
        </w:rPr>
        <w:t xml:space="preserve"> – termin oznaczający wszystkie czynności związane z odspajaniem, selekcjonowaniem, przemieszczaniem, profilowaniem, ulepszaniem oraz zagęszczaniem gruntów lub materiałów antropogenicznych.</w:t>
      </w:r>
    </w:p>
    <w:p w14:paraId="1BE039BE" w14:textId="77777777" w:rsidR="003F49C8" w:rsidRDefault="008C2229">
      <w:pPr>
        <w:pStyle w:val="Default"/>
        <w:jc w:val="both"/>
        <w:rPr>
          <w:rFonts w:ascii="Arial" w:hAnsi="Arial" w:cs="Arial"/>
          <w:sz w:val="18"/>
          <w:szCs w:val="18"/>
        </w:rPr>
      </w:pPr>
      <w:r>
        <w:rPr>
          <w:rFonts w:ascii="Arial" w:hAnsi="Arial" w:cs="Arial"/>
          <w:b/>
          <w:sz w:val="18"/>
          <w:szCs w:val="18"/>
        </w:rPr>
        <w:t>Rów przydrożny</w:t>
      </w:r>
      <w:r>
        <w:rPr>
          <w:rFonts w:ascii="Arial" w:hAnsi="Arial" w:cs="Arial"/>
          <w:sz w:val="18"/>
          <w:szCs w:val="18"/>
        </w:rPr>
        <w:t xml:space="preserve"> (boczny) – rów biegnący wzdłuż drogi, służący do odprowadzenia wody z korony drogi, skarp lub przyległego terenu.</w:t>
      </w:r>
    </w:p>
    <w:p w14:paraId="0413ECBE" w14:textId="77777777" w:rsidR="003F49C8" w:rsidRDefault="008C2229">
      <w:pPr>
        <w:pStyle w:val="Default"/>
        <w:jc w:val="both"/>
        <w:rPr>
          <w:rFonts w:ascii="Arial" w:hAnsi="Arial" w:cs="Arial"/>
          <w:sz w:val="18"/>
          <w:szCs w:val="18"/>
        </w:rPr>
      </w:pPr>
      <w:r>
        <w:rPr>
          <w:rFonts w:ascii="Arial" w:hAnsi="Arial" w:cs="Arial"/>
          <w:b/>
          <w:sz w:val="18"/>
          <w:szCs w:val="18"/>
        </w:rPr>
        <w:t>Rów stokowy</w:t>
      </w:r>
      <w:r>
        <w:rPr>
          <w:rFonts w:ascii="Arial" w:hAnsi="Arial" w:cs="Arial"/>
          <w:sz w:val="18"/>
          <w:szCs w:val="18"/>
        </w:rPr>
        <w:t xml:space="preserve"> – rów służący do zbierania i odprowadzania wody spływającej ze zbocza, wykonany ponad skarpą wykopu.</w:t>
      </w:r>
    </w:p>
    <w:p w14:paraId="0B6DE9C7" w14:textId="77777777" w:rsidR="003F49C8" w:rsidRDefault="008C2229">
      <w:pPr>
        <w:pStyle w:val="Default"/>
        <w:jc w:val="both"/>
        <w:rPr>
          <w:rFonts w:ascii="Arial" w:hAnsi="Arial" w:cs="Arial"/>
          <w:sz w:val="18"/>
          <w:szCs w:val="18"/>
        </w:rPr>
      </w:pPr>
      <w:r>
        <w:rPr>
          <w:rFonts w:ascii="Arial" w:hAnsi="Arial" w:cs="Arial"/>
          <w:b/>
          <w:sz w:val="18"/>
          <w:szCs w:val="18"/>
        </w:rPr>
        <w:t>Słabe podłoże</w:t>
      </w:r>
      <w:r>
        <w:rPr>
          <w:rFonts w:ascii="Arial" w:hAnsi="Arial" w:cs="Arial"/>
          <w:sz w:val="18"/>
          <w:szCs w:val="18"/>
        </w:rPr>
        <w:t xml:space="preserve"> - warstwy gruntu nie spełniające wymagań, wynikających z warunków nośności lub stateczności albo warunków przydatności do użytkowania.</w:t>
      </w:r>
    </w:p>
    <w:p w14:paraId="12AE25FA" w14:textId="77777777" w:rsidR="003F49C8" w:rsidRDefault="008C2229">
      <w:pPr>
        <w:pStyle w:val="Default"/>
        <w:jc w:val="both"/>
        <w:rPr>
          <w:rFonts w:ascii="Arial" w:hAnsi="Arial" w:cs="Arial"/>
          <w:sz w:val="18"/>
          <w:szCs w:val="18"/>
        </w:rPr>
      </w:pPr>
      <w:r>
        <w:rPr>
          <w:rFonts w:ascii="Arial" w:hAnsi="Arial" w:cs="Arial"/>
          <w:b/>
          <w:sz w:val="18"/>
          <w:szCs w:val="18"/>
        </w:rPr>
        <w:t>Skała</w:t>
      </w:r>
      <w:r>
        <w:rPr>
          <w:rFonts w:ascii="Arial" w:hAnsi="Arial" w:cs="Arial"/>
          <w:sz w:val="18"/>
          <w:szCs w:val="18"/>
        </w:rPr>
        <w:t xml:space="preserve"> – występujący w warunkach naturalnych zespół minerałów, skonsolidowanych, scementowanych lub w inny sposób powiązanych ze sobą, nie dających się rozdrobnić ręcznie po namoczeniu w wodzie.</w:t>
      </w:r>
    </w:p>
    <w:p w14:paraId="3DF3A184" w14:textId="77777777" w:rsidR="003F49C8" w:rsidRDefault="008C2229">
      <w:pPr>
        <w:pStyle w:val="Default"/>
        <w:jc w:val="both"/>
        <w:rPr>
          <w:rFonts w:ascii="Arial" w:hAnsi="Arial" w:cs="Arial"/>
          <w:sz w:val="18"/>
          <w:szCs w:val="18"/>
        </w:rPr>
      </w:pPr>
      <w:r>
        <w:rPr>
          <w:rFonts w:ascii="Arial" w:hAnsi="Arial" w:cs="Arial"/>
          <w:b/>
          <w:sz w:val="18"/>
          <w:szCs w:val="18"/>
        </w:rPr>
        <w:lastRenderedPageBreak/>
        <w:t>Skarpa</w:t>
      </w:r>
      <w:r>
        <w:rPr>
          <w:rFonts w:ascii="Arial" w:hAnsi="Arial" w:cs="Arial"/>
          <w:sz w:val="18"/>
          <w:szCs w:val="18"/>
        </w:rPr>
        <w:t xml:space="preserve"> – zewnętrzna boczna powierzchnia nasypu lub wykopu o kształcie i nachyleniu określonym w Dokumentacji Projektowej, spełniająca warunki stateczności i odwodnienia, zabezpieczona przed erozją.</w:t>
      </w:r>
    </w:p>
    <w:p w14:paraId="4688198C" w14:textId="77777777" w:rsidR="003F49C8" w:rsidRDefault="008C2229">
      <w:pPr>
        <w:pStyle w:val="Default"/>
        <w:jc w:val="both"/>
        <w:rPr>
          <w:rFonts w:ascii="Arial" w:hAnsi="Arial" w:cs="Arial"/>
          <w:sz w:val="18"/>
          <w:szCs w:val="18"/>
        </w:rPr>
      </w:pPr>
      <w:r>
        <w:rPr>
          <w:rFonts w:ascii="Arial" w:hAnsi="Arial" w:cs="Arial"/>
          <w:b/>
          <w:sz w:val="18"/>
          <w:szCs w:val="18"/>
        </w:rPr>
        <w:t>Spoiwo</w:t>
      </w:r>
      <w:r>
        <w:rPr>
          <w:rFonts w:ascii="Arial" w:hAnsi="Arial" w:cs="Arial"/>
          <w:sz w:val="18"/>
          <w:szCs w:val="18"/>
        </w:rPr>
        <w:t xml:space="preserve"> – pojedynczy materiał wiążący lub połączone materiały wiążące, których wymieszanie z gruntem lub materiałem antropogenicznym zapewnia krótkoterminową lub długoterminową poprawę właściwości.</w:t>
      </w:r>
    </w:p>
    <w:p w14:paraId="6E48EC78" w14:textId="77777777" w:rsidR="003F49C8" w:rsidRDefault="008C2229">
      <w:pPr>
        <w:pStyle w:val="Default"/>
        <w:jc w:val="both"/>
        <w:rPr>
          <w:rFonts w:ascii="Arial" w:hAnsi="Arial" w:cs="Arial"/>
          <w:sz w:val="18"/>
          <w:szCs w:val="18"/>
        </w:rPr>
      </w:pPr>
      <w:r>
        <w:rPr>
          <w:rFonts w:ascii="Arial" w:hAnsi="Arial" w:cs="Arial"/>
          <w:b/>
          <w:sz w:val="18"/>
          <w:szCs w:val="18"/>
        </w:rPr>
        <w:t>Stopień wzmocnienia gruntu</w:t>
      </w:r>
      <w:r>
        <w:rPr>
          <w:rFonts w:ascii="Arial" w:hAnsi="Arial" w:cs="Arial"/>
          <w:sz w:val="18"/>
          <w:szCs w:val="18"/>
        </w:rPr>
        <w:t xml:space="preserve"> (Sw) — stosunek objętości kolumn iniekcyjnych do ogólnej objętości bryły podłoża gruntowego podlegającej wzmocnieniu. Stopień ten zależny jest od średnicy kolumn, ich rozstawu i głębokości.</w:t>
      </w:r>
    </w:p>
    <w:p w14:paraId="7EA4A4E9" w14:textId="77777777" w:rsidR="003F49C8" w:rsidRDefault="008C2229">
      <w:pPr>
        <w:pStyle w:val="Default"/>
        <w:jc w:val="both"/>
        <w:rPr>
          <w:rFonts w:ascii="Arial" w:hAnsi="Arial" w:cs="Arial"/>
          <w:sz w:val="18"/>
          <w:szCs w:val="18"/>
        </w:rPr>
      </w:pPr>
      <w:r>
        <w:rPr>
          <w:rFonts w:ascii="Arial" w:hAnsi="Arial" w:cs="Arial"/>
          <w:b/>
          <w:sz w:val="18"/>
          <w:szCs w:val="18"/>
        </w:rPr>
        <w:t>Strefa nasypu</w:t>
      </w:r>
      <w:r>
        <w:rPr>
          <w:rFonts w:ascii="Arial" w:hAnsi="Arial" w:cs="Arial"/>
          <w:sz w:val="18"/>
          <w:szCs w:val="18"/>
        </w:rPr>
        <w:t xml:space="preserve"> – wydzielona część nasypu, na przykład podstawa lub górna część korpusu ziemnego, w odniesieniu do której zostały określone indywidualne wymagania.</w:t>
      </w:r>
    </w:p>
    <w:p w14:paraId="0D577F7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Technologia „jet-grouting”</w:t>
      </w:r>
      <w:r>
        <w:rPr>
          <w:rFonts w:ascii="Arial" w:hAnsi="Arial" w:cs="Arial"/>
          <w:spacing w:val="-3"/>
          <w:sz w:val="18"/>
          <w:szCs w:val="18"/>
        </w:rPr>
        <w:t xml:space="preserve"> - sposób iniekcyjnego wzmacniania gruntu przy użyciu zaczynu wiążącego, w którym insekt wyrzucany jest z dysz iniekcyjnych w kierunku poziomym (po obwodzie zapuszczanego w grunt przewodu iniekcyjnego) strumieniem pod ciśnieniem mierzonym na króćcu tłocznym pompy. Przewód iniekcyjny w trakcie wyrzucania iniektu podlega ruchowi posuwistemu i obrotowi.</w:t>
      </w:r>
    </w:p>
    <w:p w14:paraId="70C11B8B" w14:textId="77777777" w:rsidR="003F49C8" w:rsidRDefault="008C2229">
      <w:pPr>
        <w:pStyle w:val="Default"/>
        <w:jc w:val="both"/>
        <w:rPr>
          <w:rFonts w:ascii="Arial" w:hAnsi="Arial" w:cs="Arial"/>
          <w:sz w:val="18"/>
          <w:szCs w:val="18"/>
        </w:rPr>
      </w:pPr>
      <w:r>
        <w:rPr>
          <w:rFonts w:ascii="Arial" w:hAnsi="Arial" w:cs="Arial"/>
          <w:b/>
          <w:sz w:val="18"/>
          <w:szCs w:val="18"/>
        </w:rPr>
        <w:t>Tymczasowa powierzchnia robót ziemnych</w:t>
      </w:r>
      <w:r>
        <w:rPr>
          <w:rFonts w:ascii="Arial" w:hAnsi="Arial" w:cs="Arial"/>
          <w:sz w:val="18"/>
          <w:szCs w:val="18"/>
        </w:rPr>
        <w:t xml:space="preserve"> - powierzchnia korony drogi, skarp i rowów w czasie wykonywania robót ziemnych.</w:t>
      </w:r>
    </w:p>
    <w:p w14:paraId="3B4A894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Ukop</w:t>
      </w:r>
      <w:r>
        <w:rPr>
          <w:rFonts w:ascii="Arial" w:hAnsi="Arial" w:cs="Arial"/>
          <w:spacing w:val="-3"/>
          <w:sz w:val="18"/>
          <w:szCs w:val="18"/>
        </w:rPr>
        <w:t xml:space="preserve"> – miejsce pozyskania gruntu do wykonania nasypów, położone w obrębie pasa robót drogowych.</w:t>
      </w:r>
    </w:p>
    <w:p w14:paraId="3580298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Ulepszone podłoże nawierzchni</w:t>
      </w:r>
      <w:r>
        <w:rPr>
          <w:rFonts w:ascii="Arial" w:hAnsi="Arial" w:cs="Arial"/>
          <w:spacing w:val="-3"/>
          <w:sz w:val="18"/>
          <w:szCs w:val="18"/>
        </w:rPr>
        <w:t xml:space="preserve"> - wierzchnia warstwa podłoża gruntowego nawierzchni ulepszona w celu zwiększenia nośności gruntu rodzimego w wykopie lub materiału nasypowego albo zwiększenia odporności nawierzchni na powstawanie wysadzin. </w:t>
      </w:r>
    </w:p>
    <w:p w14:paraId="10C4F7C2" w14:textId="77777777" w:rsidR="003F49C8" w:rsidRDefault="008C2229">
      <w:pPr>
        <w:pStyle w:val="Default"/>
        <w:jc w:val="both"/>
        <w:rPr>
          <w:rFonts w:ascii="Arial" w:hAnsi="Arial" w:cs="Arial"/>
          <w:sz w:val="18"/>
          <w:szCs w:val="18"/>
        </w:rPr>
      </w:pPr>
      <w:r>
        <w:rPr>
          <w:rFonts w:ascii="Arial" w:hAnsi="Arial" w:cs="Arial"/>
          <w:b/>
          <w:sz w:val="18"/>
          <w:szCs w:val="18"/>
        </w:rPr>
        <w:t>Warunki Wykonania i Odbioru Robót Budowlanych</w:t>
      </w:r>
      <w:r>
        <w:rPr>
          <w:rFonts w:ascii="Arial" w:hAnsi="Arial" w:cs="Arial"/>
          <w:sz w:val="18"/>
          <w:szCs w:val="18"/>
        </w:rPr>
        <w:t xml:space="preserve"> (STWiORB) – dokument opisujący zasady doboru materiałów, wykonania, odbioru, obmiaru oraz zasady płatności za wykonane roboty</w:t>
      </w:r>
    </w:p>
    <w:p w14:paraId="6F61824C" w14:textId="77777777" w:rsidR="003F49C8" w:rsidRDefault="008C2229">
      <w:pPr>
        <w:pStyle w:val="Default"/>
        <w:jc w:val="both"/>
        <w:rPr>
          <w:rFonts w:ascii="Arial" w:hAnsi="Arial" w:cs="Arial"/>
          <w:sz w:val="18"/>
          <w:szCs w:val="18"/>
        </w:rPr>
      </w:pPr>
      <w:r>
        <w:rPr>
          <w:rFonts w:ascii="Arial" w:hAnsi="Arial" w:cs="Arial"/>
          <w:b/>
          <w:sz w:val="18"/>
          <w:szCs w:val="18"/>
        </w:rPr>
        <w:t>Wibrator</w:t>
      </w:r>
      <w:r>
        <w:rPr>
          <w:rFonts w:ascii="Arial" w:hAnsi="Arial" w:cs="Arial"/>
          <w:sz w:val="18"/>
          <w:szCs w:val="18"/>
        </w:rPr>
        <w:t xml:space="preserve"> (młot wibracyjny) - narzędzie budowlane do zagłębiania i wyciągania pali, rur obsadowych lub osłonowych z zastosowaniem sił wibracji.</w:t>
      </w:r>
    </w:p>
    <w:p w14:paraId="0AD09FFD" w14:textId="77777777" w:rsidR="003F49C8" w:rsidRDefault="008C2229">
      <w:pPr>
        <w:pStyle w:val="Default"/>
        <w:jc w:val="both"/>
        <w:rPr>
          <w:rFonts w:ascii="Arial" w:hAnsi="Arial" w:cs="Arial"/>
          <w:sz w:val="18"/>
          <w:szCs w:val="18"/>
        </w:rPr>
      </w:pPr>
      <w:r>
        <w:rPr>
          <w:rFonts w:ascii="Arial" w:hAnsi="Arial" w:cs="Arial"/>
          <w:b/>
          <w:sz w:val="18"/>
          <w:szCs w:val="18"/>
        </w:rPr>
        <w:t>Wilgotność</w:t>
      </w:r>
      <w:r>
        <w:rPr>
          <w:rFonts w:ascii="Arial" w:hAnsi="Arial" w:cs="Arial"/>
          <w:sz w:val="18"/>
          <w:szCs w:val="18"/>
        </w:rPr>
        <w:t xml:space="preserve"> – stosunek masy wody zawartej w próbce do masy szkieletu gruntu lub materiału antropogenicznego. </w:t>
      </w:r>
    </w:p>
    <w:p w14:paraId="0096627D" w14:textId="77777777" w:rsidR="003F49C8" w:rsidRDefault="008C2229">
      <w:pPr>
        <w:pStyle w:val="Default"/>
        <w:jc w:val="both"/>
        <w:rPr>
          <w:rFonts w:ascii="Arial" w:hAnsi="Arial" w:cs="Arial"/>
          <w:sz w:val="18"/>
          <w:szCs w:val="18"/>
        </w:rPr>
      </w:pPr>
      <w:r>
        <w:rPr>
          <w:rFonts w:ascii="Arial" w:hAnsi="Arial" w:cs="Arial"/>
          <w:b/>
          <w:sz w:val="18"/>
          <w:szCs w:val="18"/>
        </w:rPr>
        <w:t>Wilgotność optymalna</w:t>
      </w:r>
      <w:r>
        <w:rPr>
          <w:rFonts w:ascii="Arial" w:hAnsi="Arial" w:cs="Arial"/>
          <w:sz w:val="18"/>
          <w:szCs w:val="18"/>
        </w:rPr>
        <w:t xml:space="preserve"> – wilgotność gruntu lub materiału antropogenicznego, w której użycie konkretnej energii zagęszczania powoduje uzyskanie maksymalnej gęstości objętościowej szkieletu.</w:t>
      </w:r>
    </w:p>
    <w:p w14:paraId="244D040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Wpęd</w:t>
      </w:r>
      <w:r>
        <w:rPr>
          <w:rFonts w:ascii="Arial" w:hAnsi="Arial" w:cs="Arial"/>
          <w:spacing w:val="-3"/>
          <w:sz w:val="18"/>
          <w:szCs w:val="18"/>
        </w:rPr>
        <w:t xml:space="preserve"> - średnie trwałe zagłębienie pala w grunt na jedno uderzenie, mierzone po serii uderzeń.</w:t>
      </w:r>
    </w:p>
    <w:p w14:paraId="399FE68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jednorodności uziarnienia</w:t>
      </w:r>
      <w:r>
        <w:rPr>
          <w:rFonts w:ascii="Arial" w:hAnsi="Arial" w:cs="Arial"/>
          <w:spacing w:val="-3"/>
          <w:sz w:val="18"/>
          <w:szCs w:val="18"/>
        </w:rPr>
        <w:t xml:space="preserve"> – wielkość charakteryzująca zagęszczalność gruntów niespoistych, określona według wzoru:</w:t>
      </w:r>
    </w:p>
    <w:p w14:paraId="465C46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67DA1EA7" wp14:editId="35D6DEC9">
            <wp:extent cx="793493" cy="483079"/>
            <wp:effectExtent l="0" t="0" r="698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7336" cy="491506"/>
                    </a:xfrm>
                    <a:prstGeom prst="rect">
                      <a:avLst/>
                    </a:prstGeom>
                    <a:noFill/>
                    <a:ln>
                      <a:noFill/>
                    </a:ln>
                  </pic:spPr>
                </pic:pic>
              </a:graphicData>
            </a:graphic>
          </wp:inline>
        </w:drawing>
      </w:r>
    </w:p>
    <w:p w14:paraId="5D119EF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w którym: </w:t>
      </w:r>
    </w:p>
    <w:p w14:paraId="080C44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pacing w:val="-3"/>
          <w:sz w:val="18"/>
          <w:szCs w:val="18"/>
        </w:rPr>
        <w:t xml:space="preserve"> - wymiar cząstek, których masa wraz z mniejszymi stanowi 60% masy próbki wysuszonej [mm], </w:t>
      </w:r>
    </w:p>
    <w:p w14:paraId="59A5C86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pacing w:val="-3"/>
          <w:sz w:val="18"/>
          <w:szCs w:val="18"/>
        </w:rPr>
        <w:t xml:space="preserve"> - wymiar cząstek, których masa wraz z mniejszymi stanowi 10% masy próbki wysuszonej [mm]</w:t>
      </w:r>
    </w:p>
    <w:p w14:paraId="4806876A" w14:textId="77777777" w:rsidR="003F49C8" w:rsidRDefault="008C2229">
      <w:pPr>
        <w:pStyle w:val="Default"/>
        <w:jc w:val="both"/>
        <w:rPr>
          <w:rFonts w:ascii="Arial" w:hAnsi="Arial" w:cs="Arial"/>
          <w:sz w:val="18"/>
          <w:szCs w:val="18"/>
        </w:rPr>
      </w:pPr>
      <w:r>
        <w:rPr>
          <w:rFonts w:ascii="Arial" w:hAnsi="Arial" w:cs="Arial"/>
          <w:b/>
          <w:sz w:val="18"/>
          <w:szCs w:val="18"/>
        </w:rPr>
        <w:t>Wskaźnik krzywizny uziarnienia</w:t>
      </w:r>
      <w:r>
        <w:rPr>
          <w:rFonts w:ascii="Arial" w:hAnsi="Arial" w:cs="Arial"/>
          <w:sz w:val="18"/>
          <w:szCs w:val="18"/>
        </w:rPr>
        <w:t xml:space="preserve"> – wielkość charakteryzująca grunt, określona wg wzoru:</w:t>
      </w:r>
    </w:p>
    <w:p w14:paraId="3D85BF7B" w14:textId="77777777" w:rsidR="003F49C8" w:rsidRDefault="008C2229">
      <w:pPr>
        <w:pStyle w:val="Default"/>
        <w:jc w:val="center"/>
        <w:rPr>
          <w:rFonts w:ascii="Arial" w:hAnsi="Arial" w:cs="Arial"/>
          <w:sz w:val="18"/>
          <w:szCs w:val="18"/>
        </w:rPr>
      </w:pPr>
      <w:r>
        <w:rPr>
          <w:rFonts w:ascii="Arial" w:hAnsi="Arial" w:cs="Arial"/>
          <w:noProof/>
          <w:sz w:val="18"/>
          <w:szCs w:val="18"/>
        </w:rPr>
        <w:drawing>
          <wp:inline distT="0" distB="0" distL="0" distR="0" wp14:anchorId="0F2D9100" wp14:editId="62206784">
            <wp:extent cx="1078302" cy="458745"/>
            <wp:effectExtent l="0" t="0" r="762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0937" cy="464120"/>
                    </a:xfrm>
                    <a:prstGeom prst="rect">
                      <a:avLst/>
                    </a:prstGeom>
                    <a:noFill/>
                    <a:ln>
                      <a:noFill/>
                    </a:ln>
                  </pic:spPr>
                </pic:pic>
              </a:graphicData>
            </a:graphic>
          </wp:inline>
        </w:drawing>
      </w:r>
    </w:p>
    <w:p w14:paraId="4F0FA095"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2590583C"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-wymiar cząstek, których masa wraz z mniejszymi stanowi 10% masy próbki wysuszonej [mm], </w:t>
      </w:r>
    </w:p>
    <w:p w14:paraId="2D95C30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30</w:t>
      </w:r>
      <w:r>
        <w:rPr>
          <w:rFonts w:ascii="Arial" w:hAnsi="Arial" w:cs="Arial"/>
          <w:sz w:val="18"/>
          <w:szCs w:val="18"/>
        </w:rPr>
        <w:t xml:space="preserve"> -wymiar cząstek, których masa wraz z mniejszymi stanowi 30% masy próbki wysuszonej [mm], </w:t>
      </w:r>
    </w:p>
    <w:p w14:paraId="6568879D" w14:textId="77777777" w:rsidR="003F49C8" w:rsidRDefault="008C2229">
      <w:pPr>
        <w:pStyle w:val="Default"/>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-wymiar cząstek, których masa wraz z mniejszymi stanowi 60% masy próbki wysuszonej [mm].</w:t>
      </w:r>
    </w:p>
    <w:p w14:paraId="76276D38" w14:textId="77777777" w:rsidR="003F49C8" w:rsidRDefault="008C2229">
      <w:pPr>
        <w:pStyle w:val="Default"/>
        <w:jc w:val="both"/>
        <w:rPr>
          <w:rFonts w:ascii="Arial" w:hAnsi="Arial" w:cs="Arial"/>
          <w:sz w:val="18"/>
          <w:szCs w:val="18"/>
        </w:rPr>
      </w:pPr>
      <w:r>
        <w:rPr>
          <w:rFonts w:ascii="Arial" w:hAnsi="Arial" w:cs="Arial"/>
          <w:b/>
          <w:sz w:val="18"/>
          <w:szCs w:val="18"/>
        </w:rPr>
        <w:t>Wskaźnik odkształcenia gruntu</w:t>
      </w:r>
      <w:r>
        <w:rPr>
          <w:rFonts w:ascii="Arial" w:hAnsi="Arial" w:cs="Arial"/>
          <w:sz w:val="18"/>
          <w:szCs w:val="18"/>
        </w:rPr>
        <w:t xml:space="preserve"> - wielkość charakteryzująca stan zagęszczenia gruntu, określona według wzoru:</w:t>
      </w:r>
    </w:p>
    <w:p w14:paraId="6195FFB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10302DD7" wp14:editId="235B4063">
            <wp:extent cx="577970" cy="449750"/>
            <wp:effectExtent l="0" t="0" r="0" b="762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8219" cy="457725"/>
                    </a:xfrm>
                    <a:prstGeom prst="rect">
                      <a:avLst/>
                    </a:prstGeom>
                    <a:noFill/>
                    <a:ln>
                      <a:noFill/>
                    </a:ln>
                  </pic:spPr>
                </pic:pic>
              </a:graphicData>
            </a:graphic>
          </wp:inline>
        </w:drawing>
      </w:r>
    </w:p>
    <w:p w14:paraId="528011C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gdzie: </w:t>
      </w:r>
    </w:p>
    <w:p w14:paraId="1636FAA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1</w:t>
      </w:r>
      <w:r>
        <w:rPr>
          <w:rFonts w:ascii="Arial" w:hAnsi="Arial" w:cs="Arial"/>
          <w:spacing w:val="-3"/>
          <w:sz w:val="18"/>
          <w:szCs w:val="18"/>
        </w:rPr>
        <w:t xml:space="preserve"> - moduł odkształcenia gruntu oznaczony w pierwszym obciążeniu badanej warstwy, </w:t>
      </w:r>
    </w:p>
    <w:p w14:paraId="5639A53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E</w:t>
      </w:r>
      <w:r>
        <w:rPr>
          <w:rFonts w:ascii="Arial" w:hAnsi="Arial" w:cs="Arial"/>
          <w:spacing w:val="-3"/>
          <w:sz w:val="18"/>
          <w:szCs w:val="18"/>
          <w:vertAlign w:val="subscript"/>
        </w:rPr>
        <w:t>2</w:t>
      </w:r>
      <w:r>
        <w:rPr>
          <w:rFonts w:ascii="Arial" w:hAnsi="Arial" w:cs="Arial"/>
          <w:spacing w:val="-3"/>
          <w:sz w:val="18"/>
          <w:szCs w:val="18"/>
        </w:rPr>
        <w:t xml:space="preserve"> - moduł odkształcenia gruntu oznaczony w powtórnym obciążeniu badanej warstwy</w:t>
      </w:r>
    </w:p>
    <w:p w14:paraId="7C8407B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Wskaźnik zagęszczenia gruntu</w:t>
      </w:r>
      <w:r>
        <w:rPr>
          <w:rFonts w:ascii="Arial" w:hAnsi="Arial" w:cs="Arial"/>
          <w:spacing w:val="-3"/>
          <w:sz w:val="18"/>
          <w:szCs w:val="18"/>
        </w:rPr>
        <w:t xml:space="preserve"> – wielkość charakteryzująca stan zagęszczenia gruntu lub materiału antropogenicznego, badana zgodnie z Załącznikiem 2 (procedura według normy BN-77/8931-12), określona według wzoru:</w:t>
      </w:r>
    </w:p>
    <w:p w14:paraId="702813E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center"/>
        <w:rPr>
          <w:rFonts w:ascii="Arial" w:hAnsi="Arial" w:cs="Arial"/>
          <w:spacing w:val="-3"/>
          <w:sz w:val="18"/>
          <w:szCs w:val="18"/>
        </w:rPr>
      </w:pPr>
      <w:r>
        <w:rPr>
          <w:rFonts w:ascii="Arial" w:hAnsi="Arial" w:cs="Arial"/>
          <w:noProof/>
          <w:spacing w:val="-3"/>
          <w:sz w:val="18"/>
          <w:szCs w:val="18"/>
        </w:rPr>
        <w:drawing>
          <wp:inline distT="0" distB="0" distL="0" distR="0" wp14:anchorId="7EC1E10A" wp14:editId="6EE33CFC">
            <wp:extent cx="696760" cy="457200"/>
            <wp:effectExtent l="0" t="0" r="825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14684" cy="468962"/>
                    </a:xfrm>
                    <a:prstGeom prst="rect">
                      <a:avLst/>
                    </a:prstGeom>
                    <a:noFill/>
                    <a:ln>
                      <a:noFill/>
                    </a:ln>
                  </pic:spPr>
                </pic:pic>
              </a:graphicData>
            </a:graphic>
          </wp:inline>
        </w:drawing>
      </w:r>
    </w:p>
    <w:p w14:paraId="4C904F79" w14:textId="77777777" w:rsidR="003F49C8" w:rsidRDefault="008C2229">
      <w:pPr>
        <w:pStyle w:val="Default"/>
        <w:jc w:val="both"/>
        <w:rPr>
          <w:rFonts w:ascii="Arial" w:hAnsi="Arial" w:cs="Arial"/>
          <w:sz w:val="18"/>
          <w:szCs w:val="18"/>
        </w:rPr>
      </w:pPr>
      <w:r>
        <w:rPr>
          <w:rFonts w:ascii="Arial" w:hAnsi="Arial" w:cs="Arial"/>
          <w:sz w:val="18"/>
          <w:szCs w:val="18"/>
        </w:rPr>
        <w:t xml:space="preserve">w którym: </w:t>
      </w:r>
    </w:p>
    <w:p w14:paraId="5745A49B" w14:textId="77777777" w:rsidR="003F49C8" w:rsidRDefault="00000000">
      <w:pPr>
        <w:pStyle w:val="Default"/>
        <w:jc w:val="both"/>
        <w:rPr>
          <w:rFonts w:ascii="Arial"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sz w:val="18"/>
          <w:szCs w:val="18"/>
        </w:rPr>
        <w:t>-gęstość objętościowa szkieletu zagęszczonego gruntu lub materiału antropogenicznego, [Mg/m</w:t>
      </w:r>
      <w:r w:rsidR="008C2229">
        <w:rPr>
          <w:rFonts w:ascii="Arial" w:hAnsi="Arial" w:cs="Arial"/>
          <w:sz w:val="18"/>
          <w:szCs w:val="18"/>
          <w:vertAlign w:val="superscript"/>
        </w:rPr>
        <w:t>3</w:t>
      </w:r>
      <w:r w:rsidR="008C2229">
        <w:rPr>
          <w:rFonts w:ascii="Arial" w:hAnsi="Arial" w:cs="Arial"/>
          <w:sz w:val="18"/>
          <w:szCs w:val="18"/>
        </w:rPr>
        <w:t xml:space="preserve">], </w:t>
      </w:r>
    </w:p>
    <w:p w14:paraId="25C8AB5F" w14:textId="77777777" w:rsidR="003F49C8" w:rsidRDefault="00000000">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z w:val="18"/>
          <w:szCs w:val="18"/>
        </w:rPr>
      </w:pPr>
      <m:oMath>
        <m:sSub>
          <m:sSubPr>
            <m:ctrlPr>
              <w:rPr>
                <w:rFonts w:ascii="Cambria Math" w:hAnsi="Cambria Math" w:cs="Arial"/>
                <w:i/>
                <w:color w:val="000000"/>
                <w:sz w:val="18"/>
                <w:szCs w:val="18"/>
              </w:rPr>
            </m:ctrlPr>
          </m:sSubPr>
          <m:e>
            <m:r>
              <w:rPr>
                <w:rFonts w:ascii="Cambria Math" w:hAnsi="Cambria Math" w:cs="Arial"/>
                <w:sz w:val="18"/>
                <w:szCs w:val="18"/>
              </w:rPr>
              <m:t>ρ</m:t>
            </m:r>
          </m:e>
          <m:sub>
            <m:r>
              <w:rPr>
                <w:rFonts w:ascii="Cambria Math" w:hAnsi="Cambria Math" w:cs="Arial"/>
                <w:sz w:val="18"/>
                <w:szCs w:val="18"/>
              </w:rPr>
              <m:t>d</m:t>
            </m:r>
          </m:sub>
        </m:sSub>
      </m:oMath>
      <w:r w:rsidR="008C2229">
        <w:rPr>
          <w:rFonts w:ascii="Arial" w:hAnsi="Arial" w:cs="Arial"/>
          <w:color w:val="000000"/>
          <w:sz w:val="18"/>
          <w:szCs w:val="18"/>
        </w:rPr>
        <w:t>- maksymalna gęstość objętościowa szkieletu gruntu lub materiału antropogenicznego przy wilgotności optymalnej, określona w normalnej próbie Proctora, [Mg/m</w:t>
      </w:r>
      <w:r w:rsidR="008C2229">
        <w:rPr>
          <w:rFonts w:ascii="Arial" w:hAnsi="Arial" w:cs="Arial"/>
          <w:color w:val="000000"/>
          <w:sz w:val="18"/>
          <w:szCs w:val="18"/>
          <w:vertAlign w:val="superscript"/>
        </w:rPr>
        <w:t>3</w:t>
      </w:r>
      <w:r w:rsidR="008C2229">
        <w:rPr>
          <w:rFonts w:ascii="Arial" w:hAnsi="Arial" w:cs="Arial"/>
          <w:color w:val="000000"/>
          <w:sz w:val="18"/>
          <w:szCs w:val="18"/>
        </w:rPr>
        <w:t>].</w:t>
      </w:r>
    </w:p>
    <w:p w14:paraId="1E6325EB" w14:textId="77777777" w:rsidR="003F49C8" w:rsidRDefault="008C2229">
      <w:pPr>
        <w:pStyle w:val="Default"/>
        <w:jc w:val="both"/>
        <w:rPr>
          <w:rFonts w:ascii="Arial" w:hAnsi="Arial" w:cs="Arial"/>
          <w:sz w:val="18"/>
          <w:szCs w:val="18"/>
        </w:rPr>
      </w:pPr>
      <w:r>
        <w:rPr>
          <w:rFonts w:ascii="Arial" w:hAnsi="Arial" w:cs="Arial"/>
          <w:b/>
          <w:sz w:val="18"/>
          <w:szCs w:val="18"/>
        </w:rPr>
        <w:t>Wspomaganie zagłębiania</w:t>
      </w:r>
      <w:r>
        <w:rPr>
          <w:rFonts w:ascii="Arial" w:hAnsi="Arial" w:cs="Arial"/>
          <w:sz w:val="18"/>
          <w:szCs w:val="18"/>
        </w:rPr>
        <w:t xml:space="preserve"> - metoda używana do ułatwienia zagłębiania pala w grunt, np. podpłukiwanie, wstępne przewiercanie, użycie materiałów wybuchowych, wstępne wbijanie.</w:t>
      </w:r>
    </w:p>
    <w:p w14:paraId="5CB26A02" w14:textId="77777777" w:rsidR="003F49C8" w:rsidRDefault="008C2229">
      <w:pPr>
        <w:pStyle w:val="Default"/>
        <w:jc w:val="both"/>
        <w:rPr>
          <w:rFonts w:ascii="Arial" w:hAnsi="Arial" w:cs="Arial"/>
          <w:sz w:val="18"/>
          <w:szCs w:val="18"/>
        </w:rPr>
      </w:pPr>
      <w:r>
        <w:rPr>
          <w:rFonts w:ascii="Arial" w:hAnsi="Arial" w:cs="Arial"/>
          <w:b/>
          <w:sz w:val="18"/>
          <w:szCs w:val="18"/>
        </w:rPr>
        <w:t>Wstępne przewiercanie</w:t>
      </w:r>
      <w:r>
        <w:rPr>
          <w:rFonts w:ascii="Arial" w:hAnsi="Arial" w:cs="Arial"/>
          <w:sz w:val="18"/>
          <w:szCs w:val="18"/>
        </w:rPr>
        <w:t xml:space="preserve"> (świdrem, płuczkowe) - wiercenie przez przeszkody lub materiały zbyt zwarte, by mogły być przebite za pomocą projektowanego pala i urządzenia do zagłębiania.</w:t>
      </w:r>
    </w:p>
    <w:p w14:paraId="4399AD10" w14:textId="77777777" w:rsidR="003F49C8" w:rsidRDefault="008C2229">
      <w:pPr>
        <w:pStyle w:val="Default"/>
        <w:jc w:val="both"/>
        <w:rPr>
          <w:rFonts w:ascii="Arial" w:hAnsi="Arial" w:cs="Arial"/>
          <w:sz w:val="18"/>
          <w:szCs w:val="18"/>
        </w:rPr>
      </w:pPr>
      <w:r>
        <w:rPr>
          <w:rFonts w:ascii="Arial" w:hAnsi="Arial" w:cs="Arial"/>
          <w:b/>
          <w:sz w:val="18"/>
          <w:szCs w:val="18"/>
        </w:rPr>
        <w:t>Wykop</w:t>
      </w:r>
      <w:r>
        <w:rPr>
          <w:rFonts w:ascii="Arial" w:hAnsi="Arial" w:cs="Arial"/>
          <w:sz w:val="18"/>
          <w:szCs w:val="18"/>
        </w:rPr>
        <w:t xml:space="preserve"> - budowla ziemna wykonana w obrębie pasa drogowego, w postaci odpowiednio ukształtowanej przestrzeni powstałej w wyniku usunięcia z niej gruntu. </w:t>
      </w:r>
    </w:p>
    <w:p w14:paraId="79910C9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Wymiana częściowa</w:t>
      </w:r>
      <w:r>
        <w:rPr>
          <w:rFonts w:ascii="Arial" w:hAnsi="Arial" w:cs="Arial"/>
          <w:spacing w:val="-3"/>
          <w:sz w:val="18"/>
          <w:szCs w:val="18"/>
        </w:rPr>
        <w:t xml:space="preserve"> – usunięcie części słabych warstw i wykonanie poduszki gruntowej, gdyby grubość warstw słabonośnych jest większa od 3 – 5 m, albo gdy do ich wybrania byłoby potrzebne odwodnienie, a także jako wstępna faza wgłębnego wzmocnienia podłoża w przypadkach zalegania wielometrowych warstw gruntu słabonośnego</w:t>
      </w:r>
    </w:p>
    <w:p w14:paraId="4C9CC5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Wymiana pełna</w:t>
      </w:r>
      <w:r>
        <w:rPr>
          <w:rFonts w:ascii="Arial" w:hAnsi="Arial" w:cs="Arial"/>
          <w:spacing w:val="-3"/>
          <w:sz w:val="18"/>
          <w:szCs w:val="18"/>
        </w:rPr>
        <w:t xml:space="preserve"> – usunięcie z podłoża słabych warstw i budowa nasypu</w:t>
      </w:r>
    </w:p>
    <w:p w14:paraId="35449AAD" w14:textId="77777777" w:rsidR="003F49C8" w:rsidRDefault="008C2229">
      <w:pPr>
        <w:pStyle w:val="Default"/>
        <w:jc w:val="both"/>
        <w:rPr>
          <w:rFonts w:ascii="Arial" w:hAnsi="Arial" w:cs="Arial"/>
          <w:sz w:val="18"/>
          <w:szCs w:val="18"/>
        </w:rPr>
      </w:pPr>
      <w:r>
        <w:rPr>
          <w:rFonts w:ascii="Arial" w:hAnsi="Arial" w:cs="Arial"/>
          <w:b/>
          <w:sz w:val="18"/>
          <w:szCs w:val="18"/>
        </w:rPr>
        <w:t>Wysadzina</w:t>
      </w:r>
      <w:r>
        <w:rPr>
          <w:rFonts w:ascii="Arial" w:hAnsi="Arial" w:cs="Arial"/>
          <w:sz w:val="18"/>
          <w:szCs w:val="18"/>
        </w:rPr>
        <w:t xml:space="preserve"> - przemieszczenie ku górze gruntu lub pala</w:t>
      </w:r>
    </w:p>
    <w:p w14:paraId="23EE9E17" w14:textId="77777777" w:rsidR="003F49C8" w:rsidRDefault="008C2229">
      <w:pPr>
        <w:pStyle w:val="Default"/>
        <w:jc w:val="both"/>
        <w:rPr>
          <w:rFonts w:ascii="Arial" w:hAnsi="Arial" w:cs="Arial"/>
          <w:sz w:val="18"/>
          <w:szCs w:val="18"/>
        </w:rPr>
      </w:pPr>
      <w:r>
        <w:rPr>
          <w:rFonts w:ascii="Arial" w:hAnsi="Arial" w:cs="Arial"/>
          <w:b/>
          <w:sz w:val="18"/>
          <w:szCs w:val="18"/>
        </w:rPr>
        <w:t>Wysokość nasypu lub głębokość wykopu</w:t>
      </w:r>
      <w:r>
        <w:rPr>
          <w:rFonts w:ascii="Arial" w:hAnsi="Arial" w:cs="Arial"/>
          <w:sz w:val="18"/>
          <w:szCs w:val="18"/>
        </w:rPr>
        <w:t xml:space="preserve"> – różnica rzędnej terenu i rzędnej niwelety robót ziemnych wyznaczona w osi drogi. </w:t>
      </w:r>
    </w:p>
    <w:p w14:paraId="14339786" w14:textId="77777777" w:rsidR="003F49C8" w:rsidRDefault="008C2229">
      <w:pPr>
        <w:pStyle w:val="Default"/>
        <w:jc w:val="both"/>
        <w:rPr>
          <w:rFonts w:ascii="Arial" w:hAnsi="Arial" w:cs="Arial"/>
          <w:sz w:val="18"/>
          <w:szCs w:val="18"/>
        </w:rPr>
      </w:pPr>
      <w:r>
        <w:rPr>
          <w:rFonts w:ascii="Arial" w:hAnsi="Arial" w:cs="Arial"/>
          <w:b/>
          <w:sz w:val="18"/>
          <w:szCs w:val="18"/>
        </w:rPr>
        <w:t>Wzmocnienie podłoża</w:t>
      </w:r>
      <w:r>
        <w:rPr>
          <w:rFonts w:ascii="Arial" w:hAnsi="Arial" w:cs="Arial"/>
          <w:sz w:val="18"/>
          <w:szCs w:val="18"/>
        </w:rPr>
        <w:t xml:space="preserve"> - geoinżynieryjne metody modyfikujące właściwości fizyko-mechaniczne gruntów poprzez trwałe nadanie podłożu gruntowemu właściwości zwiększających jego nośność oraz zmniejszających odkształcalność i wrażliwość na wpływ czynników atmosferycznych.</w:t>
      </w:r>
    </w:p>
    <w:p w14:paraId="1A48A7E1" w14:textId="77777777" w:rsidR="003F49C8" w:rsidRDefault="008C2229">
      <w:pPr>
        <w:pStyle w:val="Default"/>
        <w:jc w:val="both"/>
        <w:rPr>
          <w:rFonts w:ascii="Arial" w:hAnsi="Arial" w:cs="Arial"/>
          <w:sz w:val="18"/>
          <w:szCs w:val="18"/>
        </w:rPr>
      </w:pPr>
      <w:r>
        <w:rPr>
          <w:rFonts w:ascii="Arial" w:hAnsi="Arial" w:cs="Arial"/>
          <w:b/>
          <w:sz w:val="18"/>
          <w:szCs w:val="18"/>
        </w:rPr>
        <w:t>Wzmocnione podłoże nasypu</w:t>
      </w:r>
      <w:r>
        <w:rPr>
          <w:rFonts w:ascii="Arial" w:hAnsi="Arial" w:cs="Arial"/>
          <w:sz w:val="18"/>
          <w:szCs w:val="18"/>
        </w:rPr>
        <w:t xml:space="preserve"> - warstwa gruntu rodzimego, lub materiału antropogenicznego, ulepszonego przez działanie mechaniczne, chemiczne lub wykonanie elementów wzmacniających, w celu poprawienia jego stateczności, zmniejszenia osiadań lub ujednolicenia podłoża gruntowego. </w:t>
      </w:r>
    </w:p>
    <w:p w14:paraId="705D1F0E"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Zagęszczanie</w:t>
      </w:r>
      <w:r>
        <w:rPr>
          <w:rFonts w:ascii="Arial" w:hAnsi="Arial" w:cs="Arial"/>
          <w:spacing w:val="-3"/>
          <w:sz w:val="18"/>
          <w:szCs w:val="18"/>
        </w:rPr>
        <w:t xml:space="preserve"> – zwiększanie gęstości objętościowej szkieletu gruntu lub materiału antropogenicznego z zastosowaniem procesu mechanicznego, w celu uzyskania wymaganych właściwości korpusu ziemnego lub pojedynczej warstwy. </w:t>
      </w:r>
    </w:p>
    <w:p w14:paraId="3F7D3E64" w14:textId="77777777" w:rsidR="003F49C8" w:rsidRDefault="008C2229">
      <w:pPr>
        <w:pStyle w:val="Default"/>
        <w:jc w:val="both"/>
        <w:rPr>
          <w:rFonts w:ascii="Arial" w:hAnsi="Arial" w:cs="Arial"/>
          <w:sz w:val="18"/>
          <w:szCs w:val="18"/>
        </w:rPr>
      </w:pPr>
      <w:r>
        <w:rPr>
          <w:rFonts w:ascii="Arial" w:hAnsi="Arial" w:cs="Arial"/>
          <w:b/>
          <w:sz w:val="18"/>
          <w:szCs w:val="18"/>
        </w:rPr>
        <w:t>Zagłębianie</w:t>
      </w:r>
      <w:r>
        <w:rPr>
          <w:rFonts w:ascii="Arial" w:hAnsi="Arial" w:cs="Arial"/>
          <w:sz w:val="18"/>
          <w:szCs w:val="18"/>
        </w:rPr>
        <w:t xml:space="preserve"> - metody wprowadzania pali w grunt na wymaganą głębokość, takie jak wbijanie młotem, wibrowanie wciskanie, wkręcanie albo kombinacje tych lub innych metod.</w:t>
      </w:r>
    </w:p>
    <w:p w14:paraId="42CF6828" w14:textId="77777777" w:rsidR="003F49C8" w:rsidRDefault="008C2229">
      <w:pPr>
        <w:pStyle w:val="Default"/>
        <w:jc w:val="both"/>
        <w:rPr>
          <w:rFonts w:ascii="Arial" w:hAnsi="Arial" w:cs="Arial"/>
          <w:sz w:val="18"/>
          <w:szCs w:val="18"/>
        </w:rPr>
      </w:pPr>
      <w:r>
        <w:rPr>
          <w:rFonts w:ascii="Arial" w:hAnsi="Arial" w:cs="Arial"/>
          <w:b/>
          <w:sz w:val="18"/>
          <w:szCs w:val="18"/>
        </w:rPr>
        <w:t>Zbocze</w:t>
      </w:r>
      <w:r>
        <w:rPr>
          <w:rFonts w:ascii="Arial" w:hAnsi="Arial" w:cs="Arial"/>
          <w:sz w:val="18"/>
          <w:szCs w:val="18"/>
        </w:rPr>
        <w:t xml:space="preserve"> (stok) - naturalna pochyła powierzchnia terenu w obrębie pasa drogowego lub przyległego do drogi. </w:t>
      </w:r>
    </w:p>
    <w:p w14:paraId="29DB9A9A"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8C6D824"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Z zakresu podbudów:</w:t>
      </w:r>
    </w:p>
    <w:p w14:paraId="2F5EC0E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asfaltowy – </w:t>
      </w:r>
      <w:r>
        <w:rPr>
          <w:rFonts w:ascii="Arial" w:hAnsi="Arial" w:cs="Arial"/>
          <w:sz w:val="18"/>
          <w:szCs w:val="18"/>
        </w:rPr>
        <w:t>materiał drogowy pochodzący z frezowania istniejących warstw z mieszanek mineralno-asfaltowych (mma) lub z przekruszenia kawałków warstw nawierzchni asfaltowych oraz niewbudowanych partii mma, który został ujednorodniony pod względem składu oraz co najmniej przesiany, w celu odrzucenia dużych kawałków mma (nadziarno nie większe od 1,4 D mieszanki.</w:t>
      </w:r>
    </w:p>
    <w:p w14:paraId="611A75D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Destrukt betonowy </w:t>
      </w:r>
      <w:r>
        <w:rPr>
          <w:rFonts w:ascii="Arial" w:hAnsi="Arial" w:cs="Arial"/>
          <w:sz w:val="18"/>
          <w:szCs w:val="18"/>
        </w:rPr>
        <w:t xml:space="preserve">– materiał mineralno-cementowy powstały w wyniku kruszenia warstw konstrukcyjnych z betonu cementowego nawierzchni drogowych. </w:t>
      </w:r>
    </w:p>
    <w:p w14:paraId="4F27ADD8" w14:textId="77777777" w:rsidR="003F49C8" w:rsidRDefault="008C2229">
      <w:pPr>
        <w:pStyle w:val="Default"/>
        <w:jc w:val="both"/>
        <w:rPr>
          <w:rFonts w:ascii="Arial" w:hAnsi="Arial" w:cs="Arial"/>
          <w:sz w:val="18"/>
          <w:szCs w:val="18"/>
        </w:rPr>
      </w:pPr>
      <w:r>
        <w:rPr>
          <w:rFonts w:ascii="Arial" w:hAnsi="Arial" w:cs="Arial"/>
          <w:b/>
          <w:sz w:val="18"/>
          <w:szCs w:val="18"/>
        </w:rPr>
        <w:t>Geowłóknina separacyjna</w:t>
      </w:r>
      <w:r>
        <w:rPr>
          <w:rFonts w:ascii="Arial" w:hAnsi="Arial" w:cs="Arial"/>
          <w:sz w:val="18"/>
          <w:szCs w:val="18"/>
        </w:rPr>
        <w:t xml:space="preserve"> (rozdzielająca)– materiał nietkany wykonany z włókien syntetycznych, których spójność jest zapewniona przez igłowanie lub inne procesy łączenia (np. dodatki chemiczne, połączenie termiczne) i który zostaje maszynowo uformowany w postaci maty.</w:t>
      </w:r>
    </w:p>
    <w:p w14:paraId="40451129" w14:textId="77777777" w:rsidR="003F49C8" w:rsidRDefault="008C2229">
      <w:pPr>
        <w:pStyle w:val="Default"/>
        <w:jc w:val="both"/>
        <w:rPr>
          <w:rFonts w:ascii="Arial" w:hAnsi="Arial" w:cs="Arial"/>
          <w:sz w:val="18"/>
          <w:szCs w:val="18"/>
        </w:rPr>
      </w:pPr>
      <w:r>
        <w:rPr>
          <w:rFonts w:ascii="Arial" w:hAnsi="Arial" w:cs="Arial"/>
          <w:b/>
          <w:sz w:val="18"/>
          <w:szCs w:val="18"/>
        </w:rPr>
        <w:t>Geotekstylia</w:t>
      </w:r>
      <w:r>
        <w:rPr>
          <w:rFonts w:ascii="Arial" w:hAnsi="Arial" w:cs="Arial"/>
          <w:sz w:val="18"/>
          <w:szCs w:val="18"/>
        </w:rPr>
        <w:t xml:space="preserve"> – płaski materiał o postaci ciągłej, wytwarzany z tworzyw sztucznych stosowany w kontakcie z gruntem lub kruszywem.</w:t>
      </w:r>
    </w:p>
    <w:p w14:paraId="34B015A1" w14:textId="77777777" w:rsidR="003F49C8" w:rsidRDefault="008C2229">
      <w:pPr>
        <w:pStyle w:val="Default"/>
        <w:jc w:val="both"/>
        <w:rPr>
          <w:rFonts w:ascii="Arial" w:hAnsi="Arial" w:cs="Arial"/>
          <w:sz w:val="18"/>
          <w:szCs w:val="18"/>
        </w:rPr>
      </w:pPr>
      <w:r>
        <w:rPr>
          <w:rFonts w:ascii="Arial" w:hAnsi="Arial" w:cs="Arial"/>
          <w:b/>
          <w:sz w:val="18"/>
          <w:szCs w:val="18"/>
        </w:rPr>
        <w:t>Geotkanina separacyjna</w:t>
      </w:r>
      <w:r>
        <w:rPr>
          <w:rFonts w:ascii="Arial" w:hAnsi="Arial" w:cs="Arial"/>
          <w:sz w:val="18"/>
          <w:szCs w:val="18"/>
        </w:rPr>
        <w:t xml:space="preserve"> (rozdzielająca) – materiał geotekstylny, tkany, wykonany z tasiemek polipropylenowych, w którym można wyodrębnić wątek oraz osnowę. </w:t>
      </w:r>
    </w:p>
    <w:p w14:paraId="623AA31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spoiwem hydraulicznym </w:t>
      </w:r>
      <w:r>
        <w:rPr>
          <w:rFonts w:ascii="Arial" w:hAnsi="Arial" w:cs="Arial"/>
          <w:sz w:val="18"/>
          <w:szCs w:val="18"/>
        </w:rPr>
        <w:t xml:space="preserve">– zagęszczona mieszanka: gruntu, spoiwa hydraulicznego i wody dobranych w optymalnych ilościach, a w razie potrzeby dodatkowych składników, która wiąże i twardnieje w wyniku reakcji hydraulicznej. </w:t>
      </w:r>
    </w:p>
    <w:p w14:paraId="7E90A9B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cementem </w:t>
      </w:r>
      <w:r>
        <w:rPr>
          <w:rFonts w:ascii="Arial" w:hAnsi="Arial" w:cs="Arial"/>
          <w:sz w:val="18"/>
          <w:szCs w:val="18"/>
        </w:rPr>
        <w:t xml:space="preserve">– grunt stabilizowany hydraulicznie, w którym rolę spoiwa pełni cement. </w:t>
      </w:r>
    </w:p>
    <w:p w14:paraId="0ECC8A7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hydraulicznym spoiwem drogowym </w:t>
      </w:r>
      <w:r>
        <w:rPr>
          <w:rFonts w:ascii="Arial" w:hAnsi="Arial" w:cs="Arial"/>
          <w:sz w:val="18"/>
          <w:szCs w:val="18"/>
        </w:rPr>
        <w:t xml:space="preserve">– grunt stabilizowany hydraulicznie, w którym rolę spoiwa pełni hydrauliczne spoiwo drogowe. </w:t>
      </w:r>
    </w:p>
    <w:p w14:paraId="57E8796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granulowanym żużlem wielkopiecowym </w:t>
      </w:r>
      <w:r>
        <w:rPr>
          <w:rFonts w:ascii="Arial" w:hAnsi="Arial" w:cs="Arial"/>
          <w:sz w:val="18"/>
          <w:szCs w:val="18"/>
        </w:rPr>
        <w:t xml:space="preserve">– grunt stabilizowany hydraulicznie, w którym rolę spoiwa pełni granulowany żużel wielkopiecowy. </w:t>
      </w:r>
    </w:p>
    <w:p w14:paraId="0C8648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popiołami lotnymi </w:t>
      </w:r>
      <w:r>
        <w:rPr>
          <w:rFonts w:ascii="Arial" w:hAnsi="Arial" w:cs="Arial"/>
          <w:sz w:val="18"/>
          <w:szCs w:val="18"/>
        </w:rPr>
        <w:t xml:space="preserve">– grunt stabilizowany hydraulicznie, w którym podstawowym składnikiem spoiwa jest popiół lotny, krzemionkowy lub wapienny popiół lotny. </w:t>
      </w:r>
    </w:p>
    <w:p w14:paraId="169909E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Grunt stabilizowany wapnem </w:t>
      </w:r>
      <w:r>
        <w:rPr>
          <w:rFonts w:ascii="Arial" w:hAnsi="Arial" w:cs="Arial"/>
          <w:sz w:val="18"/>
          <w:szCs w:val="18"/>
        </w:rPr>
        <w:t>– zagęszczona mieszanka: gruntu, wapna i wody dobranych w optymalnych ilościach, charakteryzującą się poprawą natychmiastową właściwości użytkowych przez np. osuszenie wilgotnych gruntów i/lub zwiększenie nośności i/lub zmniejszenie plastyczności.</w:t>
      </w:r>
    </w:p>
    <w:p w14:paraId="081ED3B8" w14:textId="77777777" w:rsidR="003F49C8" w:rsidRDefault="008C2229">
      <w:pPr>
        <w:pStyle w:val="Default"/>
        <w:jc w:val="both"/>
        <w:rPr>
          <w:rFonts w:ascii="Arial" w:hAnsi="Arial" w:cs="Arial"/>
          <w:sz w:val="18"/>
          <w:szCs w:val="18"/>
        </w:rPr>
      </w:pPr>
      <w:r>
        <w:rPr>
          <w:rFonts w:ascii="Arial" w:hAnsi="Arial" w:cs="Arial"/>
          <w:b/>
          <w:sz w:val="18"/>
          <w:szCs w:val="18"/>
        </w:rPr>
        <w:t>Funkcja separacyjna (rozdzielająca)</w:t>
      </w:r>
      <w:r>
        <w:rPr>
          <w:rFonts w:ascii="Arial" w:hAnsi="Arial" w:cs="Arial"/>
          <w:sz w:val="18"/>
          <w:szCs w:val="18"/>
        </w:rPr>
        <w:t xml:space="preserve"> – wykorzystanie geotekstyliów do odseparowania od siebie dwóch warstw różniących się od siebie uziarnieniem. Funkcja separacyjna obejmuje zarówno zapobieganie migracji drobnych cząstek przenoszonych w wyniku przepływu wody (np. zmiana poziomu wód gruntowych) jak i w wyniku oddziaływań dynamicznych (np. pompowanie drobnych frakcji w wyniku cyklicznych oddziaływań dynamicznych od ruchu).</w:t>
      </w:r>
    </w:p>
    <w:p w14:paraId="21ACEEA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Kategoria – </w:t>
      </w:r>
      <w:r>
        <w:rPr>
          <w:rFonts w:ascii="Arial" w:hAnsi="Arial" w:cs="Arial"/>
          <w:sz w:val="18"/>
          <w:szCs w:val="18"/>
        </w:rPr>
        <w:t>charakterystyczny poziom właściwości kruszywa lub mieszanki niezwiązanej, wyrażony, jako przedział wartości lub wartość graniczna. Nie ma zależności pomiędzy kategoriami różnych właściwości.</w:t>
      </w:r>
    </w:p>
    <w:p w14:paraId="024CF223" w14:textId="77777777" w:rsidR="003F49C8" w:rsidRDefault="008C2229">
      <w:pPr>
        <w:pStyle w:val="Default"/>
        <w:jc w:val="both"/>
        <w:rPr>
          <w:rFonts w:ascii="Arial" w:hAnsi="Arial" w:cs="Arial"/>
          <w:sz w:val="18"/>
          <w:szCs w:val="18"/>
        </w:rPr>
      </w:pPr>
      <w:r>
        <w:rPr>
          <w:rFonts w:ascii="Arial" w:hAnsi="Arial" w:cs="Arial"/>
          <w:b/>
          <w:sz w:val="18"/>
          <w:szCs w:val="18"/>
        </w:rPr>
        <w:t>Kruszarka</w:t>
      </w:r>
      <w:r>
        <w:rPr>
          <w:rFonts w:ascii="Arial" w:hAnsi="Arial" w:cs="Arial"/>
          <w:sz w:val="18"/>
          <w:szCs w:val="18"/>
        </w:rPr>
        <w:t xml:space="preserve"> – maszyna rozdrabniająca, wykorzystująca proces kruszenia do wytwarzania kruszywa. Ze względu na mobilność całej maszyny można wyróżnić kruszarki stacjonarne, semi-mobilne - na podwoziu kołowym i mobilne - na gąsienicowym.</w:t>
      </w:r>
    </w:p>
    <w:p w14:paraId="5CF1DE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 </w:t>
      </w:r>
      <w:r>
        <w:rPr>
          <w:rFonts w:ascii="Arial" w:hAnsi="Arial" w:cs="Arial"/>
          <w:sz w:val="18"/>
          <w:szCs w:val="18"/>
        </w:rPr>
        <w:t xml:space="preserve">materiał ziarnisty stosowany w budownictwie, który może być naturalny, sztuczny lub z recyklingu. </w:t>
      </w:r>
    </w:p>
    <w:p w14:paraId="45E991D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doziarniające </w:t>
      </w:r>
      <w:r>
        <w:rPr>
          <w:rFonts w:ascii="Arial" w:hAnsi="Arial" w:cs="Arial"/>
          <w:sz w:val="18"/>
          <w:szCs w:val="18"/>
        </w:rPr>
        <w:t xml:space="preserve">–kruszywo naturalne, sztuczne lub z recylkingu umożliwiające korektę uziarnienia i zaprojektowanie krzywej uziarnienia mieszanki mineralnej, spełniającej warunki pola dobrego uziarnienia. </w:t>
      </w:r>
    </w:p>
    <w:p w14:paraId="2C8D484A"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naturalne </w:t>
      </w:r>
      <w:r>
        <w:rPr>
          <w:rFonts w:ascii="Arial" w:hAnsi="Arial" w:cs="Arial"/>
          <w:sz w:val="18"/>
          <w:szCs w:val="18"/>
        </w:rPr>
        <w:t>– kruszywo pochodzenia mineralnego, które poza obróbką mechaniczną nie zostało poddane żadnej innej obróbce. Kruszywo naturalne jest uzyskiwane z mineralnych surowców naturalnych występujących w przyrodzie, jak żwir, piasek, żwir kruszony, kruszywo z mechanicznie rozdrobnionych skał, nadziarna żwirowego lub otoczaków.</w:t>
      </w:r>
    </w:p>
    <w:p w14:paraId="431B0E8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sztuczne – </w:t>
      </w:r>
      <w:r>
        <w:rPr>
          <w:rFonts w:ascii="Arial" w:hAnsi="Arial" w:cs="Arial"/>
          <w:sz w:val="18"/>
          <w:szCs w:val="18"/>
        </w:rPr>
        <w:t xml:space="preserve">kruszywo pochodzenia mineralnego, uzyskiwane w wyniku procesu przemysłowego obejmującego obróbkę termiczną lub inną modyfikację. Do kruszywa sztucznego zalicza się w szczególności kruszywo z żużli: wielkopiecowych, stalowniczych i pomiedziowych. </w:t>
      </w:r>
    </w:p>
    <w:p w14:paraId="00095479"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z recyklingu </w:t>
      </w:r>
      <w:r>
        <w:rPr>
          <w:rFonts w:ascii="Arial" w:hAnsi="Arial" w:cs="Arial"/>
          <w:sz w:val="18"/>
          <w:szCs w:val="18"/>
        </w:rPr>
        <w:t>– kruszywo powstałe w wyniku przeróbki nieorganicznego materiału zastosowanego uprzednio w budownictwie.</w:t>
      </w:r>
    </w:p>
    <w:p w14:paraId="00FA4A00" w14:textId="77777777" w:rsidR="003F49C8" w:rsidRDefault="008C2229">
      <w:pPr>
        <w:pStyle w:val="Default"/>
        <w:jc w:val="both"/>
        <w:rPr>
          <w:rFonts w:ascii="Arial" w:hAnsi="Arial" w:cs="Arial"/>
          <w:sz w:val="18"/>
          <w:szCs w:val="18"/>
        </w:rPr>
      </w:pPr>
      <w:r>
        <w:rPr>
          <w:rFonts w:ascii="Arial" w:hAnsi="Arial" w:cs="Arial"/>
          <w:b/>
          <w:bCs/>
          <w:sz w:val="18"/>
          <w:szCs w:val="18"/>
        </w:rPr>
        <w:lastRenderedPageBreak/>
        <w:t xml:space="preserve">Kruszywo kamienne – </w:t>
      </w:r>
      <w:r>
        <w:rPr>
          <w:rFonts w:ascii="Arial" w:hAnsi="Arial" w:cs="Arial"/>
          <w:sz w:val="18"/>
          <w:szCs w:val="18"/>
        </w:rPr>
        <w:t xml:space="preserve">kruszywo z mineralnych surowców jak żwir kruszony, mechanicznie rozdrobnione skały, nadziarno żwirowe. </w:t>
      </w:r>
    </w:p>
    <w:p w14:paraId="1CF5A3A4"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wielkopiecowego – </w:t>
      </w:r>
      <w:r>
        <w:rPr>
          <w:rFonts w:ascii="Arial" w:hAnsi="Arial" w:cs="Arial"/>
          <w:sz w:val="18"/>
          <w:szCs w:val="18"/>
        </w:rPr>
        <w:t xml:space="preserve">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1693903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żużlowe z żużla stalowniczego – </w:t>
      </w:r>
      <w:r>
        <w:rPr>
          <w:rFonts w:ascii="Arial" w:hAnsi="Arial" w:cs="Arial"/>
          <w:sz w:val="18"/>
          <w:szCs w:val="18"/>
        </w:rPr>
        <w:t>kruszywo składające się głównie ze skrystalizowanego krzemianu wapnia i ferrytu zawierającego CaO, SiO</w:t>
      </w:r>
      <w:r>
        <w:rPr>
          <w:rFonts w:ascii="Arial" w:hAnsi="Arial" w:cs="Arial"/>
          <w:sz w:val="18"/>
          <w:szCs w:val="18"/>
          <w:vertAlign w:val="subscript"/>
        </w:rPr>
        <w:t>2</w:t>
      </w:r>
      <w:r>
        <w:rPr>
          <w:rFonts w:ascii="Arial" w:hAnsi="Arial" w:cs="Arial"/>
          <w:sz w:val="18"/>
          <w:szCs w:val="18"/>
        </w:rPr>
        <w:t xml:space="preserve">, MgO oraz tlenek żelaza. Kruszywo otrzymuje się przez powolne schładzanie powietrzem ciekłego żużla stalowniczego. Proces chłodzenia może odbywać się przy kontrolowanym dodawaniu wody. </w:t>
      </w:r>
    </w:p>
    <w:p w14:paraId="360FFDF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grube (wg PN-EN 13242) – </w:t>
      </w:r>
      <w:r>
        <w:rPr>
          <w:rFonts w:ascii="Arial" w:hAnsi="Arial" w:cs="Arial"/>
          <w:sz w:val="18"/>
          <w:szCs w:val="18"/>
        </w:rPr>
        <w:t xml:space="preserve">oznaczenie kruszywa o wymiarach ziaren d (dolnego) równym lub większym niż 1 mm oraz D (górnego) większym niż 2 mm. </w:t>
      </w:r>
    </w:p>
    <w:p w14:paraId="1E8E0BB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drobne (wg PN-EN 13242) – </w:t>
      </w:r>
      <w:r>
        <w:rPr>
          <w:rFonts w:ascii="Arial" w:hAnsi="Arial" w:cs="Arial"/>
          <w:sz w:val="18"/>
          <w:szCs w:val="18"/>
        </w:rPr>
        <w:t xml:space="preserve">oznaczenie kruszywa o wymiarach ziaren d równym 0 oraz D równym 6,3 mm lub mniejszym. </w:t>
      </w:r>
    </w:p>
    <w:p w14:paraId="4A63A340"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o ciągłym uziarnieniu (wg PN-EN 13242) – </w:t>
      </w:r>
      <w:r>
        <w:rPr>
          <w:rFonts w:ascii="Arial" w:hAnsi="Arial" w:cs="Arial"/>
          <w:sz w:val="18"/>
          <w:szCs w:val="18"/>
        </w:rPr>
        <w:t xml:space="preserve">kruszywo stanowiące mieszankę kruszyw grubych i drobnych, w której D jest większe niż 6,3 mm. </w:t>
      </w:r>
    </w:p>
    <w:p w14:paraId="6B7AA43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Kruszywa słabe – </w:t>
      </w:r>
      <w:r>
        <w:rPr>
          <w:rFonts w:ascii="Arial" w:hAnsi="Arial" w:cs="Arial"/>
          <w:sz w:val="18"/>
          <w:szCs w:val="18"/>
        </w:rPr>
        <w:t>kruszywo przewidziane do zastosowania w mieszance przeznaczonej do wykonywania warstw nawierzchni drogowej lub podłoża ulepszonego, które charakteryzuje się różnicami w uziarnieniu przed i po 5-krotnym zagęszczeniu metodą Proctora, przekraczającymi ± 8%. Uziarnienie kruszywa należy sprawdzać na sitach przewidzianych do kontroli uziarnienia wg PN-EN 13285 i niniejszej STWiORB. O zakwalifikowaniu kruszywa do kruszyw słabych decyduje największa różnica wartości przesiewów na jednym z sit kontrolnych.</w:t>
      </w:r>
    </w:p>
    <w:p w14:paraId="5AF9D2C0" w14:textId="77777777" w:rsidR="003F49C8" w:rsidRDefault="008C2229">
      <w:pPr>
        <w:pStyle w:val="Default"/>
        <w:jc w:val="both"/>
        <w:rPr>
          <w:rFonts w:ascii="Arial" w:hAnsi="Arial" w:cs="Arial"/>
          <w:sz w:val="18"/>
          <w:szCs w:val="18"/>
        </w:rPr>
      </w:pPr>
      <w:r>
        <w:rPr>
          <w:rFonts w:ascii="Arial" w:hAnsi="Arial" w:cs="Arial"/>
          <w:b/>
          <w:sz w:val="18"/>
          <w:szCs w:val="18"/>
        </w:rPr>
        <w:t>Kruszywo potencjalnie reaktywne</w:t>
      </w:r>
      <w:r>
        <w:rPr>
          <w:rFonts w:ascii="Arial" w:hAnsi="Arial" w:cs="Arial"/>
          <w:sz w:val="18"/>
          <w:szCs w:val="18"/>
        </w:rPr>
        <w:t xml:space="preserve"> - kruszywo, które w oparciu o wstępne badania petrograficzne i/lub dane literaturowe może prowadzić do rozwoju reakcji typu AAR.</w:t>
      </w:r>
    </w:p>
    <w:p w14:paraId="3D16FFC5"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Kruszywo reaktywne - </w:t>
      </w:r>
      <w:r>
        <w:rPr>
          <w:rFonts w:ascii="Arial" w:hAnsi="Arial" w:cs="Arial"/>
          <w:sz w:val="18"/>
          <w:szCs w:val="18"/>
        </w:rPr>
        <w:t>kruszywo, którego użycie w pryzmie okruchowej prowadzi w świetle normowych badań laboratoryjnych i/lub wcześniejszych doświadczeń do rozwoju reakcji typu AAR oraz będących ich następstwem uszkodzeń obiektów betonowych.</w:t>
      </w:r>
    </w:p>
    <w:p w14:paraId="365EF13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niezwiązana </w:t>
      </w:r>
      <w:r>
        <w:rPr>
          <w:rFonts w:ascii="Arial" w:hAnsi="Arial" w:cs="Arial"/>
          <w:sz w:val="18"/>
          <w:szCs w:val="18"/>
        </w:rPr>
        <w:t xml:space="preserve">–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7359DF1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cementem </w:t>
      </w:r>
      <w:r>
        <w:rPr>
          <w:rFonts w:ascii="Arial" w:hAnsi="Arial" w:cs="Arial"/>
          <w:sz w:val="18"/>
          <w:szCs w:val="18"/>
        </w:rPr>
        <w:t>– mieszanka, w której następuje wiązanie i twardnienie na skutek reakcji hydraulicznych, składająca się z kruszywa o kontrolowanym uziarnieniu i cementu; wymieszana w sposób zapewniający uzyskanie jednorodnej mieszanki. Może być stosowana do wykonania warstw konstrukcji nawierzchni oraz podłoża ulepszonego.</w:t>
      </w:r>
    </w:p>
    <w:p w14:paraId="59CF7F91" w14:textId="77777777" w:rsidR="003F49C8" w:rsidRDefault="008C2229">
      <w:pPr>
        <w:pStyle w:val="Default"/>
        <w:jc w:val="both"/>
        <w:rPr>
          <w:rFonts w:ascii="Arial" w:hAnsi="Arial" w:cs="Arial"/>
          <w:b/>
          <w:sz w:val="18"/>
          <w:szCs w:val="18"/>
        </w:rPr>
      </w:pPr>
      <w:r>
        <w:rPr>
          <w:rFonts w:ascii="Arial" w:hAnsi="Arial" w:cs="Arial"/>
          <w:b/>
          <w:spacing w:val="-3"/>
          <w:sz w:val="18"/>
          <w:szCs w:val="18"/>
        </w:rPr>
        <w:t>Podbudowa</w:t>
      </w:r>
      <w:r>
        <w:rPr>
          <w:rFonts w:ascii="Arial" w:hAnsi="Arial" w:cs="Arial"/>
          <w:spacing w:val="-3"/>
          <w:sz w:val="18"/>
          <w:szCs w:val="18"/>
        </w:rPr>
        <w:t xml:space="preserve"> – część konstrukcyjna nawierzchni, której celem jest przenoszenie na podłoże obciążeń spowodowanych ruchem, może składać się z warstwy zasadniczej i pomocniczej.</w:t>
      </w:r>
      <w:r>
        <w:rPr>
          <w:rFonts w:ascii="Arial" w:hAnsi="Arial" w:cs="Arial"/>
          <w:sz w:val="18"/>
          <w:szCs w:val="18"/>
        </w:rPr>
        <w:t xml:space="preserve"> </w:t>
      </w:r>
    </w:p>
    <w:p w14:paraId="085DC93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zasadnicza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 jezdnych na warstwę podbudowy pomocniczej lub podłoże.</w:t>
      </w:r>
    </w:p>
    <w:p w14:paraId="10FC761B"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Podbudowa pomocnicza z mieszanki związanej spoiwem hydraulicznym </w:t>
      </w:r>
      <w:r>
        <w:rPr>
          <w:rFonts w:ascii="Arial" w:hAnsi="Arial" w:cs="Arial"/>
          <w:sz w:val="18"/>
          <w:szCs w:val="18"/>
        </w:rPr>
        <w:t>– warstwa zawierająca kruszywo naturalne lub sztuczne, a także z recyklingu lub ich mieszaninę i spoiwo hydrauliczne, zapewniająca przenoszenie obciążeń z warstwy podbudowy zasadniczej na warstwę podłoża.</w:t>
      </w:r>
    </w:p>
    <w:p w14:paraId="404BB5B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Podłoże ulepszone</w:t>
      </w:r>
      <w:r>
        <w:rPr>
          <w:rFonts w:ascii="Arial" w:hAnsi="Arial" w:cs="Arial"/>
          <w:spacing w:val="-3"/>
          <w:sz w:val="18"/>
          <w:szCs w:val="18"/>
        </w:rPr>
        <w:t xml:space="preserve"> </w:t>
      </w:r>
      <w:r>
        <w:rPr>
          <w:rFonts w:ascii="Arial" w:hAnsi="Arial" w:cs="Arial"/>
          <w:b/>
          <w:spacing w:val="-3"/>
          <w:sz w:val="18"/>
          <w:szCs w:val="18"/>
        </w:rPr>
        <w:t>nawierzchni</w:t>
      </w:r>
      <w:r>
        <w:rPr>
          <w:rFonts w:ascii="Arial" w:hAnsi="Arial" w:cs="Arial"/>
          <w:spacing w:val="-3"/>
          <w:sz w:val="18"/>
          <w:szCs w:val="18"/>
        </w:rPr>
        <w:t xml:space="preserve"> – Warstwa ulepszonego podłoża – wierzchnia warstwa podłoża gruntowego nawierzchni ulepszona w celu: </w:t>
      </w:r>
    </w:p>
    <w:p w14:paraId="3386E10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 xml:space="preserve">a) zwiększenia nośności gruntu rodzimego w wykopie lub gruntu w nasypie w czasie budowy i w czasie eksploatacji nawierzchni, b) ochrony gruntu rodzimego w wykopie lub gruntu w nasypie przed deformacjami powodowanymi przez ciężkie pojazdy i maszyny robocze w czasie budowy nawierzchni, c) właściwego wbudowania i zagęszczenia wyżej leżących warstw konstrukcji nawierzchni, d) zwiększenia odporności nawierzchni na powstawanie wysadzin. </w:t>
      </w:r>
    </w:p>
    <w:p w14:paraId="5873C88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Materiałami stosowanymi do wykonania warstwy ulepszonego podłoża mogą być: mieszanki niezwiązane, grunty rodzime w wykopie lub grunty w nasypie stabilizowane spoiwami hydraulicznymi lub wapnem, grunty niewysadzinowe. W szczególnych przypadkach (bliskie sąsiedztwo zwierciadła wody gruntowej od spodu konstrukcji nawierzchni) warstwa ulepszonego podłoża, wykonana z gruntu niewysadzinowego lub z mieszanki niezwiązanej, może pełnić funkcję warstwy odsączającej. warstwa lub zespół warstw leżących pod konstrukcją nawierzchni drogowej w przypadku, gdy podłoże gruntowe (lub grunt rodzimy lub nasypowy) nie spełnia warunku nośności i/lub mrozoodporności. Podłożę ulepszone może zawierać następujące warstwy: mrozoochronną, odsączającą, odcinającą i wzmacniającą, a w przypadku podłoża ulepszonego jednowarstwowego może ona spełniać funkcje wszystkich tych warstw jednocześnie.</w:t>
      </w:r>
    </w:p>
    <w:p w14:paraId="6CE17820" w14:textId="77777777" w:rsidR="003F49C8" w:rsidRDefault="008C2229">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wyrównawcza</w:t>
      </w:r>
      <w:r>
        <w:rPr>
          <w:rFonts w:ascii="Arial" w:hAnsi="Arial" w:cs="Arial"/>
          <w:spacing w:val="-3"/>
          <w:sz w:val="18"/>
          <w:szCs w:val="18"/>
        </w:rPr>
        <w:t xml:space="preserve"> – warstwa służąca do wyrównania nierówności podbudowy lub profilu istniejącej nawierzchni.</w:t>
      </w:r>
    </w:p>
    <w:p w14:paraId="20CA58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Warstwa mrozoochronna - </w:t>
      </w:r>
      <w:r>
        <w:rPr>
          <w:rFonts w:ascii="Arial" w:hAnsi="Arial" w:cs="Arial"/>
          <w:spacing w:val="-3"/>
          <w:sz w:val="18"/>
          <w:szCs w:val="18"/>
        </w:rPr>
        <w:t xml:space="preserve">warstwa, której głównym zadaniem jest ochrona nawierzchni przed wysadzinami powodowanymi przez szkodliwe działanie mrozu i zwiększenie nośności warstw dolnych konstrukcji nawierzchni. Materiałami stosowanymi do warstwy mrozoochronnej mogą być: mieszanki niezwiązane, mieszanki związane spoiwami hydraulicznymi, grunty niewysadzinowe, grunty stabilizowane spoiwami hydraulicznymi, grunty stabilizowane wapnem. </w:t>
      </w:r>
    </w:p>
    <w:p w14:paraId="0DB5612A"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 szczególnych przypadkach (bliskie sąsiedztwo zwierciadła wody gruntowej od spodu konstrukcji nawierzchni) warstwa mrozoochronna, wykonana z gruntu niewysadzinowego lub z mieszanki niezwiązanej, może pełnić funkcję warstwy odsączającej.</w:t>
      </w:r>
    </w:p>
    <w:p w14:paraId="025D469A" w14:textId="77777777" w:rsidR="003F49C8" w:rsidRDefault="008C2229">
      <w:pPr>
        <w:pStyle w:val="Default"/>
        <w:jc w:val="both"/>
        <w:rPr>
          <w:rFonts w:ascii="Arial" w:hAnsi="Arial" w:cs="Arial"/>
          <w:sz w:val="18"/>
          <w:szCs w:val="18"/>
        </w:rPr>
      </w:pPr>
      <w:r>
        <w:rPr>
          <w:rFonts w:ascii="Arial" w:hAnsi="Arial" w:cs="Arial"/>
          <w:b/>
          <w:sz w:val="18"/>
          <w:szCs w:val="18"/>
        </w:rPr>
        <w:t>Warstwa odsączająca</w:t>
      </w:r>
      <w:r>
        <w:rPr>
          <w:rFonts w:ascii="Arial" w:hAnsi="Arial" w:cs="Arial"/>
          <w:sz w:val="18"/>
          <w:szCs w:val="18"/>
        </w:rPr>
        <w:t xml:space="preserve"> – warstwa zapewniająca odprowadzenie wody przedostającej się do spodu nawierzchni. Rolę warstwy odsączającej może pełnić warstwa mrozoochronna albo warstwa ulepszonego podłoża. Aby warstwy te mogły pełnić funkcję warstwy odsączającej muszą być wykonane z materiału ziarnistego (mieszanki niezwiązanej lub z gruntu niewysadzinowego) o odpowiednim uziarnieniu i o współczynniku filtracji. </w:t>
      </w:r>
    </w:p>
    <w:p w14:paraId="4F6A3A37"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odcinająca</w:t>
      </w:r>
      <w:r>
        <w:rPr>
          <w:rFonts w:ascii="Arial" w:hAnsi="Arial" w:cs="Arial"/>
          <w:spacing w:val="-3"/>
          <w:sz w:val="18"/>
          <w:szCs w:val="18"/>
        </w:rPr>
        <w:t xml:space="preserve"> – warstwa stosowana w celu uniemożliwienia przenikania cząstek drobnych gruntu do warstwy nawierzchni leżącej powyżej</w:t>
      </w:r>
    </w:p>
    <w:p w14:paraId="394839A2"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Warstwa odsączająca</w:t>
      </w:r>
      <w:r>
        <w:rPr>
          <w:rFonts w:ascii="Arial" w:hAnsi="Arial" w:cs="Arial"/>
          <w:spacing w:val="-3"/>
          <w:sz w:val="18"/>
          <w:szCs w:val="18"/>
        </w:rPr>
        <w:t xml:space="preserve"> – warstwa służąca do odprowadzenia wody, która mogłaby przedostać się do konstrukcji nawierzchni drogowej. Warstwa ta charakteryzuje się wystarczającą przepuszczalnością po zagęszczeniu.</w:t>
      </w:r>
    </w:p>
    <w:p w14:paraId="22D7CAAE"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Warstwa ulepszonego podłoża z gruntu stabilizowanego spoiwem hydraulicznym lub wapnem </w:t>
      </w:r>
      <w:r>
        <w:rPr>
          <w:rFonts w:ascii="Arial" w:hAnsi="Arial" w:cs="Arial"/>
          <w:sz w:val="18"/>
          <w:szCs w:val="18"/>
        </w:rPr>
        <w:t xml:space="preserve">– warstwa wykonana z gruntu rodzimego w wykopie lub gruntu w nasypie stabilizowana spoiwami hydraulicznymi lub wapnem. </w:t>
      </w:r>
    </w:p>
    <w:p w14:paraId="4B872BFC" w14:textId="77777777" w:rsidR="003F49C8" w:rsidRDefault="003F49C8">
      <w:pPr>
        <w:pStyle w:val="Default"/>
        <w:jc w:val="both"/>
        <w:rPr>
          <w:rFonts w:ascii="Arial" w:hAnsi="Arial" w:cs="Arial"/>
          <w:sz w:val="18"/>
          <w:szCs w:val="18"/>
        </w:rPr>
      </w:pPr>
    </w:p>
    <w:p w14:paraId="1BAF33EC"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nawierzchni i betonu konstrukcyjnego:</w:t>
      </w:r>
    </w:p>
    <w:p w14:paraId="2B67A241"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w:t>
      </w:r>
      <w:r>
        <w:rPr>
          <w:rFonts w:ascii="Arial" w:hAnsi="Arial" w:cs="Arial"/>
          <w:spacing w:val="-3"/>
          <w:sz w:val="18"/>
          <w:szCs w:val="18"/>
        </w:rPr>
        <w:t xml:space="preserve"> - materiał powstały ze zmieszania cementu, kruszywa drobnego i grubego, wody oraz ewentualnych domieszek i dodatków, który uzyskuje swoje właściwości w wyniku hydratacji cementu.</w:t>
      </w:r>
    </w:p>
    <w:p w14:paraId="41C84FF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projektowany </w:t>
      </w:r>
      <w:r>
        <w:rPr>
          <w:rFonts w:ascii="Arial" w:hAnsi="Arial" w:cs="Arial"/>
          <w:sz w:val="18"/>
          <w:szCs w:val="18"/>
        </w:rPr>
        <w:t xml:space="preserve">- beton, którego wymagane właściwości i ewentualne dodatkowe cechy są podane producentowi, odpowiedzialnemu za dostarczenie betonu zgodnego z wymaganymi właściwościami i dodatkowymi cechami. </w:t>
      </w:r>
    </w:p>
    <w:p w14:paraId="3CB05A9F" w14:textId="77777777" w:rsidR="003F49C8" w:rsidRDefault="008C2229">
      <w:pPr>
        <w:pStyle w:val="Default"/>
        <w:jc w:val="both"/>
        <w:rPr>
          <w:rFonts w:ascii="Arial" w:hAnsi="Arial" w:cs="Arial"/>
          <w:sz w:val="18"/>
          <w:szCs w:val="18"/>
        </w:rPr>
      </w:pPr>
      <w:r>
        <w:rPr>
          <w:rFonts w:ascii="Arial" w:hAnsi="Arial" w:cs="Arial"/>
          <w:b/>
          <w:sz w:val="18"/>
          <w:szCs w:val="18"/>
        </w:rPr>
        <w:t>Beton recepturowy</w:t>
      </w:r>
      <w:r>
        <w:rPr>
          <w:rFonts w:ascii="Arial" w:hAnsi="Arial" w:cs="Arial"/>
          <w:sz w:val="18"/>
          <w:szCs w:val="18"/>
        </w:rPr>
        <w:t xml:space="preserve"> (o ustalonym składzie) - beton, którego skład i składniki, jakie powinny być użyte, są podane producentowi odpowiedzialnemu za dostarczenie betonu o tak określonym składzie.</w:t>
      </w:r>
    </w:p>
    <w:p w14:paraId="54915FD3"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stwardniały</w:t>
      </w:r>
      <w:r>
        <w:rPr>
          <w:rFonts w:ascii="Arial" w:hAnsi="Arial" w:cs="Arial"/>
          <w:spacing w:val="-3"/>
          <w:sz w:val="18"/>
          <w:szCs w:val="18"/>
        </w:rPr>
        <w:t xml:space="preserve"> - beton, który jest w stanie stałym i który osiągnął pewną wytrzymałość. </w:t>
      </w:r>
    </w:p>
    <w:p w14:paraId="6816083A"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zwykły</w:t>
      </w:r>
      <w:r>
        <w:rPr>
          <w:rFonts w:ascii="Arial" w:hAnsi="Arial" w:cs="Arial"/>
          <w:spacing w:val="-3"/>
          <w:sz w:val="18"/>
          <w:szCs w:val="18"/>
        </w:rPr>
        <w:t xml:space="preserve"> - beton o gęstości w stanie suchym większej niż 2000 kg/m</w:t>
      </w:r>
      <w:r>
        <w:rPr>
          <w:rFonts w:ascii="Arial" w:hAnsi="Arial" w:cs="Arial"/>
          <w:spacing w:val="-3"/>
          <w:sz w:val="18"/>
          <w:szCs w:val="18"/>
          <w:vertAlign w:val="superscript"/>
        </w:rPr>
        <w:t>3</w:t>
      </w:r>
      <w:r>
        <w:rPr>
          <w:rFonts w:ascii="Arial" w:hAnsi="Arial" w:cs="Arial"/>
          <w:spacing w:val="-3"/>
          <w:sz w:val="18"/>
          <w:szCs w:val="18"/>
        </w:rPr>
        <w:t>, ale nie przekraczającej 2600 kg/m</w:t>
      </w:r>
      <w:r>
        <w:rPr>
          <w:rFonts w:ascii="Arial" w:hAnsi="Arial" w:cs="Arial"/>
          <w:spacing w:val="-3"/>
          <w:sz w:val="18"/>
          <w:szCs w:val="18"/>
          <w:vertAlign w:val="superscript"/>
        </w:rPr>
        <w:t>3</w:t>
      </w:r>
    </w:p>
    <w:p w14:paraId="30468C76"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napowietrzony</w:t>
      </w:r>
      <w:r>
        <w:rPr>
          <w:rFonts w:ascii="Arial" w:hAnsi="Arial" w:cs="Arial"/>
          <w:spacing w:val="-3"/>
          <w:sz w:val="18"/>
          <w:szCs w:val="18"/>
        </w:rPr>
        <w:t xml:space="preserve"> - beton zawierający mikroskopijne pęcherzyki powietrza o średnicy od 10 μm do 300 μm oraz o kształcie sferycznym lub zbliżonym do sferycznego, celowo wprowadzone do betonu podczas mieszania, z reguły przez zastosowanie środka powierzchniowo czynnego, o właściwej ilości i rozkładzie porów A300 i zawartości powietrza A. </w:t>
      </w:r>
    </w:p>
    <w:p w14:paraId="1D875A3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Beton nawierzchniowy</w:t>
      </w:r>
      <w:r>
        <w:rPr>
          <w:rFonts w:ascii="Arial" w:hAnsi="Arial" w:cs="Arial"/>
          <w:spacing w:val="-3"/>
          <w:sz w:val="18"/>
          <w:szCs w:val="18"/>
        </w:rPr>
        <w:t xml:space="preserve"> - beton napowietrzony o określonej wytrzymałości na ściskanie, rozciąganiu przy zginaniu oraz mrozoodporności, wbudowany w nawierzchnię. </w:t>
      </w:r>
    </w:p>
    <w:p w14:paraId="6C9CD78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w:t>
      </w:r>
      <w:r>
        <w:rPr>
          <w:rFonts w:ascii="Arial" w:hAnsi="Arial" w:cs="Arial"/>
          <w:sz w:val="18"/>
          <w:szCs w:val="18"/>
        </w:rPr>
        <w:t>- beton zwykły według PN-EN 206 w monolitycznych oraz prefabrykowanych elementach drogowego obiektu inżynierskiego o wytrzymałości na ściskanie nie mniejszej niż C20/25 (beton zwykły) lub LC25/28 (beton lekki) i o dodatkowych ustalonych właściwościach.</w:t>
      </w:r>
    </w:p>
    <w:p w14:paraId="5805574B"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Beton konstrukcyjny napowietrzony </w:t>
      </w:r>
      <w:r>
        <w:rPr>
          <w:rFonts w:ascii="Arial" w:hAnsi="Arial" w:cs="Arial"/>
          <w:sz w:val="18"/>
          <w:szCs w:val="18"/>
        </w:rPr>
        <w:t>– beton wykonany z użyciem domieszki napowietrzającej, o wymaganej zawartości powietrza w mieszance oraz zawartości powietrza w stwardniałym betonie co najmniej 3,5%.</w:t>
      </w:r>
    </w:p>
    <w:p w14:paraId="5FF2BED2" w14:textId="77777777" w:rsidR="003F49C8" w:rsidRDefault="008C2229">
      <w:pPr>
        <w:pStyle w:val="Default"/>
        <w:jc w:val="both"/>
        <w:rPr>
          <w:rFonts w:ascii="Arial" w:hAnsi="Arial" w:cs="Arial"/>
          <w:sz w:val="18"/>
          <w:szCs w:val="18"/>
        </w:rPr>
      </w:pPr>
      <w:r>
        <w:rPr>
          <w:rFonts w:ascii="Arial" w:hAnsi="Arial" w:cs="Arial"/>
          <w:b/>
          <w:sz w:val="18"/>
          <w:szCs w:val="18"/>
        </w:rPr>
        <w:t>Beton samozagęszczalny SCC</w:t>
      </w:r>
      <w:r>
        <w:rPr>
          <w:rFonts w:ascii="Arial" w:hAnsi="Arial" w:cs="Arial"/>
          <w:sz w:val="18"/>
          <w:szCs w:val="18"/>
        </w:rPr>
        <w:t xml:space="preserve"> (self compacting concrete) – beton, który pod własnym ciężarem rozpływa się i zagęszcza, wypełnia deskowanie ze zbrojeniem, kanały, ramy itp., zachowując jednorodność.</w:t>
      </w:r>
    </w:p>
    <w:p w14:paraId="7E8F71AD"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r>
        <w:rPr>
          <w:rFonts w:ascii="Arial" w:hAnsi="Arial" w:cs="Arial"/>
          <w:b/>
          <w:spacing w:val="-3"/>
          <w:sz w:val="18"/>
          <w:szCs w:val="18"/>
        </w:rPr>
        <w:t>Beton zbrojony włóknami (fibrobeton, FRC - Fibre Reinforced Concrete)</w:t>
      </w:r>
      <w:r>
        <w:rPr>
          <w:rFonts w:ascii="Arial" w:hAnsi="Arial" w:cs="Arial"/>
          <w:spacing w:val="-3"/>
          <w:sz w:val="18"/>
          <w:szCs w:val="18"/>
        </w:rPr>
        <w:t xml:space="preserve"> - beton zawierający włókna polimerowe klasy II (makro włókna) wg PN-EN 14889-2. Użycie włókien ma charakter stosowania konstrukcyjnego, a więc ma wpływ na nośność elementu betonowego.</w:t>
      </w:r>
      <w:r>
        <w:rPr>
          <w:rFonts w:ascii="Arial" w:hAnsi="Arial" w:cs="Arial"/>
          <w:sz w:val="18"/>
          <w:szCs w:val="18"/>
        </w:rPr>
        <w:t xml:space="preserve"> </w:t>
      </w:r>
    </w:p>
    <w:p w14:paraId="6008EF8F" w14:textId="77777777" w:rsidR="003F49C8" w:rsidRDefault="008C2229">
      <w:pPr>
        <w:pStyle w:val="Default"/>
        <w:jc w:val="both"/>
        <w:rPr>
          <w:rFonts w:ascii="Arial" w:hAnsi="Arial" w:cs="Arial"/>
          <w:sz w:val="18"/>
          <w:szCs w:val="18"/>
        </w:rPr>
      </w:pPr>
      <w:r>
        <w:rPr>
          <w:rFonts w:ascii="Arial" w:hAnsi="Arial" w:cs="Arial"/>
          <w:b/>
          <w:bCs/>
          <w:sz w:val="18"/>
          <w:szCs w:val="18"/>
        </w:rPr>
        <w:t xml:space="preserve">Dodatki pucolanowe i/lub pucolanowo-hydrauliczne SCM </w:t>
      </w:r>
      <w:r>
        <w:rPr>
          <w:rFonts w:ascii="Arial" w:hAnsi="Arial" w:cs="Arial"/>
          <w:sz w:val="18"/>
          <w:szCs w:val="18"/>
        </w:rPr>
        <w:t xml:space="preserve">(supplementary cementitious materials) – dodatki dodawane do składu betonu, takie jak: </w:t>
      </w:r>
    </w:p>
    <w:p w14:paraId="51DB2893"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granulowany żużel wielkopiecowy, </w:t>
      </w:r>
    </w:p>
    <w:p w14:paraId="5FB07142"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 xml:space="preserve">popiół lotny krzemionkowy, </w:t>
      </w:r>
    </w:p>
    <w:p w14:paraId="0EF5D35C"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pył krzemionkowy.</w:t>
      </w:r>
    </w:p>
    <w:p w14:paraId="07BA36D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w:t>
      </w:r>
      <w:r>
        <w:rPr>
          <w:rFonts w:ascii="Arial" w:hAnsi="Arial" w:cs="Arial"/>
          <w:spacing w:val="-3"/>
          <w:sz w:val="18"/>
          <w:szCs w:val="18"/>
        </w:rPr>
        <w:t xml:space="preserve"> - składnik dodawany podczas procesu mieszania betonu w małych ilościach w stosunku do masy cementu w celu modyfikacji właściwości mieszanki betonowej lub betonu stwardniałego. </w:t>
      </w:r>
    </w:p>
    <w:p w14:paraId="0DD73F8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napowietrzająca</w:t>
      </w:r>
      <w:r>
        <w:rPr>
          <w:rFonts w:ascii="Arial" w:hAnsi="Arial" w:cs="Arial"/>
          <w:spacing w:val="-3"/>
          <w:sz w:val="18"/>
          <w:szCs w:val="18"/>
        </w:rPr>
        <w:t xml:space="preserve"> - domieszka umożliwiająca wprowadzenie podczas mieszania określonej ilości drobnych, równomiernie rozmieszczonych pęcherzyków powietrza, które pozostają w betonie stwardniałym.</w:t>
      </w:r>
    </w:p>
    <w:p w14:paraId="15AC30CD" w14:textId="77777777" w:rsidR="003F49C8" w:rsidRDefault="008C2229">
      <w:pPr>
        <w:pStyle w:val="Default"/>
        <w:jc w:val="both"/>
        <w:rPr>
          <w:rFonts w:ascii="Arial" w:hAnsi="Arial" w:cs="Arial"/>
          <w:sz w:val="18"/>
          <w:szCs w:val="18"/>
        </w:rPr>
      </w:pPr>
      <w:r>
        <w:rPr>
          <w:rFonts w:ascii="Arial" w:hAnsi="Arial" w:cs="Arial"/>
          <w:b/>
          <w:sz w:val="18"/>
          <w:szCs w:val="18"/>
        </w:rPr>
        <w:t>Domieszka opóźniająca wiązanie</w:t>
      </w:r>
      <w:r>
        <w:rPr>
          <w:rFonts w:ascii="Arial" w:hAnsi="Arial" w:cs="Arial"/>
          <w:sz w:val="18"/>
          <w:szCs w:val="18"/>
        </w:rPr>
        <w:t xml:space="preserve"> - domieszka która przedłuża czas do rozpoczęcia przechodzenia mieszanki ze stanu plastycznego w stan sztywny.</w:t>
      </w:r>
    </w:p>
    <w:p w14:paraId="09D8E2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uplastyczniająca</w:t>
      </w:r>
      <w:r>
        <w:rPr>
          <w:rFonts w:ascii="Arial" w:hAnsi="Arial" w:cs="Arial"/>
          <w:spacing w:val="-3"/>
          <w:sz w:val="18"/>
          <w:szCs w:val="18"/>
        </w:rPr>
        <w:t xml:space="preserve"> - domieszka, która umożliwia zmniejszenie zawartości wody w danej mieszance betonowej bez wpływu na jej konsystencję lub która bez zmniejszania ilości wody powoduje zwiększenie opadu stożka/rozpływu lub wywołuje oba te efekty jednocześnie. </w:t>
      </w:r>
    </w:p>
    <w:p w14:paraId="6071FFD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upłynniająca</w:t>
      </w:r>
      <w:r>
        <w:rPr>
          <w:rFonts w:ascii="Arial" w:hAnsi="Arial" w:cs="Arial"/>
          <w:spacing w:val="-3"/>
          <w:sz w:val="18"/>
          <w:szCs w:val="18"/>
        </w:rPr>
        <w:t xml:space="preserve"> - domieszka, która umożliwia znaczne zmniejszenie zawartości wody w danej mieszance betonowej bez wpływu na jej konsystencję lub która bez zmniejszania ilości wody powoduje znaczne zwiększenie opadu stożka/rozpływu lub wywołuje oba te efekty jednocześnie. </w:t>
      </w:r>
    </w:p>
    <w:p w14:paraId="1070384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Domieszka opóźniająca wiązanie</w:t>
      </w:r>
      <w:r>
        <w:rPr>
          <w:rFonts w:ascii="Arial" w:hAnsi="Arial" w:cs="Arial"/>
          <w:spacing w:val="-3"/>
          <w:sz w:val="18"/>
          <w:szCs w:val="18"/>
        </w:rPr>
        <w:t xml:space="preserve"> - domieszka która przedłuża czas do rozpoczęcia przechodzenia mieszanki ze stanu plastycznego w stan sztywny.</w:t>
      </w:r>
    </w:p>
    <w:p w14:paraId="3C2B50C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Dybel</w:t>
      </w:r>
      <w:r>
        <w:rPr>
          <w:rFonts w:ascii="Arial" w:hAnsi="Arial" w:cs="Arial"/>
          <w:spacing w:val="-3"/>
          <w:sz w:val="18"/>
          <w:szCs w:val="18"/>
        </w:rPr>
        <w:t xml:space="preserve"> - powleczony powłoką polimerową gładki, stalowy pręt, umieszczony pomiędzy sąsiednimi płytami (pod szczelinami poprzecznymi), jako połączenie płyt w nawierzchni betonowej, stosowany w celu poprawienia przenoszenia obciążenia i współpracy płyt oraz uniknięcia powstawania uskoków.</w:t>
      </w:r>
    </w:p>
    <w:p w14:paraId="64C6FED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Dylatacje asfaltowe</w:t>
      </w:r>
      <w:r>
        <w:rPr>
          <w:rFonts w:ascii="Arial" w:hAnsi="Arial" w:cs="Arial"/>
          <w:spacing w:val="-3"/>
          <w:sz w:val="18"/>
          <w:szCs w:val="18"/>
        </w:rPr>
        <w:t xml:space="preserve"> - kruszywo zalewane masą asfaltową i zagęszczane warstwami. Stosowane są do połączenia nawierzchni betonowej z nawierzchnią asfaltową.</w:t>
      </w:r>
    </w:p>
    <w:p w14:paraId="412A82EC" w14:textId="77777777" w:rsidR="003F49C8" w:rsidRDefault="008C2229">
      <w:pPr>
        <w:pStyle w:val="Default"/>
        <w:jc w:val="both"/>
        <w:rPr>
          <w:rFonts w:ascii="Arial" w:hAnsi="Arial" w:cs="Arial"/>
          <w:sz w:val="18"/>
          <w:szCs w:val="18"/>
        </w:rPr>
      </w:pPr>
      <w:r>
        <w:rPr>
          <w:rFonts w:ascii="Arial" w:hAnsi="Arial" w:cs="Arial"/>
          <w:b/>
          <w:bCs/>
          <w:sz w:val="18"/>
          <w:szCs w:val="18"/>
        </w:rPr>
        <w:t xml:space="preserve">Efektywna zawartość wody </w:t>
      </w:r>
      <w:r>
        <w:rPr>
          <w:rFonts w:ascii="Arial" w:hAnsi="Arial" w:cs="Arial"/>
          <w:sz w:val="18"/>
          <w:szCs w:val="18"/>
        </w:rPr>
        <w:t>– różnica pomiędzy całkowitą ilością wody w mieszance betonowej a ilością wody zaabsorbowanej przez kruszywo.</w:t>
      </w:r>
    </w:p>
    <w:p w14:paraId="16ED8043"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Element masywny </w:t>
      </w:r>
      <w:r>
        <w:rPr>
          <w:rFonts w:ascii="Arial" w:hAnsi="Arial" w:cs="Arial"/>
          <w:sz w:val="18"/>
          <w:szCs w:val="18"/>
        </w:rPr>
        <w:t>– konstrukcja, dla której moduł powierzchniowy M &lt; 3 (M = Fc/V – dla elementów krępych, gdzie: Fc – powierzchnia strat ciepła [m</w:t>
      </w:r>
      <w:r>
        <w:rPr>
          <w:rFonts w:ascii="Arial" w:hAnsi="Arial" w:cs="Arial"/>
          <w:sz w:val="18"/>
          <w:szCs w:val="18"/>
          <w:vertAlign w:val="superscript"/>
        </w:rPr>
        <w:t>2</w:t>
      </w:r>
      <w:r>
        <w:rPr>
          <w:rFonts w:ascii="Arial" w:hAnsi="Arial" w:cs="Arial"/>
          <w:sz w:val="18"/>
          <w:szCs w:val="18"/>
        </w:rPr>
        <w:t>], V – objętość masy betonowej [m</w:t>
      </w:r>
      <w:r>
        <w:rPr>
          <w:rFonts w:ascii="Arial" w:hAnsi="Arial" w:cs="Arial"/>
          <w:sz w:val="18"/>
          <w:szCs w:val="18"/>
          <w:vertAlign w:val="superscript"/>
        </w:rPr>
        <w:t>3</w:t>
      </w:r>
      <w:r>
        <w:rPr>
          <w:rFonts w:ascii="Arial" w:hAnsi="Arial" w:cs="Arial"/>
          <w:sz w:val="18"/>
          <w:szCs w:val="18"/>
        </w:rPr>
        <w:t>]; M jest mniejsze od 3 dla płyt o grubości większej niż 0,6 m, M jest mniejsze od 3 dla słupów o przekroju większym niż 0,50x0,50 m.</w:t>
      </w:r>
    </w:p>
    <w:p w14:paraId="305E4CBA"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Gruntownik, primer</w:t>
      </w:r>
      <w:r>
        <w:rPr>
          <w:rFonts w:ascii="Arial" w:hAnsi="Arial" w:cs="Arial"/>
          <w:spacing w:val="-3"/>
          <w:sz w:val="18"/>
          <w:szCs w:val="18"/>
        </w:rPr>
        <w:t xml:space="preserve"> - roztwór gruntujący, składający się ze specjalnych substancji nanoszonych na boczne ścianki szczeliny w celu zwiększenia przyczepności zalewy do tych ścianek.</w:t>
      </w:r>
    </w:p>
    <w:p w14:paraId="2CB252D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color w:val="000000"/>
          <w:spacing w:val="-3"/>
          <w:sz w:val="18"/>
          <w:szCs w:val="18"/>
        </w:rPr>
      </w:pPr>
      <w:r>
        <w:rPr>
          <w:rFonts w:ascii="Arial" w:hAnsi="Arial" w:cs="Arial"/>
          <w:b/>
          <w:spacing w:val="-3"/>
          <w:sz w:val="18"/>
          <w:szCs w:val="18"/>
        </w:rPr>
        <w:t>Klasa ekspozycji</w:t>
      </w:r>
      <w:r>
        <w:rPr>
          <w:rFonts w:ascii="Arial" w:hAnsi="Arial" w:cs="Arial"/>
          <w:spacing w:val="-3"/>
          <w:sz w:val="18"/>
          <w:szCs w:val="18"/>
        </w:rPr>
        <w:t xml:space="preserve"> - klasyfikacja chemicznych i fizycznych warunków środowiska, na działanie których może być narażony beton </w:t>
      </w:r>
      <w:r>
        <w:rPr>
          <w:rFonts w:ascii="Arial" w:hAnsi="Arial" w:cs="Arial"/>
          <w:color w:val="000000"/>
          <w:spacing w:val="-3"/>
          <w:sz w:val="18"/>
          <w:szCs w:val="18"/>
        </w:rPr>
        <w:t>zgodnie z PN-EN 206.</w:t>
      </w:r>
    </w:p>
    <w:p w14:paraId="5021B33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Klasa obiektu</w:t>
      </w:r>
      <w:r>
        <w:rPr>
          <w:rFonts w:ascii="Arial" w:hAnsi="Arial" w:cs="Arial"/>
          <w:spacing w:val="-3"/>
          <w:sz w:val="18"/>
          <w:szCs w:val="18"/>
        </w:rPr>
        <w:t xml:space="preserve"> - klasyfikacja konstrukcji budowlanych i inżynierskich w odniesieniu do wagi konsekwencji wystąpienia reakcji alkalia-kruszywa w betonie, uzależniona od znaczenia danego obiektu budowlanego, projektowanego czasu użytkowania i oczekiwanego poziomu niezawodności; klasa obiektu jest związana z konsekwencjami ekonomicznymi, społecznymi i środowiskowymi wystąpienia uszkodzeń AAR.</w:t>
      </w:r>
    </w:p>
    <w:p w14:paraId="37E5110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Klasa wytrzymałości betonu na ściskanie</w:t>
      </w:r>
      <w:r>
        <w:rPr>
          <w:rFonts w:ascii="Arial" w:hAnsi="Arial" w:cs="Arial"/>
          <w:spacing w:val="-3"/>
          <w:sz w:val="18"/>
          <w:szCs w:val="18"/>
        </w:rPr>
        <w:t xml:space="preserve"> - określona jest na podstawie wytrzymałości charakterystycznej na ściskanie w 28 dniu dojrzewania i oznaczana symbolem np. C35/45, w tym: </w:t>
      </w:r>
    </w:p>
    <w:p w14:paraId="69CB47C1"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lastRenderedPageBreak/>
        <w:t xml:space="preserve">liczba „35” oznacza wytrzymałość charakterystyczną określoną na próbkach walcowych o średnicy 150 mm i wysokości 300 mm (fck, cyl), </w:t>
      </w:r>
    </w:p>
    <w:p w14:paraId="368CADE0" w14:textId="77777777" w:rsidR="003F49C8" w:rsidRDefault="008C2229">
      <w:pPr>
        <w:pStyle w:val="Default"/>
        <w:numPr>
          <w:ilvl w:val="0"/>
          <w:numId w:val="22"/>
        </w:numPr>
        <w:ind w:left="284" w:hanging="284"/>
        <w:jc w:val="both"/>
        <w:rPr>
          <w:rFonts w:ascii="Arial" w:hAnsi="Arial" w:cs="Arial"/>
          <w:sz w:val="18"/>
          <w:szCs w:val="18"/>
        </w:rPr>
      </w:pPr>
      <w:r>
        <w:rPr>
          <w:rFonts w:ascii="Arial" w:hAnsi="Arial" w:cs="Arial"/>
          <w:sz w:val="18"/>
          <w:szCs w:val="18"/>
        </w:rPr>
        <w:t>liczba „45” oznacza wytrzymałość charakterystyczna określoną na próbkach sześciennych o boku 150 mm (fck, cube).</w:t>
      </w:r>
    </w:p>
    <w:p w14:paraId="4DF74064"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Kategoria środowiska</w:t>
      </w:r>
      <w:r>
        <w:rPr>
          <w:rFonts w:ascii="Arial" w:hAnsi="Arial" w:cs="Arial"/>
          <w:spacing w:val="-3"/>
          <w:sz w:val="18"/>
          <w:szCs w:val="18"/>
        </w:rPr>
        <w:t xml:space="preserve"> - klasyfikacja środowiska w odniesieniu do możliwości wystąpienia w betonie zagrożenia destrukcyjną reakcją alkalia-kruszywa AAR. Wyróżnia się kategorie: </w:t>
      </w:r>
    </w:p>
    <w:p w14:paraId="216E2A40"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E1: beton jest zasadniczo chroniony przed wilgocią z zewnątrz, </w:t>
      </w:r>
    </w:p>
    <w:p w14:paraId="1A579EA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E2: beton jest wystawiony na działanie wilgoci z zewnątrz; </w:t>
      </w:r>
    </w:p>
    <w:p w14:paraId="2E6D8E5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E3: beton narażony jest na działanie wilgoci z zewnątrz i dodatkowo na czynniki obciążające, takie jak środki odladzające, zamrażanie i rozmrażanie (lub zwilżanie i suszenie w środowisku morskim) lub zmienne obciążenia. </w:t>
      </w:r>
    </w:p>
    <w:p w14:paraId="3BFA38C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konsystencji - </w:t>
      </w:r>
      <w:r>
        <w:rPr>
          <w:rFonts w:ascii="Arial" w:hAnsi="Arial" w:cs="Arial"/>
          <w:sz w:val="18"/>
          <w:szCs w:val="18"/>
        </w:rPr>
        <w:t xml:space="preserve">konsystencję mieszanki betonowej klasyfikuje się zgodnie z PN-EN 206 oraz PN-B—06265 w zależności od metody oznaczenia: </w:t>
      </w:r>
    </w:p>
    <w:p w14:paraId="09612BB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klasy S1-S5 wg metody opadu stożka zgodnie z PN-EN 12350-2,</w:t>
      </w:r>
    </w:p>
    <w:p w14:paraId="6FD619B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C0-C4 wg metody stopnia zagęszczalności zgodnie z PN-EN 12350-4, </w:t>
      </w:r>
    </w:p>
    <w:p w14:paraId="03A64BD8"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F1-F6 wg metody rozpływu zgodnie z PN-EN 12350-5, </w:t>
      </w:r>
    </w:p>
    <w:p w14:paraId="1DB84B67"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klasy SF1-SF3 wg metody rozpływu stożka zgodnie z PN-EN 12350-8. </w:t>
      </w:r>
    </w:p>
    <w:p w14:paraId="42316F28" w14:textId="77777777" w:rsidR="003F49C8" w:rsidRDefault="008C2229">
      <w:pPr>
        <w:pStyle w:val="Default"/>
        <w:jc w:val="both"/>
        <w:rPr>
          <w:rFonts w:ascii="Arial" w:hAnsi="Arial" w:cs="Arial"/>
          <w:sz w:val="18"/>
          <w:szCs w:val="18"/>
        </w:rPr>
      </w:pPr>
      <w:r>
        <w:rPr>
          <w:rFonts w:ascii="Arial" w:hAnsi="Arial" w:cs="Arial"/>
          <w:sz w:val="18"/>
          <w:szCs w:val="18"/>
        </w:rPr>
        <w:t>W przypadku mieszanki samozagęszczalnej (SCC) stosuje się wyłącznie klasy wg metody rozpływu stożka (klasy SF1 - SF3)</w:t>
      </w:r>
    </w:p>
    <w:p w14:paraId="7D8228F8" w14:textId="77777777" w:rsidR="003F49C8" w:rsidRDefault="008C2229">
      <w:pPr>
        <w:pStyle w:val="Default"/>
        <w:jc w:val="both"/>
        <w:rPr>
          <w:rFonts w:ascii="Arial" w:hAnsi="Arial" w:cs="Arial"/>
          <w:sz w:val="18"/>
          <w:szCs w:val="18"/>
        </w:rPr>
      </w:pPr>
      <w:r>
        <w:rPr>
          <w:rFonts w:ascii="Arial" w:hAnsi="Arial" w:cs="Arial"/>
          <w:b/>
          <w:bCs/>
          <w:sz w:val="18"/>
          <w:szCs w:val="18"/>
        </w:rPr>
        <w:t xml:space="preserve">Klasy dodatkowych właściwości SCC </w:t>
      </w:r>
      <w:r>
        <w:rPr>
          <w:rFonts w:ascii="Arial" w:hAnsi="Arial" w:cs="Arial"/>
          <w:sz w:val="18"/>
          <w:szCs w:val="18"/>
        </w:rPr>
        <w:t xml:space="preserve">– beton samozagęszczalny klasyfikuje się ze względu na dodatkowe właściwości zgodnie z PN-EN 206: </w:t>
      </w:r>
    </w:p>
    <w:p w14:paraId="056AB15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lepkość - klasy VS1-VS2 wg metody rozpływu stożka zgodnie z PN-EN 12350-8 lub klasy VF1-VF2 wg metody V</w:t>
      </w:r>
      <w:r>
        <w:rPr>
          <w:rFonts w:ascii="Arial" w:hAnsi="Arial" w:cs="Arial"/>
          <w:sz w:val="18"/>
          <w:szCs w:val="18"/>
        </w:rPr>
        <w:noBreakHyphen/>
        <w:t xml:space="preserve">lejka zgodnie z PN-EN 12350-9, </w:t>
      </w:r>
    </w:p>
    <w:p w14:paraId="6921811C"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przepływalność - klasy PL1-PL2 wg metody L-pojemnika zgodnie z PN-EN 12350-10 lub PJ1-PJ2 wg metody J</w:t>
      </w:r>
      <w:r>
        <w:rPr>
          <w:rFonts w:ascii="Arial" w:hAnsi="Arial" w:cs="Arial"/>
          <w:sz w:val="18"/>
          <w:szCs w:val="18"/>
        </w:rPr>
        <w:noBreakHyphen/>
        <w:t xml:space="preserve">pierścienia zgodnie z PN-EN 12350-12, </w:t>
      </w:r>
    </w:p>
    <w:p w14:paraId="456305B5"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odporność na segregację - klasy SR1-SR2 wg metody segregacji sitowej zgodnie z PN-EN 12350-11. </w:t>
      </w:r>
    </w:p>
    <w:p w14:paraId="02DED83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gorąco</w:t>
      </w:r>
      <w:r>
        <w:rPr>
          <w:rFonts w:ascii="Arial" w:hAnsi="Arial" w:cs="Arial"/>
          <w:spacing w:val="-3"/>
          <w:sz w:val="18"/>
          <w:szCs w:val="18"/>
        </w:rPr>
        <w:t xml:space="preserve"> - mieszanina modyfikowanych asfaltów oraz specjalnych dodatków, przeznaczona do wypełniania szczelin nawierzchni na gorąco, spełniająca wymagania PN-EN 14188-2, posiadająca wymagane dokumenty dopuszczające ją do stosowania w tym zakresie. </w:t>
      </w:r>
    </w:p>
    <w:p w14:paraId="3A1A235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Masa zalewowa na zimno</w:t>
      </w:r>
      <w:r>
        <w:rPr>
          <w:rFonts w:ascii="Arial" w:hAnsi="Arial" w:cs="Arial"/>
          <w:spacing w:val="-3"/>
          <w:sz w:val="18"/>
          <w:szCs w:val="18"/>
        </w:rPr>
        <w:t xml:space="preserve"> - mieszanina żywic syntetycznych i dodatków zapewniająca wieloletnią trwałość wypełnienia, spełniająca wymagania PN-EN 14188-2, posiadająca wymagane dokumenty dopuszczające ją do stosowania w tym zakresie.</w:t>
      </w:r>
    </w:p>
    <w:p w14:paraId="17CB1E53"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betonowa </w:t>
      </w:r>
      <w:r>
        <w:rPr>
          <w:rFonts w:ascii="Arial" w:hAnsi="Arial" w:cs="Arial"/>
          <w:sz w:val="18"/>
          <w:szCs w:val="18"/>
        </w:rPr>
        <w:t>- całkowicie wymieszane składniki betonu, które są jeszcze w stanie umożliwiającym zagęszczenie wybraną metodą.</w:t>
      </w:r>
    </w:p>
    <w:p w14:paraId="66570C7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Nawierzchnia „z odkrytym kruszywem”</w:t>
      </w:r>
      <w:r>
        <w:rPr>
          <w:rFonts w:ascii="Arial" w:hAnsi="Arial" w:cs="Arial"/>
          <w:spacing w:val="-3"/>
          <w:sz w:val="18"/>
          <w:szCs w:val="18"/>
        </w:rPr>
        <w:t xml:space="preserve"> - wykończenie nawierzchni uzyskiwane przez usunięcie niezwiązanej zaprawy cementowej i odsłonięcie kruszywa grubego.</w:t>
      </w:r>
    </w:p>
    <w:p w14:paraId="3486723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opóźniający hydratację cementu</w:t>
      </w:r>
      <w:r>
        <w:rPr>
          <w:rFonts w:ascii="Arial" w:hAnsi="Arial" w:cs="Arial"/>
          <w:spacing w:val="-3"/>
          <w:sz w:val="18"/>
          <w:szCs w:val="18"/>
        </w:rPr>
        <w:t xml:space="preserve"> - preparat chemiczny nanoszony metodą natrysku na świeżo ułożoną nawierzchnię, opóźniający wiązanie zaprawy w celu uzyskania wymaganej makrotekstury metodą usuwania zaprawy (odsłonięcia kruszywa). Zabezpiecza również wykonaną nawierzchnię przed nadmiernym odparowaniem wody do czasu usunięcia zaprawy.</w:t>
      </w:r>
    </w:p>
    <w:p w14:paraId="24D9B12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Preparat pielęgnacyjny</w:t>
      </w:r>
      <w:r>
        <w:rPr>
          <w:rFonts w:ascii="Arial" w:hAnsi="Arial" w:cs="Arial"/>
          <w:spacing w:val="-3"/>
          <w:sz w:val="18"/>
          <w:szCs w:val="18"/>
        </w:rPr>
        <w:t xml:space="preserve"> - środek chemiczny nanoszony metodą natrysku na powierzchnię po wykonaniu makrotekstury (uszorstnienia) w celu zabezpieczenia nawierzchni przed nadmiernym odparowaniem wody.</w:t>
      </w:r>
    </w:p>
    <w:p w14:paraId="4E6D1B73" w14:textId="77777777" w:rsidR="003F49C8" w:rsidRDefault="008C2229">
      <w:pPr>
        <w:pStyle w:val="Default"/>
        <w:jc w:val="both"/>
        <w:rPr>
          <w:rFonts w:ascii="Arial" w:hAnsi="Arial" w:cs="Arial"/>
          <w:b/>
          <w:spacing w:val="-3"/>
          <w:sz w:val="18"/>
          <w:szCs w:val="18"/>
        </w:rPr>
      </w:pPr>
      <w:r>
        <w:rPr>
          <w:rFonts w:ascii="Arial" w:hAnsi="Arial" w:cs="Arial"/>
          <w:b/>
          <w:sz w:val="18"/>
          <w:szCs w:val="18"/>
        </w:rPr>
        <w:t>Reakcja AAR</w:t>
      </w:r>
      <w:r>
        <w:rPr>
          <w:rFonts w:ascii="Arial" w:hAnsi="Arial" w:cs="Arial"/>
          <w:sz w:val="18"/>
          <w:szCs w:val="18"/>
        </w:rPr>
        <w:t xml:space="preserve"> - zespół procesów fizykochemicznych przebiegających w zaprawie cementowej lub betonie pomiędzy reaktywnymi fazami mineralnymi występującymi w ziarnach kruszywa a wodorotlenkami metali alkalicznych i wapnia występującymi w roztworze porowym i/lub pochodzącymi ze źródeł zewnętrznych.</w:t>
      </w:r>
    </w:p>
    <w:p w14:paraId="4AC2EA2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Reaktywność alkaliczna kruszywa</w:t>
      </w:r>
      <w:r>
        <w:rPr>
          <w:rFonts w:ascii="Arial" w:hAnsi="Arial" w:cs="Arial"/>
          <w:spacing w:val="-3"/>
          <w:sz w:val="18"/>
          <w:szCs w:val="18"/>
        </w:rPr>
        <w:t xml:space="preserve"> - podatność kruszywa na reakcję z alkaliami. </w:t>
      </w:r>
    </w:p>
    <w:p w14:paraId="329E098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Kategoria reaktywności kruszywa</w:t>
      </w:r>
      <w:r>
        <w:rPr>
          <w:rFonts w:ascii="Arial" w:hAnsi="Arial" w:cs="Arial"/>
          <w:spacing w:val="-3"/>
          <w:sz w:val="18"/>
          <w:szCs w:val="18"/>
        </w:rPr>
        <w:t xml:space="preserve"> – sklasyfikowana podatność kruszywa na reakcję z wodorotlenkami sodu i potasu w betonie cementowym, ASR. Kategorie reaktywności:</w:t>
      </w:r>
    </w:p>
    <w:p w14:paraId="73DF4ED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R0 kategoria 0 reaktywności kruszywa (kruszywo niereaktywne),</w:t>
      </w:r>
    </w:p>
    <w:p w14:paraId="58E051B1"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R1 kategoria 1 reaktywności kruszywa (kruszywo umiarkowanie reaktywne),</w:t>
      </w:r>
    </w:p>
    <w:p w14:paraId="30AAC726"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R2 kategoria 2 reaktywności kruszywa (kruszywo silnie reaktywne),</w:t>
      </w:r>
    </w:p>
    <w:p w14:paraId="22A6BA19" w14:textId="77777777" w:rsidR="003F49C8" w:rsidRDefault="008C2229">
      <w:pPr>
        <w:pStyle w:val="Akapitzlist"/>
        <w:numPr>
          <w:ilvl w:val="0"/>
          <w:numId w:val="29"/>
        </w:numPr>
        <w:tabs>
          <w:tab w:val="left" w:pos="-1725"/>
          <w:tab w:val="left" w:pos="-1005"/>
          <w:tab w:val="left" w:pos="-28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R3 kategoria 3 reaktywności kruszywa (kruszywo bardzo silne reaktywne).</w:t>
      </w:r>
    </w:p>
    <w:p w14:paraId="713E1AE2"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Specyfikacja betonu </w:t>
      </w:r>
      <w:r>
        <w:rPr>
          <w:rFonts w:ascii="Arial" w:hAnsi="Arial" w:cs="Arial"/>
          <w:sz w:val="18"/>
          <w:szCs w:val="18"/>
        </w:rPr>
        <w:t>– podane producentowi końcowe zestawienie udokumentowanych wymagań technicznych dotyczących właściwości użytkowych lub składu betonu.</w:t>
      </w:r>
    </w:p>
    <w:p w14:paraId="769A4D14"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Stopień mrozoodporności </w:t>
      </w:r>
      <w:r>
        <w:rPr>
          <w:rFonts w:ascii="Arial" w:hAnsi="Arial" w:cs="Arial"/>
          <w:sz w:val="18"/>
          <w:szCs w:val="18"/>
        </w:rPr>
        <w:t>- symbol literowo-liczbowy (np. F200) klasyfikujący beton pod względem jego odporności na działanie mrozu; liczba po literze F oznacza wymaganą liczbę cykli zamrażania i odmrażania próbek betonowych, sposób badania wg PN-B-06265.</w:t>
      </w:r>
    </w:p>
    <w:p w14:paraId="188BF79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Szczelina konstrukcyjna </w:t>
      </w:r>
      <w:r>
        <w:rPr>
          <w:rFonts w:ascii="Arial" w:hAnsi="Arial" w:cs="Arial"/>
          <w:spacing w:val="-3"/>
          <w:sz w:val="18"/>
          <w:szCs w:val="18"/>
        </w:rPr>
        <w:t xml:space="preserve">(poprzeczna) - szczelina na pełnej grubości płyty, powstaje na zakończenie każdej działki roboczej lub przy zatrzymaniu maszyny na okres dłuższy niż czas wiązania cementu. </w:t>
      </w:r>
    </w:p>
    <w:p w14:paraId="4CA566E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podłużna</w:t>
      </w:r>
      <w:r>
        <w:rPr>
          <w:rFonts w:ascii="Arial" w:hAnsi="Arial" w:cs="Arial"/>
          <w:spacing w:val="-3"/>
          <w:sz w:val="18"/>
          <w:szCs w:val="18"/>
        </w:rPr>
        <w:t xml:space="preserve"> (pozorna) - szczelina na pełnej grubości płyty, powstająca na skutek nacięcia (określonych wymiarów) powierzchni płyty piłą tarczową.</w:t>
      </w:r>
    </w:p>
    <w:p w14:paraId="00692448"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Tekstura nawierzchni</w:t>
      </w:r>
      <w:r>
        <w:rPr>
          <w:rFonts w:ascii="Arial" w:hAnsi="Arial" w:cs="Arial"/>
          <w:spacing w:val="-3"/>
          <w:sz w:val="18"/>
          <w:szCs w:val="18"/>
        </w:rPr>
        <w:t xml:space="preserve"> - oznacza sposób wykończenia powierzchni betonu celem nadania jej optymalnej makrotekstury z uwagi na wymagane właściwości przeciwpoślizgowe, równość porzeczną i podłużną i właściwości akustyczne, które osiąga się następującymi metodami: </w:t>
      </w:r>
    </w:p>
    <w:p w14:paraId="5CA17D66"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ciągnionej sztucznej trawy po świeżo ułożonej nawierzchni w kierunku podłużnym (równo-ległym do osi jezdni), </w:t>
      </w:r>
    </w:p>
    <w:p w14:paraId="3A54A872"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przecierania świeżo ułożonej mieszanki betonowej stalową szczotką (w kierunku prostopadłym do osi jezdni), </w:t>
      </w:r>
    </w:p>
    <w:p w14:paraId="5CCEDEFA"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opóźnienia hydratacji cementu środkami chemicznymi a następnie usunięcia niezwiązanej zaprawy cementowej szczotką mechaniczną lub wodą pod ciśnieniem w celu odsłonięcia gruboziarnistego kruszywa, </w:t>
      </w:r>
    </w:p>
    <w:p w14:paraId="074CF431"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lastRenderedPageBreak/>
        <w:t>szlifowania i nacinania powierzchni płyty betonowej tarczami diamentowymi w kierunku podłużnym (równoległym do osi jezdni), tzw. technologia NGCS (Next Generation Concrete Surfaces) lub G&amp;G (Grinding &amp; Grooving).</w:t>
      </w:r>
    </w:p>
    <w:p w14:paraId="2E40A756"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ścieralna</w:t>
      </w:r>
      <w:r>
        <w:rPr>
          <w:rFonts w:ascii="Arial" w:hAnsi="Arial" w:cs="Arial"/>
          <w:spacing w:val="-3"/>
          <w:sz w:val="18"/>
          <w:szCs w:val="18"/>
        </w:rPr>
        <w:t xml:space="preserve"> – górna warstwa nawierzchni poddana bezpośrednio oddziaływaniu ruchu i czynników atmosferycznych.</w:t>
      </w:r>
    </w:p>
    <w:p w14:paraId="0160562D" w14:textId="77777777" w:rsidR="003F49C8" w:rsidRDefault="008C2229">
      <w:pPr>
        <w:tabs>
          <w:tab w:val="left" w:pos="-1725"/>
          <w:tab w:val="left" w:pos="-1005"/>
          <w:tab w:val="left" w:pos="-285"/>
          <w:tab w:val="left" w:pos="435"/>
          <w:tab w:val="left" w:pos="8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Warstwa wiążąca</w:t>
      </w:r>
      <w:r>
        <w:rPr>
          <w:rFonts w:ascii="Arial" w:hAnsi="Arial" w:cs="Arial"/>
          <w:spacing w:val="-3"/>
          <w:sz w:val="18"/>
          <w:szCs w:val="18"/>
        </w:rPr>
        <w:t xml:space="preserve"> – warstwa znajdująca się między warstwą ścieralną a podbudową, zapewniająca lepsze rozłożenie naprężeń w nawierzchni i przekazywanie ich na podbudowę.</w:t>
      </w:r>
    </w:p>
    <w:p w14:paraId="67D6BE35"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b/>
          <w:bCs/>
          <w:color w:val="000000"/>
          <w:sz w:val="18"/>
          <w:szCs w:val="18"/>
        </w:rPr>
        <w:t xml:space="preserve">Warstwa nawierzchniowa </w:t>
      </w:r>
      <w:r>
        <w:rPr>
          <w:rFonts w:ascii="Arial" w:hAnsi="Arial" w:cs="Arial"/>
          <w:color w:val="000000"/>
          <w:sz w:val="18"/>
          <w:szCs w:val="18"/>
        </w:rPr>
        <w:t xml:space="preserve">- wierzchnia warstwa konstrukcji nawierzchni poddana bezpośredniemu oddziaływaniu ruchu i czynników atmosferycznych. Stanowi ją płyta betonowa, która w zależności od kategorii ruchu może być: niedyblowana, dyblowana i kotwiona lub zbrojona. </w:t>
      </w:r>
    </w:p>
    <w:p w14:paraId="344BEA7F" w14:textId="77777777" w:rsidR="003F49C8" w:rsidRDefault="008C2229">
      <w:pPr>
        <w:autoSpaceDE w:val="0"/>
        <w:autoSpaceDN w:val="0"/>
        <w:adjustRightInd w:val="0"/>
        <w:jc w:val="both"/>
        <w:rPr>
          <w:rFonts w:ascii="Arial" w:hAnsi="Arial" w:cs="Arial"/>
          <w:color w:val="000000"/>
          <w:sz w:val="18"/>
          <w:szCs w:val="18"/>
        </w:rPr>
      </w:pPr>
      <w:r>
        <w:rPr>
          <w:rFonts w:ascii="Arial" w:hAnsi="Arial" w:cs="Arial"/>
          <w:color w:val="000000"/>
          <w:sz w:val="18"/>
          <w:szCs w:val="18"/>
        </w:rPr>
        <w:t xml:space="preserve">Może być układana w następujących wariantach: </w:t>
      </w:r>
    </w:p>
    <w:p w14:paraId="5F6FD703"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 bez zbrojenia (JWN), </w:t>
      </w:r>
    </w:p>
    <w:p w14:paraId="609875DD"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pojedynczej warstwie ze zbrojeniem ciągłym (NBZC), </w:t>
      </w:r>
    </w:p>
    <w:p w14:paraId="53EE8F14"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obie warstwy z tej samej mieszanki (PWN), </w:t>
      </w:r>
    </w:p>
    <w:p w14:paraId="01F3CC69" w14:textId="77777777" w:rsidR="003F49C8" w:rsidRDefault="008C2229">
      <w:pPr>
        <w:pStyle w:val="Default"/>
        <w:numPr>
          <w:ilvl w:val="0"/>
          <w:numId w:val="23"/>
        </w:numPr>
        <w:ind w:left="284" w:hanging="284"/>
        <w:jc w:val="both"/>
        <w:rPr>
          <w:rFonts w:ascii="Arial" w:hAnsi="Arial" w:cs="Arial"/>
          <w:sz w:val="18"/>
          <w:szCs w:val="18"/>
        </w:rPr>
      </w:pPr>
      <w:r>
        <w:rPr>
          <w:rFonts w:ascii="Arial" w:hAnsi="Arial" w:cs="Arial"/>
          <w:sz w:val="18"/>
          <w:szCs w:val="18"/>
        </w:rPr>
        <w:t xml:space="preserve">w podwójnej warstwie, każda warstwa z innej mieszanki: </w:t>
      </w:r>
    </w:p>
    <w:p w14:paraId="00F578F8"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górna warstwa nawierzchni oznaczona jako (GWN), </w:t>
      </w:r>
    </w:p>
    <w:p w14:paraId="642E64A3" w14:textId="77777777" w:rsidR="003F49C8" w:rsidRDefault="008C2229">
      <w:pPr>
        <w:pStyle w:val="Akapitzlist"/>
        <w:numPr>
          <w:ilvl w:val="1"/>
          <w:numId w:val="24"/>
        </w:numPr>
        <w:autoSpaceDE w:val="0"/>
        <w:autoSpaceDN w:val="0"/>
        <w:adjustRightInd w:val="0"/>
        <w:ind w:left="567" w:hanging="283"/>
        <w:jc w:val="both"/>
        <w:rPr>
          <w:rFonts w:ascii="Arial" w:hAnsi="Arial" w:cs="Arial"/>
          <w:color w:val="000000"/>
          <w:sz w:val="18"/>
          <w:szCs w:val="18"/>
        </w:rPr>
      </w:pPr>
      <w:r>
        <w:rPr>
          <w:rFonts w:ascii="Arial" w:hAnsi="Arial" w:cs="Arial"/>
          <w:color w:val="000000"/>
          <w:sz w:val="18"/>
          <w:szCs w:val="18"/>
        </w:rPr>
        <w:t xml:space="preserve">dolna warstwa nawierzchni oznaczona jako (DWN). </w:t>
      </w:r>
    </w:p>
    <w:p w14:paraId="62D7A7E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uszczelniająca</w:t>
      </w:r>
      <w:r>
        <w:rPr>
          <w:rFonts w:ascii="Arial" w:hAnsi="Arial" w:cs="Arial"/>
          <w:spacing w:val="-3"/>
          <w:sz w:val="18"/>
          <w:szCs w:val="18"/>
        </w:rPr>
        <w:t xml:space="preserve"> - stosowany do wypełnienia szczelin poprzecznych, wytłaczany (prefabrykowany) i wulkanizowany gumowy sprężysty profil, który wypełnia szczelinę i zabezpiecza przed wnikaniem wody, spełniający wymagania PN-EN 14188-3, posiadający wymagane dokumenty dopuszczające go do stosowania w tym zakresie. </w:t>
      </w:r>
    </w:p>
    <w:p w14:paraId="06526A0C"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Wkładka zmniejszająca głębokość szczeliny</w:t>
      </w:r>
      <w:r>
        <w:rPr>
          <w:rFonts w:ascii="Arial" w:hAnsi="Arial" w:cs="Arial"/>
          <w:spacing w:val="-3"/>
          <w:sz w:val="18"/>
          <w:szCs w:val="18"/>
        </w:rPr>
        <w:t xml:space="preserve"> - wkładka z materiałów syntetycznych lub innych o walcowatym kształcie do uszczelnienia i uzyskania podparcia na odpowiednim poziomie dla masy zalewowej, a także wyeliminowania możliwości trójpłaszczyznowej przyczepności zalewy w wykonanej szczelinie</w:t>
      </w:r>
    </w:p>
    <w:p w14:paraId="22BB0941" w14:textId="77777777" w:rsidR="003F49C8" w:rsidRDefault="008C2229">
      <w:pPr>
        <w:pStyle w:val="Default"/>
        <w:jc w:val="both"/>
        <w:rPr>
          <w:rFonts w:ascii="Arial" w:hAnsi="Arial" w:cs="Arial"/>
          <w:sz w:val="18"/>
          <w:szCs w:val="18"/>
        </w:rPr>
      </w:pPr>
      <w:r>
        <w:rPr>
          <w:rFonts w:ascii="Arial" w:hAnsi="Arial" w:cs="Arial"/>
          <w:b/>
          <w:bCs/>
          <w:sz w:val="18"/>
          <w:szCs w:val="18"/>
        </w:rPr>
        <w:t xml:space="preserve">Współczynnik woda/cement </w:t>
      </w:r>
      <w:r>
        <w:rPr>
          <w:rFonts w:ascii="Arial" w:hAnsi="Arial" w:cs="Arial"/>
          <w:sz w:val="18"/>
          <w:szCs w:val="18"/>
        </w:rPr>
        <w:t>– stosunek wagowy efektywnej zawartości wody do zawartości cementu w mieszance betonowej</w:t>
      </w:r>
    </w:p>
    <w:p w14:paraId="7C5ED39B" w14:textId="77777777" w:rsidR="003F49C8" w:rsidRDefault="003F49C8">
      <w:pPr>
        <w:pStyle w:val="Default"/>
        <w:jc w:val="both"/>
        <w:rPr>
          <w:rFonts w:ascii="Arial" w:hAnsi="Arial" w:cs="Arial"/>
          <w:sz w:val="18"/>
          <w:szCs w:val="18"/>
        </w:rPr>
      </w:pPr>
    </w:p>
    <w:p w14:paraId="5CE8EF12"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ochrony środowiska:</w:t>
      </w:r>
    </w:p>
    <w:p w14:paraId="6F2878DA" w14:textId="77777777" w:rsidR="003F49C8" w:rsidRDefault="008C2229">
      <w:pPr>
        <w:pStyle w:val="Default"/>
        <w:jc w:val="both"/>
        <w:rPr>
          <w:rFonts w:ascii="Arial" w:hAnsi="Arial" w:cs="Arial"/>
          <w:b/>
          <w:sz w:val="18"/>
          <w:szCs w:val="18"/>
        </w:rPr>
      </w:pPr>
      <w:r>
        <w:rPr>
          <w:rFonts w:ascii="Arial" w:hAnsi="Arial" w:cs="Arial"/>
          <w:b/>
          <w:sz w:val="18"/>
          <w:szCs w:val="18"/>
        </w:rPr>
        <w:t xml:space="preserve">Analiza porealizacyjna - </w:t>
      </w:r>
      <w:r>
        <w:rPr>
          <w:rFonts w:ascii="Arial" w:hAnsi="Arial" w:cs="Arial"/>
          <w:sz w:val="18"/>
          <w:szCs w:val="18"/>
        </w:rPr>
        <w:t>opracowanie mające na celu porównanie rzeczywistych oddziaływań przedsięwzięcia na środowisko z ustaleniami i wnioskami zawartymi w raportach o oddziaływaniu na środowisko oraz w decyzji pozwolenie na budowę i decyzji o zezwoleniu na realizacje przedsięwzięcia.</w:t>
      </w:r>
    </w:p>
    <w:p w14:paraId="7EB131F0"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minimalizujące - </w:t>
      </w:r>
      <w:r>
        <w:rPr>
          <w:rFonts w:ascii="Arial" w:hAnsi="Arial" w:cs="Arial"/>
          <w:sz w:val="18"/>
          <w:szCs w:val="18"/>
        </w:rPr>
        <w:t>zespół działań mających na celu unikanie, zapobieganie lub ograniczenie negatywnych oddziaływań planowanego przedsięwzięcia na środowisko na etapie jego realizacji i funkcjonowania.</w:t>
      </w:r>
    </w:p>
    <w:p w14:paraId="6ED5B002" w14:textId="77777777" w:rsidR="003F49C8" w:rsidRDefault="008C2229">
      <w:pPr>
        <w:pStyle w:val="Default"/>
        <w:jc w:val="both"/>
        <w:rPr>
          <w:rFonts w:ascii="Arial" w:hAnsi="Arial" w:cs="Arial"/>
          <w:b/>
          <w:sz w:val="18"/>
          <w:szCs w:val="18"/>
        </w:rPr>
      </w:pPr>
      <w:r>
        <w:rPr>
          <w:rFonts w:ascii="Arial" w:hAnsi="Arial" w:cs="Arial"/>
          <w:b/>
          <w:sz w:val="18"/>
          <w:szCs w:val="18"/>
        </w:rPr>
        <w:t xml:space="preserve">Działania zapobiegawcze - </w:t>
      </w:r>
      <w:r>
        <w:rPr>
          <w:rFonts w:ascii="Arial" w:hAnsi="Arial" w:cs="Arial"/>
          <w:sz w:val="18"/>
          <w:szCs w:val="18"/>
        </w:rPr>
        <w:t xml:space="preserve">zespół działań mających na celu wyeliminowanie negatywnych oddziaływań na środowisko związanych z realizacją i funkcjonowaniem planowanego przedsięwzięcia. </w:t>
      </w:r>
    </w:p>
    <w:p w14:paraId="16CE2541"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 </w:t>
      </w:r>
      <w:r>
        <w:rPr>
          <w:rFonts w:ascii="Arial" w:hAnsi="Arial" w:cs="Arial"/>
          <w:sz w:val="18"/>
          <w:szCs w:val="18"/>
        </w:rPr>
        <w:t>obserwacje i badania terenowe środowiska przyrodniczego w okresie wegetacyjnym i lęgowym.</w:t>
      </w:r>
    </w:p>
    <w:p w14:paraId="7D77F112" w14:textId="77777777" w:rsidR="003F49C8" w:rsidRDefault="008C2229">
      <w:pPr>
        <w:pStyle w:val="Default"/>
        <w:jc w:val="both"/>
        <w:rPr>
          <w:rFonts w:ascii="Arial" w:hAnsi="Arial" w:cs="Arial"/>
          <w:b/>
          <w:sz w:val="18"/>
          <w:szCs w:val="18"/>
        </w:rPr>
      </w:pPr>
      <w:r>
        <w:rPr>
          <w:rFonts w:ascii="Arial" w:hAnsi="Arial" w:cs="Arial"/>
          <w:b/>
          <w:sz w:val="18"/>
          <w:szCs w:val="18"/>
        </w:rPr>
        <w:t xml:space="preserve">Inwentaryzacja przyrodnicza w obszarze Natura 2000 - </w:t>
      </w:r>
      <w:r>
        <w:rPr>
          <w:rFonts w:ascii="Arial" w:hAnsi="Arial" w:cs="Arial"/>
          <w:sz w:val="18"/>
          <w:szCs w:val="18"/>
        </w:rPr>
        <w:t xml:space="preserve">zinwentaryzowanie przedmiotów ochrony tych obszarów oraz przedstawienie danych ilościowych o występujących gatunkach i siedliskach, jak również jakościowych o stanie zachowania tych gatunków i siedlisk oraz ich reprezentatywność. </w:t>
      </w:r>
    </w:p>
    <w:p w14:paraId="7D684429" w14:textId="77777777" w:rsidR="003F49C8" w:rsidRDefault="008C2229">
      <w:pPr>
        <w:pStyle w:val="Default"/>
        <w:jc w:val="both"/>
        <w:rPr>
          <w:rFonts w:ascii="Arial" w:hAnsi="Arial" w:cs="Arial"/>
          <w:b/>
          <w:sz w:val="18"/>
          <w:szCs w:val="18"/>
        </w:rPr>
      </w:pPr>
      <w:r>
        <w:rPr>
          <w:rFonts w:ascii="Arial" w:hAnsi="Arial" w:cs="Arial"/>
          <w:b/>
          <w:sz w:val="18"/>
          <w:szCs w:val="18"/>
        </w:rPr>
        <w:t xml:space="preserve">Kompensacja przyrodnicza - </w:t>
      </w:r>
      <w:r>
        <w:rPr>
          <w:rFonts w:ascii="Arial" w:hAnsi="Arial" w:cs="Arial"/>
          <w:sz w:val="18"/>
          <w:szCs w:val="18"/>
        </w:rPr>
        <w:t>zespół prowadzących do przywrócenia równowagi przyrodniczej na danym terenie, wyrównania szkód dokonanych w środowisku przez realizację przedsięwzięcia i zachowania walorów krajobrazowych obejmujących w szczególności roboty budowlane, roboty ziemne, rekultywację gleby, zalesianie, zadrzewianie lub tworzenie skupień roślinności, prowadzących do przywrócenia równowagi przyrodniczej na danym terenie, wyrównania szkód dokonanych w środowisku przez realizację przedsięwzięcia i zachowanie walorów krajobrazowych (</w:t>
      </w:r>
      <w:r>
        <w:rPr>
          <w:rFonts w:ascii="Arial" w:hAnsi="Arial" w:cs="Arial"/>
          <w:i/>
          <w:sz w:val="18"/>
          <w:szCs w:val="18"/>
        </w:rPr>
        <w:t>zgodnie z ustawą Prawo ochrony środowiska</w:t>
      </w:r>
      <w:r>
        <w:rPr>
          <w:rFonts w:ascii="Arial" w:hAnsi="Arial" w:cs="Arial"/>
          <w:sz w:val="18"/>
          <w:szCs w:val="18"/>
        </w:rPr>
        <w:t>).</w:t>
      </w:r>
    </w:p>
    <w:p w14:paraId="240BC638" w14:textId="77777777" w:rsidR="003F49C8" w:rsidRDefault="008C2229">
      <w:pPr>
        <w:pStyle w:val="Default"/>
        <w:jc w:val="both"/>
        <w:rPr>
          <w:rFonts w:ascii="Arial" w:hAnsi="Arial" w:cs="Arial"/>
          <w:b/>
          <w:sz w:val="18"/>
          <w:szCs w:val="18"/>
        </w:rPr>
      </w:pPr>
      <w:r>
        <w:rPr>
          <w:rFonts w:ascii="Arial" w:hAnsi="Arial" w:cs="Arial"/>
          <w:b/>
          <w:sz w:val="18"/>
          <w:szCs w:val="18"/>
        </w:rPr>
        <w:t xml:space="preserve">Monitoring oddziaływań - </w:t>
      </w:r>
      <w:r>
        <w:rPr>
          <w:rFonts w:ascii="Arial" w:hAnsi="Arial" w:cs="Arial"/>
          <w:sz w:val="18"/>
          <w:szCs w:val="18"/>
        </w:rPr>
        <w:t>zbiór analiz i pomiarów prowadzonych przez realizującego przedsięwzięcie w fazie budowy oraz eksploatacji przedsięwzięcia, określonych w decyzjach administracyjnych.</w:t>
      </w:r>
    </w:p>
    <w:p w14:paraId="72C0066B" w14:textId="77777777" w:rsidR="003F49C8" w:rsidRDefault="008C2229">
      <w:pPr>
        <w:pStyle w:val="Default"/>
        <w:jc w:val="both"/>
        <w:rPr>
          <w:rFonts w:ascii="Arial" w:hAnsi="Arial" w:cs="Arial"/>
          <w:sz w:val="18"/>
          <w:szCs w:val="18"/>
        </w:rPr>
      </w:pPr>
      <w:r>
        <w:rPr>
          <w:rFonts w:ascii="Arial" w:hAnsi="Arial" w:cs="Arial"/>
          <w:b/>
          <w:sz w:val="18"/>
          <w:szCs w:val="18"/>
        </w:rPr>
        <w:t xml:space="preserve">NATURA 2000 - </w:t>
      </w:r>
      <w:r>
        <w:rPr>
          <w:rFonts w:ascii="Arial" w:hAnsi="Arial" w:cs="Arial"/>
          <w:sz w:val="18"/>
          <w:szCs w:val="18"/>
        </w:rPr>
        <w:t xml:space="preserve">europejska Sieć Ekologiczna obszarów chronionych na terenie Unii Europejskiej, w skład której wchodzą: </w:t>
      </w:r>
    </w:p>
    <w:p w14:paraId="4BC319ED" w14:textId="77777777" w:rsidR="003F49C8" w:rsidRDefault="008C2229">
      <w:pPr>
        <w:pStyle w:val="Default"/>
        <w:jc w:val="both"/>
        <w:rPr>
          <w:rFonts w:ascii="Arial" w:hAnsi="Arial" w:cs="Arial"/>
          <w:sz w:val="18"/>
          <w:szCs w:val="18"/>
        </w:rPr>
      </w:pPr>
      <w:r>
        <w:rPr>
          <w:rFonts w:ascii="Arial" w:hAnsi="Arial" w:cs="Arial"/>
          <w:sz w:val="18"/>
          <w:szCs w:val="18"/>
        </w:rPr>
        <w:t xml:space="preserve">- obszary specjalnej ochrony ptaków – OSO, </w:t>
      </w:r>
    </w:p>
    <w:p w14:paraId="16C67809" w14:textId="77777777" w:rsidR="003F49C8" w:rsidRDefault="008C2229">
      <w:pPr>
        <w:pStyle w:val="Default"/>
        <w:jc w:val="both"/>
        <w:rPr>
          <w:rFonts w:ascii="Arial" w:hAnsi="Arial" w:cs="Arial"/>
          <w:sz w:val="18"/>
          <w:szCs w:val="18"/>
        </w:rPr>
      </w:pPr>
      <w:r>
        <w:rPr>
          <w:rFonts w:ascii="Arial" w:hAnsi="Arial" w:cs="Arial"/>
          <w:sz w:val="18"/>
          <w:szCs w:val="18"/>
        </w:rPr>
        <w:t>- specjalne obszary ochrony siedlisk – SOO.</w:t>
      </w:r>
    </w:p>
    <w:p w14:paraId="56F7AA10" w14:textId="77777777" w:rsidR="003F49C8" w:rsidRDefault="008C2229">
      <w:pPr>
        <w:pStyle w:val="Default"/>
        <w:jc w:val="both"/>
        <w:rPr>
          <w:rFonts w:ascii="Arial" w:hAnsi="Arial" w:cs="Arial"/>
          <w:b/>
          <w:sz w:val="18"/>
          <w:szCs w:val="18"/>
        </w:rPr>
      </w:pPr>
      <w:r>
        <w:rPr>
          <w:rFonts w:ascii="Arial" w:hAnsi="Arial" w:cs="Arial"/>
          <w:b/>
          <w:sz w:val="18"/>
          <w:szCs w:val="18"/>
        </w:rPr>
        <w:t xml:space="preserve">Obszar Natura 2000- </w:t>
      </w:r>
      <w:r>
        <w:rPr>
          <w:rFonts w:ascii="Arial" w:hAnsi="Arial" w:cs="Arial"/>
          <w:sz w:val="18"/>
          <w:szCs w:val="18"/>
        </w:rPr>
        <w:t xml:space="preserve">obszar specjalnej ochrony ptaków, specjalny obszar ochrony siedlisk lub obszar mający znaczenie dla Wspólnoty, utworzony w celu ochrony populacji dziko występujących ptaków lub siedlisk przyrodniczych lub gatunków będących przedmiotem zainteresowania Wspólnoty. </w:t>
      </w:r>
    </w:p>
    <w:p w14:paraId="76441BE0" w14:textId="77777777" w:rsidR="003F49C8" w:rsidRDefault="008C2229">
      <w:pPr>
        <w:pStyle w:val="Default"/>
        <w:jc w:val="both"/>
        <w:rPr>
          <w:rFonts w:ascii="Arial" w:hAnsi="Arial" w:cs="Arial"/>
          <w:b/>
          <w:sz w:val="18"/>
          <w:szCs w:val="18"/>
        </w:rPr>
      </w:pPr>
      <w:r>
        <w:rPr>
          <w:rFonts w:ascii="Arial" w:hAnsi="Arial" w:cs="Arial"/>
          <w:b/>
          <w:sz w:val="18"/>
          <w:szCs w:val="18"/>
        </w:rPr>
        <w:t xml:space="preserve">Ocena oddziaływania na środowisko- </w:t>
      </w:r>
      <w:r>
        <w:rPr>
          <w:rFonts w:ascii="Arial" w:hAnsi="Arial" w:cs="Arial"/>
          <w:sz w:val="18"/>
          <w:szCs w:val="18"/>
        </w:rPr>
        <w:t>procedura szacowania przewidywanego oddziaływania przedsięwzięcia na środowisko.</w:t>
      </w:r>
    </w:p>
    <w:p w14:paraId="2DEE4814" w14:textId="77777777" w:rsidR="003F49C8" w:rsidRDefault="008C2229">
      <w:pPr>
        <w:pStyle w:val="Default"/>
        <w:jc w:val="both"/>
        <w:rPr>
          <w:rFonts w:ascii="Arial" w:hAnsi="Arial" w:cs="Arial"/>
          <w:b/>
          <w:sz w:val="18"/>
          <w:szCs w:val="18"/>
        </w:rPr>
      </w:pPr>
      <w:r>
        <w:rPr>
          <w:rFonts w:ascii="Arial" w:hAnsi="Arial" w:cs="Arial"/>
          <w:b/>
          <w:sz w:val="18"/>
          <w:szCs w:val="18"/>
        </w:rPr>
        <w:t xml:space="preserve">Oddziaływanie na środowisko- </w:t>
      </w:r>
      <w:r>
        <w:rPr>
          <w:rFonts w:ascii="Arial" w:hAnsi="Arial" w:cs="Arial"/>
          <w:sz w:val="18"/>
          <w:szCs w:val="18"/>
        </w:rPr>
        <w:t>każda zmiana w środowisku spowodowana proponowaną działalnością (realizacją i funkcjonowaniem przedsięwzięcia).</w:t>
      </w:r>
    </w:p>
    <w:p w14:paraId="294FE9BB" w14:textId="77777777" w:rsidR="003F49C8" w:rsidRDefault="008C2229">
      <w:pPr>
        <w:pStyle w:val="Default"/>
        <w:jc w:val="both"/>
        <w:rPr>
          <w:rFonts w:ascii="Arial" w:hAnsi="Arial" w:cs="Arial"/>
          <w:sz w:val="18"/>
          <w:szCs w:val="18"/>
        </w:rPr>
      </w:pPr>
      <w:r>
        <w:rPr>
          <w:rFonts w:ascii="Arial" w:hAnsi="Arial" w:cs="Arial"/>
          <w:b/>
          <w:sz w:val="18"/>
          <w:szCs w:val="18"/>
        </w:rPr>
        <w:t xml:space="preserve">Postępowanie w sprawie oceny oddziaływania na środowisko- </w:t>
      </w:r>
      <w:r>
        <w:rPr>
          <w:rFonts w:ascii="Arial" w:hAnsi="Arial" w:cs="Arial"/>
          <w:sz w:val="18"/>
          <w:szCs w:val="18"/>
        </w:rPr>
        <w:t>postępowanie obejmujące w szczególności:</w:t>
      </w:r>
    </w:p>
    <w:p w14:paraId="79C662D4" w14:textId="77777777" w:rsidR="003F49C8" w:rsidRDefault="008C2229">
      <w:pPr>
        <w:pStyle w:val="Default"/>
        <w:jc w:val="both"/>
        <w:rPr>
          <w:rFonts w:ascii="Arial" w:hAnsi="Arial" w:cs="Arial"/>
          <w:sz w:val="18"/>
          <w:szCs w:val="18"/>
        </w:rPr>
      </w:pPr>
      <w:r>
        <w:rPr>
          <w:rFonts w:ascii="Arial" w:hAnsi="Arial" w:cs="Arial"/>
          <w:sz w:val="18"/>
          <w:szCs w:val="18"/>
        </w:rPr>
        <w:t>a) weryfikację raportu o oddziaływaniu przedsięwzięcia na środowisko,</w:t>
      </w:r>
    </w:p>
    <w:p w14:paraId="4ACA4C30" w14:textId="77777777" w:rsidR="003F49C8" w:rsidRDefault="008C2229">
      <w:pPr>
        <w:pStyle w:val="Default"/>
        <w:jc w:val="both"/>
        <w:rPr>
          <w:rFonts w:ascii="Arial" w:hAnsi="Arial" w:cs="Arial"/>
          <w:sz w:val="18"/>
          <w:szCs w:val="18"/>
        </w:rPr>
      </w:pPr>
      <w:r>
        <w:rPr>
          <w:rFonts w:ascii="Arial" w:hAnsi="Arial" w:cs="Arial"/>
          <w:sz w:val="18"/>
          <w:szCs w:val="18"/>
        </w:rPr>
        <w:t xml:space="preserve">b) uzyskanie wymaganych ustawą opinii i uzgodnień, </w:t>
      </w:r>
    </w:p>
    <w:p w14:paraId="4DD999F0" w14:textId="77777777" w:rsidR="003F49C8" w:rsidRDefault="008C2229">
      <w:pPr>
        <w:pStyle w:val="Default"/>
        <w:jc w:val="both"/>
        <w:rPr>
          <w:rFonts w:ascii="Arial" w:hAnsi="Arial" w:cs="Arial"/>
          <w:sz w:val="18"/>
          <w:szCs w:val="18"/>
        </w:rPr>
      </w:pPr>
      <w:r>
        <w:rPr>
          <w:rFonts w:ascii="Arial" w:hAnsi="Arial" w:cs="Arial"/>
          <w:sz w:val="18"/>
          <w:szCs w:val="18"/>
        </w:rPr>
        <w:t>c) zapewnienie możliwości udziału społeczeństwa w postępowaniu.</w:t>
      </w:r>
    </w:p>
    <w:p w14:paraId="2FF3777C" w14:textId="77777777" w:rsidR="003F49C8" w:rsidRDefault="008C2229">
      <w:pPr>
        <w:pStyle w:val="Default"/>
        <w:jc w:val="both"/>
        <w:rPr>
          <w:rFonts w:ascii="Arial" w:hAnsi="Arial" w:cs="Arial"/>
          <w:b/>
          <w:sz w:val="18"/>
          <w:szCs w:val="18"/>
        </w:rPr>
      </w:pPr>
      <w:r>
        <w:rPr>
          <w:rFonts w:ascii="Arial" w:hAnsi="Arial" w:cs="Arial"/>
          <w:b/>
          <w:sz w:val="18"/>
          <w:szCs w:val="18"/>
        </w:rPr>
        <w:t xml:space="preserve">Raport o oddziaływaniu na środowisko - </w:t>
      </w:r>
      <w:r>
        <w:rPr>
          <w:rFonts w:ascii="Arial" w:hAnsi="Arial" w:cs="Arial"/>
          <w:sz w:val="18"/>
          <w:szCs w:val="18"/>
        </w:rPr>
        <w:t xml:space="preserve">jeden z kluczowych elementów oceny </w:t>
      </w:r>
      <w:r>
        <w:rPr>
          <w:rFonts w:ascii="Arial" w:hAnsi="Arial" w:cs="Arial"/>
          <w:bCs/>
          <w:sz w:val="18"/>
          <w:szCs w:val="18"/>
        </w:rPr>
        <w:t>oddziaływania</w:t>
      </w:r>
      <w:r>
        <w:rPr>
          <w:rFonts w:ascii="Arial" w:hAnsi="Arial" w:cs="Arial"/>
          <w:sz w:val="18"/>
          <w:szCs w:val="18"/>
        </w:rPr>
        <w:t xml:space="preserve"> na </w:t>
      </w:r>
      <w:r>
        <w:rPr>
          <w:rFonts w:ascii="Arial" w:hAnsi="Arial" w:cs="Arial"/>
          <w:bCs/>
          <w:sz w:val="18"/>
          <w:szCs w:val="18"/>
        </w:rPr>
        <w:t>środowisko</w:t>
      </w:r>
      <w:r>
        <w:rPr>
          <w:rFonts w:ascii="Arial" w:hAnsi="Arial" w:cs="Arial"/>
          <w:b/>
          <w:bCs/>
          <w:sz w:val="18"/>
          <w:szCs w:val="18"/>
        </w:rPr>
        <w:t>,</w:t>
      </w:r>
      <w:r>
        <w:rPr>
          <w:rFonts w:ascii="Arial" w:hAnsi="Arial" w:cs="Arial"/>
          <w:sz w:val="18"/>
          <w:szCs w:val="18"/>
        </w:rPr>
        <w:t xml:space="preserve"> w formie dokumentacji przedstawiającej rezultaty prac nad oceną oddziaływania na środowisko przedkładanej jako załącznik do wniosku o wydanie decyzji związanej z postępowaniem w sprawie oceny oddziaływania na środowisko. </w:t>
      </w:r>
    </w:p>
    <w:p w14:paraId="2A3BAE15" w14:textId="77777777" w:rsidR="003F49C8" w:rsidRDefault="008C2229">
      <w:pPr>
        <w:pStyle w:val="Default"/>
        <w:jc w:val="both"/>
        <w:rPr>
          <w:rFonts w:ascii="Arial" w:hAnsi="Arial" w:cs="Arial"/>
          <w:b/>
          <w:sz w:val="18"/>
          <w:szCs w:val="18"/>
        </w:rPr>
      </w:pPr>
      <w:r>
        <w:rPr>
          <w:rFonts w:ascii="Arial" w:hAnsi="Arial" w:cs="Arial"/>
          <w:b/>
          <w:sz w:val="18"/>
          <w:szCs w:val="18"/>
        </w:rPr>
        <w:t xml:space="preserve">Zakres raportu o oddziaływaniu na środowisko- </w:t>
      </w:r>
      <w:r>
        <w:rPr>
          <w:rFonts w:ascii="Arial" w:hAnsi="Arial" w:cs="Arial"/>
          <w:sz w:val="18"/>
          <w:szCs w:val="18"/>
        </w:rPr>
        <w:t>to stopień szczegółowości informacji poszczególnych części raportu o oddziaływaniu na środowisko odpowiadający charakterowi przedsięwzięcia, rodzajowi postępowania oraz dokładności posiadanych danych (zakres zgodny z ustawą o udostępnianiu informacji o środowisku i jego ochronie, udziale społeczeństwa w ochronie środowiska oraz o ocenach oddziaływania na środowisko).</w:t>
      </w:r>
    </w:p>
    <w:p w14:paraId="4E9233E5" w14:textId="77777777" w:rsidR="003F49C8" w:rsidRDefault="008C2229">
      <w:pPr>
        <w:pStyle w:val="Default"/>
        <w:jc w:val="both"/>
        <w:rPr>
          <w:rFonts w:ascii="Arial" w:hAnsi="Arial" w:cs="Arial"/>
          <w:b/>
          <w:sz w:val="18"/>
          <w:szCs w:val="18"/>
        </w:rPr>
      </w:pPr>
      <w:r>
        <w:rPr>
          <w:rFonts w:ascii="Arial" w:hAnsi="Arial" w:cs="Arial"/>
          <w:b/>
          <w:sz w:val="18"/>
          <w:szCs w:val="18"/>
        </w:rPr>
        <w:lastRenderedPageBreak/>
        <w:t xml:space="preserve">Znaczące negatywne oddziaływanie na obszar Natura 2000- </w:t>
      </w:r>
      <w:r>
        <w:rPr>
          <w:rFonts w:ascii="Arial" w:hAnsi="Arial" w:cs="Arial"/>
          <w:sz w:val="18"/>
          <w:szCs w:val="18"/>
        </w:rPr>
        <w:t xml:space="preserve">to oddziaływanie na cele ochrony obszaru Natura 2000, w tym w szczególności działania mogące: </w:t>
      </w:r>
    </w:p>
    <w:p w14:paraId="59DDB0FB" w14:textId="77777777" w:rsidR="003F49C8" w:rsidRDefault="008C2229">
      <w:pPr>
        <w:pStyle w:val="Default"/>
        <w:jc w:val="both"/>
        <w:rPr>
          <w:rFonts w:ascii="Arial" w:hAnsi="Arial" w:cs="Arial"/>
          <w:sz w:val="18"/>
          <w:szCs w:val="18"/>
        </w:rPr>
      </w:pPr>
      <w:r>
        <w:rPr>
          <w:rFonts w:ascii="Arial" w:hAnsi="Arial" w:cs="Arial"/>
          <w:sz w:val="18"/>
          <w:szCs w:val="18"/>
        </w:rPr>
        <w:t xml:space="preserve">a) pogorszyć stan siedlisk przyrodniczych lub siedlisk gatunków roślin i zwierząt, dla których ochrony został wyznaczony obszar Natura 2000, lub </w:t>
      </w:r>
    </w:p>
    <w:p w14:paraId="28DB7064" w14:textId="77777777" w:rsidR="003F49C8" w:rsidRDefault="008C2229">
      <w:pPr>
        <w:pStyle w:val="Default"/>
        <w:jc w:val="both"/>
        <w:rPr>
          <w:rFonts w:ascii="Arial" w:hAnsi="Arial" w:cs="Arial"/>
          <w:sz w:val="18"/>
          <w:szCs w:val="18"/>
        </w:rPr>
      </w:pPr>
      <w:r>
        <w:rPr>
          <w:rFonts w:ascii="Arial" w:hAnsi="Arial" w:cs="Arial"/>
          <w:sz w:val="18"/>
          <w:szCs w:val="18"/>
        </w:rPr>
        <w:t xml:space="preserve">b) wpłynąć negatywnie na gatunki, dla których ochrony został wyznaczony obszar Natura 2000, lub </w:t>
      </w:r>
    </w:p>
    <w:p w14:paraId="057372B1" w14:textId="77777777" w:rsidR="003F49C8" w:rsidRDefault="008C2229">
      <w:pPr>
        <w:pStyle w:val="Default"/>
        <w:jc w:val="both"/>
        <w:rPr>
          <w:rFonts w:ascii="Arial" w:hAnsi="Arial" w:cs="Arial"/>
          <w:sz w:val="18"/>
          <w:szCs w:val="18"/>
        </w:rPr>
      </w:pPr>
      <w:r>
        <w:rPr>
          <w:rFonts w:ascii="Arial" w:hAnsi="Arial" w:cs="Arial"/>
          <w:sz w:val="18"/>
          <w:szCs w:val="18"/>
        </w:rPr>
        <w:t>c) pogorszyć integralność obszaru Natura 2000 lub jego powiązania z innymi obszarami.</w:t>
      </w:r>
    </w:p>
    <w:p w14:paraId="390392EB"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59281810"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W zakresie zdjęcia warstwy ziemi urodzajnej i zieleni:</w:t>
      </w:r>
    </w:p>
    <w:p w14:paraId="722FFDB8" w14:textId="77777777" w:rsidR="003F49C8" w:rsidRDefault="008C2229">
      <w:pPr>
        <w:suppressAutoHyphens/>
        <w:jc w:val="both"/>
        <w:rPr>
          <w:rFonts w:ascii="Arial" w:hAnsi="Arial" w:cs="Arial"/>
          <w:bCs/>
          <w:iCs/>
          <w:sz w:val="18"/>
          <w:szCs w:val="18"/>
        </w:rPr>
      </w:pPr>
      <w:r>
        <w:rPr>
          <w:rFonts w:ascii="Arial" w:hAnsi="Arial" w:cs="Arial"/>
          <w:b/>
          <w:bCs/>
          <w:iCs/>
          <w:sz w:val="18"/>
          <w:szCs w:val="18"/>
        </w:rPr>
        <w:t>Badanie przydatności humusu do uprawy roślin</w:t>
      </w:r>
      <w:r>
        <w:rPr>
          <w:rFonts w:ascii="Arial" w:hAnsi="Arial" w:cs="Arial"/>
          <w:bCs/>
          <w:iCs/>
          <w:sz w:val="18"/>
          <w:szCs w:val="18"/>
        </w:rPr>
        <w:t xml:space="preserve"> – badania humusu zdjętego z powierzchni w liniach rozgraniczających inwestycji wykonane przez stacje chemiczno - rolniczą.</w:t>
      </w:r>
    </w:p>
    <w:p w14:paraId="362568DE" w14:textId="77777777" w:rsidR="003F49C8" w:rsidRDefault="008C2229">
      <w:pPr>
        <w:suppressAutoHyphens/>
        <w:jc w:val="both"/>
        <w:rPr>
          <w:rFonts w:ascii="Arial" w:hAnsi="Arial" w:cs="Arial"/>
          <w:bCs/>
          <w:iCs/>
          <w:sz w:val="18"/>
          <w:szCs w:val="18"/>
        </w:rPr>
      </w:pPr>
      <w:r>
        <w:rPr>
          <w:rFonts w:ascii="Arial" w:hAnsi="Arial" w:cs="Arial"/>
          <w:b/>
          <w:bCs/>
          <w:iCs/>
          <w:sz w:val="18"/>
          <w:szCs w:val="18"/>
        </w:rPr>
        <w:t>Bryła korzeniowa</w:t>
      </w:r>
      <w:r>
        <w:rPr>
          <w:rFonts w:ascii="Arial" w:hAnsi="Arial" w:cs="Arial"/>
          <w:bCs/>
          <w:iCs/>
          <w:sz w:val="18"/>
          <w:szCs w:val="18"/>
        </w:rPr>
        <w:t xml:space="preserve"> – uformowana bryła ziemi z przerastającymi ją korzeniami rośliny.</w:t>
      </w:r>
    </w:p>
    <w:p w14:paraId="5434CB36" w14:textId="77777777" w:rsidR="003F49C8" w:rsidRDefault="008C2229">
      <w:pPr>
        <w:suppressAutoHyphens/>
        <w:jc w:val="both"/>
        <w:rPr>
          <w:rFonts w:ascii="Arial" w:hAnsi="Arial" w:cs="Arial"/>
          <w:bCs/>
          <w:iCs/>
          <w:sz w:val="18"/>
          <w:szCs w:val="18"/>
        </w:rPr>
      </w:pPr>
      <w:r>
        <w:rPr>
          <w:rFonts w:ascii="Arial" w:hAnsi="Arial" w:cs="Arial"/>
          <w:b/>
          <w:bCs/>
          <w:iCs/>
          <w:sz w:val="18"/>
          <w:szCs w:val="18"/>
        </w:rPr>
        <w:t>Darnina</w:t>
      </w:r>
      <w:r>
        <w:rPr>
          <w:rFonts w:ascii="Arial" w:hAnsi="Arial" w:cs="Arial"/>
          <w:bCs/>
          <w:iCs/>
          <w:sz w:val="18"/>
          <w:szCs w:val="18"/>
        </w:rPr>
        <w:t xml:space="preserve"> – płat wierzchniej warstwy gleby, przerośniętej i związanej korzeniami roślinności trawiastej.</w:t>
      </w:r>
    </w:p>
    <w:p w14:paraId="0864CA2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 xml:space="preserve">Drągowina i gałęzie </w:t>
      </w:r>
      <w:r>
        <w:rPr>
          <w:rFonts w:ascii="Arial" w:hAnsi="Arial" w:cs="Arial"/>
          <w:bCs/>
          <w:spacing w:val="-3"/>
          <w:kern w:val="24"/>
          <w:sz w:val="18"/>
          <w:szCs w:val="18"/>
        </w:rPr>
        <w:t xml:space="preserve">– drewno pochodzące z koron drzew oraz zagajników i krzewów. </w:t>
      </w:r>
    </w:p>
    <w:p w14:paraId="1DAC3DD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Drewno z pni drzew</w:t>
      </w:r>
      <w:r>
        <w:rPr>
          <w:rFonts w:ascii="Arial" w:hAnsi="Arial" w:cs="Arial"/>
          <w:bCs/>
          <w:spacing w:val="-3"/>
          <w:kern w:val="24"/>
          <w:sz w:val="18"/>
          <w:szCs w:val="18"/>
        </w:rPr>
        <w:t xml:space="preserve"> – materiał pochodzący z pni drzew w postaci: drewna wielkowymiarowego (średnica pnia powyżej 14 cm), średniowymiarowego (średnica pnia 7-14 cm) i małowymiarowego (średnica pnia poniżej 7 cm). </w:t>
      </w:r>
    </w:p>
    <w:p w14:paraId="73CC5A3B" w14:textId="77777777" w:rsidR="003F49C8" w:rsidRDefault="008C2229">
      <w:pPr>
        <w:suppressAutoHyphens/>
        <w:jc w:val="both"/>
        <w:rPr>
          <w:rFonts w:ascii="Arial" w:hAnsi="Arial" w:cs="Arial"/>
          <w:bCs/>
          <w:iCs/>
          <w:sz w:val="18"/>
          <w:szCs w:val="18"/>
        </w:rPr>
      </w:pPr>
      <w:r>
        <w:rPr>
          <w:rFonts w:ascii="Arial" w:hAnsi="Arial" w:cs="Arial"/>
          <w:b/>
          <w:bCs/>
          <w:sz w:val="18"/>
          <w:szCs w:val="18"/>
        </w:rPr>
        <w:t>Drzewo</w:t>
      </w:r>
      <w:r>
        <w:rPr>
          <w:rFonts w:ascii="Arial" w:hAnsi="Arial" w:cs="Arial"/>
          <w:bCs/>
          <w:sz w:val="18"/>
          <w:szCs w:val="18"/>
        </w:rPr>
        <w:t xml:space="preserve"> </w:t>
      </w:r>
      <w:r>
        <w:rPr>
          <w:rFonts w:ascii="Arial" w:hAnsi="Arial" w:cs="Arial"/>
          <w:sz w:val="18"/>
          <w:szCs w:val="18"/>
        </w:rPr>
        <w:t>– roślina wieloletnia dużych rozmiarów (średnica &gt; 10 cm - mierzona 1,30 m od terenu) o wyraźnie wykształconym pniu lub pniach, który rozgałęzia się w koronę.</w:t>
      </w:r>
    </w:p>
    <w:p w14:paraId="01AE8B70"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krzewiasta</w:t>
      </w:r>
      <w:r>
        <w:rPr>
          <w:rFonts w:ascii="Arial" w:hAnsi="Arial" w:cs="Arial"/>
          <w:bCs/>
          <w:iCs/>
          <w:sz w:val="18"/>
          <w:szCs w:val="18"/>
        </w:rPr>
        <w:t xml:space="preserve"> - forma wielopędowa, która została utworzona w szkółce przez niskie przycięcie przewodnika powodujące wybicie min.3 pędów bocznych, nie wyżej niż 10 cm nad szyjką korzeniową dla najwyższego pędu.</w:t>
      </w:r>
    </w:p>
    <w:p w14:paraId="202800DC"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naturalna</w:t>
      </w:r>
      <w:r>
        <w:rPr>
          <w:rFonts w:ascii="Arial" w:hAnsi="Arial" w:cs="Arial"/>
          <w:bCs/>
          <w:iCs/>
          <w:sz w:val="18"/>
          <w:szCs w:val="18"/>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w:t>
      </w:r>
    </w:p>
    <w:p w14:paraId="39B5C21B" w14:textId="77777777" w:rsidR="003F49C8" w:rsidRDefault="008C2229">
      <w:pPr>
        <w:suppressAutoHyphens/>
        <w:jc w:val="both"/>
        <w:rPr>
          <w:rFonts w:ascii="Arial" w:hAnsi="Arial" w:cs="Arial"/>
          <w:bCs/>
          <w:iCs/>
          <w:sz w:val="18"/>
          <w:szCs w:val="18"/>
        </w:rPr>
      </w:pPr>
      <w:r>
        <w:rPr>
          <w:rFonts w:ascii="Arial" w:hAnsi="Arial" w:cs="Arial"/>
          <w:b/>
          <w:bCs/>
          <w:iCs/>
          <w:sz w:val="18"/>
          <w:szCs w:val="18"/>
        </w:rPr>
        <w:t>Forma pienna</w:t>
      </w:r>
      <w:r>
        <w:rPr>
          <w:rFonts w:ascii="Arial" w:hAnsi="Arial" w:cs="Arial"/>
          <w:bCs/>
          <w:iCs/>
          <w:sz w:val="18"/>
          <w:szCs w:val="18"/>
        </w:rPr>
        <w:t xml:space="preserve"> – forma drzewa lub krzewu z wyraźnie uformowanym pniem i koroną. Charakteryzuje się wyraźnie wykształconym przewodnikiem oraz koroną. </w:t>
      </w:r>
    </w:p>
    <w:p w14:paraId="0CE4498C" w14:textId="77777777" w:rsidR="003F49C8" w:rsidRDefault="008C2229">
      <w:pPr>
        <w:suppressAutoHyphens/>
        <w:jc w:val="both"/>
        <w:rPr>
          <w:rFonts w:ascii="Arial" w:hAnsi="Arial" w:cs="Arial"/>
          <w:bCs/>
          <w:iCs/>
          <w:sz w:val="18"/>
          <w:szCs w:val="18"/>
        </w:rPr>
      </w:pPr>
      <w:r>
        <w:rPr>
          <w:rFonts w:ascii="Arial" w:hAnsi="Arial" w:cs="Arial"/>
          <w:b/>
          <w:bCs/>
          <w:iCs/>
          <w:sz w:val="18"/>
          <w:szCs w:val="18"/>
        </w:rPr>
        <w:t>Hydrosiew</w:t>
      </w:r>
      <w:r>
        <w:rPr>
          <w:rFonts w:ascii="Arial" w:hAnsi="Arial" w:cs="Arial"/>
          <w:bCs/>
          <w:iCs/>
          <w:sz w:val="18"/>
          <w:szCs w:val="18"/>
        </w:rPr>
        <w:t xml:space="preserve"> – proces obejmujący nanoszenie hydromechanicznie mieszanek siewnych, środków użyźniających, wypełniaczy, hydrożelu, stymulantów wzrostu i substancji klejących w celu biologicznego utrwalania powierzchni gruntu.</w:t>
      </w:r>
    </w:p>
    <w:p w14:paraId="2CE63B21"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Karpina</w:t>
      </w:r>
      <w:r>
        <w:rPr>
          <w:rFonts w:ascii="Arial" w:hAnsi="Arial" w:cs="Arial"/>
          <w:bCs/>
          <w:spacing w:val="-3"/>
          <w:kern w:val="24"/>
          <w:sz w:val="18"/>
          <w:szCs w:val="18"/>
        </w:rPr>
        <w:t xml:space="preserve"> – drewno części podziemnej drzewa wraz z pniakiem pozostałym po ścięciu.</w:t>
      </w:r>
    </w:p>
    <w:p w14:paraId="17772E78" w14:textId="77777777" w:rsidR="003F49C8" w:rsidRDefault="008C2229">
      <w:pPr>
        <w:suppressAutoHyphens/>
        <w:jc w:val="both"/>
        <w:rPr>
          <w:rFonts w:ascii="Arial" w:hAnsi="Arial" w:cs="Arial"/>
          <w:bCs/>
          <w:iCs/>
          <w:sz w:val="18"/>
          <w:szCs w:val="18"/>
        </w:rPr>
      </w:pPr>
      <w:r>
        <w:rPr>
          <w:rFonts w:ascii="Arial" w:hAnsi="Arial" w:cs="Arial"/>
          <w:bCs/>
          <w:iCs/>
          <w:sz w:val="18"/>
          <w:szCs w:val="18"/>
        </w:rPr>
        <w:t>Kompostowanie – proces polegający na rozkładzie substancji organicznej przez mikroorganizmy.</w:t>
      </w:r>
    </w:p>
    <w:p w14:paraId="523E5E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Kora drzewna</w:t>
      </w:r>
      <w:r>
        <w:rPr>
          <w:rFonts w:ascii="Arial" w:hAnsi="Arial" w:cs="Arial"/>
          <w:bCs/>
          <w:iCs/>
          <w:sz w:val="18"/>
          <w:szCs w:val="18"/>
        </w:rPr>
        <w:t xml:space="preserve"> – materiał pochodzący z drzew iglastych, kompostowany minimum 9 miesięcy.</w:t>
      </w:r>
    </w:p>
    <w:p w14:paraId="3DAA015E" w14:textId="77777777" w:rsidR="003F49C8" w:rsidRDefault="008C2229">
      <w:pPr>
        <w:suppressAutoHyphens/>
        <w:jc w:val="both"/>
        <w:rPr>
          <w:rFonts w:ascii="Arial" w:hAnsi="Arial" w:cs="Arial"/>
          <w:bCs/>
          <w:iCs/>
          <w:sz w:val="18"/>
          <w:szCs w:val="18"/>
        </w:rPr>
      </w:pPr>
      <w:r>
        <w:rPr>
          <w:rFonts w:ascii="Arial" w:hAnsi="Arial" w:cs="Arial"/>
          <w:b/>
          <w:bCs/>
          <w:iCs/>
          <w:sz w:val="18"/>
          <w:szCs w:val="18"/>
        </w:rPr>
        <w:t>Korona</w:t>
      </w:r>
      <w:r>
        <w:rPr>
          <w:rFonts w:ascii="Arial" w:hAnsi="Arial" w:cs="Arial"/>
          <w:bCs/>
          <w:iCs/>
          <w:sz w:val="18"/>
          <w:szCs w:val="18"/>
        </w:rPr>
        <w:t xml:space="preserve"> – cześć drzewa wytworzona przez pędy boczne (gałęzie),</w:t>
      </w:r>
    </w:p>
    <w:p w14:paraId="3E03504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Krzew</w:t>
      </w:r>
      <w:r>
        <w:rPr>
          <w:rFonts w:ascii="Arial" w:hAnsi="Arial" w:cs="Arial"/>
          <w:bCs/>
          <w:spacing w:val="-3"/>
          <w:kern w:val="24"/>
          <w:sz w:val="18"/>
          <w:szCs w:val="18"/>
        </w:rPr>
        <w:t xml:space="preserve"> – wieloletnia wielopędowa zdrewniała roślina bez wykształconego przewodnika, z krótkim pędem głównym (do 10 cm), z którego wyrastają równorzędne, rozgałęziające się pędy boczne. </w:t>
      </w:r>
    </w:p>
    <w:p w14:paraId="202BD1E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krzewy</w:t>
      </w:r>
      <w:r>
        <w:rPr>
          <w:rFonts w:ascii="Arial" w:hAnsi="Arial" w:cs="Arial"/>
          <w:bCs/>
          <w:spacing w:val="-3"/>
          <w:kern w:val="24"/>
          <w:sz w:val="18"/>
          <w:szCs w:val="18"/>
        </w:rPr>
        <w:t>:</w:t>
      </w:r>
    </w:p>
    <w:p w14:paraId="4C1FFBB5"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gęste – pokrywające powyżej 60% powierzchni,</w:t>
      </w:r>
    </w:p>
    <w:p w14:paraId="02082D78"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0EC4F87D" w14:textId="77777777" w:rsidR="003F49C8" w:rsidRDefault="008C2229">
      <w:pPr>
        <w:pStyle w:val="Akapitzlist"/>
        <w:numPr>
          <w:ilvl w:val="0"/>
          <w:numId w:val="25"/>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357D871D"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kokosowa</w:t>
      </w:r>
      <w:r>
        <w:rPr>
          <w:rFonts w:ascii="Arial" w:hAnsi="Arial" w:cs="Arial"/>
          <w:bCs/>
          <w:iCs/>
          <w:sz w:val="18"/>
          <w:szCs w:val="18"/>
        </w:rPr>
        <w:t xml:space="preserve"> – osłona wykonana na powierzchni skarp korpusu drogowego z mat biodegradowalnych o określonych właściwościach w celu ich wzmocnienia oraz przeciwdziałania zjawiskom erozyjnym. </w:t>
      </w:r>
    </w:p>
    <w:p w14:paraId="2BB53AC1"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Mata przeciwchwastowa</w:t>
      </w:r>
      <w:r>
        <w:rPr>
          <w:rFonts w:ascii="Arial" w:hAnsi="Arial" w:cs="Arial"/>
          <w:bCs/>
          <w:iCs/>
          <w:sz w:val="18"/>
          <w:szCs w:val="18"/>
        </w:rPr>
        <w:t xml:space="preserve"> – osłona gleby z foli polipropylenowej stabilizowanej na promienie UV, w kolorze czarnym, lub geowłóknina, stanowiąca membranę między gruntem a korą drzewną, stosowana w celu przeciwdziałania wzrostowi chwastów.</w:t>
      </w:r>
    </w:p>
    <w:p w14:paraId="629BC212" w14:textId="77777777" w:rsidR="003F49C8" w:rsidRDefault="008C2229">
      <w:pPr>
        <w:suppressAutoHyphens/>
        <w:jc w:val="both"/>
        <w:rPr>
          <w:rFonts w:ascii="Arial" w:hAnsi="Arial" w:cs="Arial"/>
          <w:bCs/>
          <w:iCs/>
          <w:sz w:val="18"/>
          <w:szCs w:val="18"/>
        </w:rPr>
      </w:pPr>
      <w:r>
        <w:rPr>
          <w:rFonts w:ascii="Arial" w:hAnsi="Arial" w:cs="Arial"/>
          <w:b/>
          <w:bCs/>
          <w:iCs/>
          <w:sz w:val="18"/>
          <w:szCs w:val="18"/>
        </w:rPr>
        <w:t>Materia roślinny</w:t>
      </w:r>
      <w:r>
        <w:rPr>
          <w:rFonts w:ascii="Arial" w:hAnsi="Arial" w:cs="Arial"/>
          <w:bCs/>
          <w:iCs/>
          <w:sz w:val="18"/>
          <w:szCs w:val="18"/>
        </w:rPr>
        <w:t xml:space="preserve"> - sadzonki drzew, krzewów oraz pnączy</w:t>
      </w:r>
    </w:p>
    <w:p w14:paraId="0C712314"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Obsiew</w:t>
      </w:r>
      <w:r>
        <w:rPr>
          <w:rFonts w:ascii="Arial" w:hAnsi="Arial" w:cs="Arial"/>
          <w:bCs/>
          <w:iCs/>
          <w:sz w:val="18"/>
          <w:szCs w:val="18"/>
        </w:rPr>
        <w:t xml:space="preserve"> – proces polegający na nanoszeniu mieszanek siewnych w celu biologicznego utrwalania powierzchni gruntu.</w:t>
      </w:r>
    </w:p>
    <w:p w14:paraId="6B5B7760" w14:textId="77777777" w:rsidR="003F49C8" w:rsidRDefault="008C2229">
      <w:pPr>
        <w:suppressAutoHyphens/>
        <w:jc w:val="both"/>
        <w:rPr>
          <w:rFonts w:ascii="Arial" w:hAnsi="Arial" w:cs="Arial"/>
          <w:bCs/>
          <w:iCs/>
          <w:sz w:val="18"/>
          <w:szCs w:val="18"/>
        </w:rPr>
      </w:pPr>
      <w:r>
        <w:rPr>
          <w:rFonts w:ascii="Arial" w:hAnsi="Arial" w:cs="Arial"/>
          <w:b/>
          <w:bCs/>
          <w:iCs/>
          <w:sz w:val="18"/>
          <w:szCs w:val="18"/>
        </w:rPr>
        <w:t>Obwód pnia</w:t>
      </w:r>
      <w:r>
        <w:rPr>
          <w:rFonts w:ascii="Arial" w:hAnsi="Arial" w:cs="Arial"/>
          <w:bCs/>
          <w:iCs/>
          <w:sz w:val="18"/>
          <w:szCs w:val="18"/>
        </w:rPr>
        <w:t xml:space="preserve"> – mierzony dla drzew o wysokości 100 cm od powierzchni ziemi (cm)</w:t>
      </w:r>
    </w:p>
    <w:p w14:paraId="2EFF982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Pień</w:t>
      </w:r>
      <w:r>
        <w:rPr>
          <w:rFonts w:ascii="Arial" w:hAnsi="Arial" w:cs="Arial"/>
          <w:bCs/>
          <w:iCs/>
          <w:sz w:val="18"/>
          <w:szCs w:val="18"/>
        </w:rPr>
        <w:t xml:space="preserve"> - nieugałęziona dolna część przewodnika.</w:t>
      </w:r>
    </w:p>
    <w:p w14:paraId="1E7D2128"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Pniak</w:t>
      </w:r>
      <w:r>
        <w:rPr>
          <w:rFonts w:ascii="Arial" w:hAnsi="Arial" w:cs="Arial"/>
          <w:bCs/>
          <w:spacing w:val="-3"/>
          <w:kern w:val="24"/>
          <w:sz w:val="18"/>
          <w:szCs w:val="18"/>
        </w:rPr>
        <w:t xml:space="preserve"> – dolna część pnia pozostająca przy karpie po ścięciu drzewa.</w:t>
      </w:r>
    </w:p>
    <w:p w14:paraId="416DC137" w14:textId="77777777" w:rsidR="003F49C8" w:rsidRDefault="008C2229">
      <w:pPr>
        <w:suppressAutoHyphens/>
        <w:jc w:val="both"/>
        <w:rPr>
          <w:rFonts w:ascii="Arial" w:hAnsi="Arial" w:cs="Arial"/>
          <w:bCs/>
          <w:iCs/>
          <w:sz w:val="18"/>
          <w:szCs w:val="18"/>
        </w:rPr>
      </w:pPr>
      <w:r>
        <w:rPr>
          <w:rFonts w:ascii="Arial" w:hAnsi="Arial" w:cs="Arial"/>
          <w:b/>
          <w:bCs/>
          <w:iCs/>
          <w:sz w:val="18"/>
          <w:szCs w:val="18"/>
        </w:rPr>
        <w:t>Pojemnik</w:t>
      </w:r>
      <w:r>
        <w:rPr>
          <w:rFonts w:ascii="Arial" w:hAnsi="Arial" w:cs="Arial"/>
          <w:bCs/>
          <w:iCs/>
          <w:sz w:val="18"/>
          <w:szCs w:val="18"/>
        </w:rPr>
        <w:t xml:space="preserve"> – naczynie z tworzywa sztucznego z dnem o pojemności powyżej 1,5 l do uprawy roślin.</w:t>
      </w:r>
    </w:p>
    <w:p w14:paraId="2A9A31F9" w14:textId="77777777" w:rsidR="003F49C8" w:rsidRDefault="008C2229">
      <w:pPr>
        <w:suppressAutoHyphens/>
        <w:jc w:val="both"/>
        <w:rPr>
          <w:rFonts w:ascii="Arial" w:hAnsi="Arial" w:cs="Arial"/>
          <w:bCs/>
          <w:iCs/>
          <w:sz w:val="18"/>
          <w:szCs w:val="18"/>
        </w:rPr>
      </w:pPr>
      <w:r>
        <w:rPr>
          <w:rFonts w:ascii="Arial" w:hAnsi="Arial" w:cs="Arial"/>
          <w:b/>
          <w:bCs/>
          <w:iCs/>
          <w:sz w:val="18"/>
          <w:szCs w:val="18"/>
        </w:rPr>
        <w:t>Pryzmowanie humusu do ponownego użytku</w:t>
      </w:r>
      <w:r>
        <w:rPr>
          <w:rFonts w:ascii="Arial" w:hAnsi="Arial" w:cs="Arial"/>
          <w:bCs/>
          <w:iCs/>
          <w:sz w:val="18"/>
          <w:szCs w:val="18"/>
        </w:rPr>
        <w:t xml:space="preserve"> – składowanie humusu zdjętego z powierzchni w liniach rozgraniczających inwestycji w pryzmach o parametrach określonych w WIORB D01.02.02, w celu wykorzystania przy wykonaniu trawników i przygotowaniu terenu pod projektowane nasadzenia.</w:t>
      </w:r>
    </w:p>
    <w:p w14:paraId="787BF2DF"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Przewodnik</w:t>
      </w:r>
      <w:r>
        <w:rPr>
          <w:rFonts w:ascii="Arial" w:hAnsi="Arial" w:cs="Arial"/>
          <w:bCs/>
          <w:spacing w:val="-3"/>
          <w:kern w:val="24"/>
          <w:sz w:val="18"/>
          <w:szCs w:val="18"/>
        </w:rPr>
        <w:t xml:space="preserve"> – pęd główny stanowiący oś drzewa</w:t>
      </w:r>
      <w:r>
        <w:rPr>
          <w:rFonts w:ascii="Arial" w:hAnsi="Arial" w:cs="Arial"/>
          <w:bCs/>
          <w:iCs/>
          <w:sz w:val="18"/>
          <w:szCs w:val="18"/>
        </w:rPr>
        <w:t>.</w:t>
      </w:r>
    </w:p>
    <w:p w14:paraId="462157E9" w14:textId="77777777" w:rsidR="003F49C8" w:rsidRDefault="008C2229">
      <w:pPr>
        <w:suppressAutoHyphens/>
        <w:jc w:val="both"/>
        <w:rPr>
          <w:rFonts w:ascii="Arial" w:hAnsi="Arial" w:cs="Arial"/>
          <w:bCs/>
          <w:iCs/>
          <w:sz w:val="18"/>
          <w:szCs w:val="18"/>
        </w:rPr>
      </w:pPr>
      <w:r>
        <w:rPr>
          <w:rFonts w:ascii="Arial" w:hAnsi="Arial" w:cs="Arial"/>
          <w:b/>
          <w:bCs/>
          <w:iCs/>
          <w:sz w:val="18"/>
          <w:szCs w:val="18"/>
        </w:rPr>
        <w:t>System korzeniowy</w:t>
      </w:r>
      <w:r>
        <w:rPr>
          <w:rFonts w:ascii="Arial" w:hAnsi="Arial" w:cs="Arial"/>
          <w:bCs/>
          <w:iCs/>
          <w:sz w:val="18"/>
          <w:szCs w:val="18"/>
        </w:rPr>
        <w:t xml:space="preserve"> – zespół korzeni uformowany przez roślinę.</w:t>
      </w:r>
    </w:p>
    <w:p w14:paraId="08366C13"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Szerokość sadzonki</w:t>
      </w:r>
      <w:r>
        <w:rPr>
          <w:rFonts w:ascii="Arial" w:hAnsi="Arial" w:cs="Arial"/>
          <w:bCs/>
          <w:iCs/>
          <w:sz w:val="18"/>
          <w:szCs w:val="18"/>
        </w:rPr>
        <w:t xml:space="preserve"> – odległość mierzona w najszerszym miejscu rośliny.</w:t>
      </w:r>
    </w:p>
    <w:p w14:paraId="2ADCD3FE"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Szkółkowanie</w:t>
      </w:r>
      <w:r>
        <w:rPr>
          <w:rFonts w:ascii="Arial" w:hAnsi="Arial" w:cs="Arial"/>
          <w:bCs/>
          <w:iCs/>
          <w:sz w:val="18"/>
          <w:szCs w:val="18"/>
        </w:rPr>
        <w:t xml:space="preserve"> – przesadzanie roślin w szkółce w odpowiednio dobranej do ich gatunku i odmiany rozstawie, mające na celu rozwinięcie zwartego systemu korzeniowego.</w:t>
      </w:r>
    </w:p>
    <w:p w14:paraId="74BD8EDD" w14:textId="77777777" w:rsidR="003F49C8" w:rsidRDefault="008C2229">
      <w:pPr>
        <w:suppressAutoHyphens/>
        <w:jc w:val="both"/>
        <w:rPr>
          <w:rFonts w:ascii="Arial" w:hAnsi="Arial" w:cs="Arial"/>
          <w:bCs/>
          <w:iCs/>
          <w:sz w:val="18"/>
          <w:szCs w:val="18"/>
        </w:rPr>
      </w:pPr>
      <w:r>
        <w:rPr>
          <w:rFonts w:ascii="Arial" w:hAnsi="Arial" w:cs="Arial"/>
          <w:b/>
          <w:bCs/>
          <w:iCs/>
          <w:sz w:val="18"/>
          <w:szCs w:val="18"/>
        </w:rPr>
        <w:t>Szyjka korzeniowa</w:t>
      </w:r>
      <w:r>
        <w:rPr>
          <w:rFonts w:ascii="Arial" w:hAnsi="Arial" w:cs="Arial"/>
          <w:bCs/>
          <w:iCs/>
          <w:sz w:val="18"/>
          <w:szCs w:val="18"/>
        </w:rPr>
        <w:t xml:space="preserve"> – część rośliny pomiędzy korzeniem a pędem.</w:t>
      </w:r>
    </w:p>
    <w:p w14:paraId="271E9B17" w14:textId="77777777" w:rsidR="003F49C8" w:rsidRDefault="008C2229">
      <w:pPr>
        <w:suppressAutoHyphens/>
        <w:jc w:val="both"/>
        <w:rPr>
          <w:rFonts w:ascii="Arial" w:hAnsi="Arial" w:cs="Arial"/>
          <w:bCs/>
          <w:iCs/>
          <w:sz w:val="18"/>
          <w:szCs w:val="18"/>
        </w:rPr>
      </w:pPr>
      <w:r>
        <w:rPr>
          <w:rFonts w:ascii="Arial" w:hAnsi="Arial" w:cs="Arial"/>
          <w:b/>
          <w:bCs/>
          <w:iCs/>
          <w:sz w:val="18"/>
          <w:szCs w:val="18"/>
        </w:rPr>
        <w:t>Ściółkowanie</w:t>
      </w:r>
      <w:r>
        <w:rPr>
          <w:rFonts w:ascii="Arial" w:hAnsi="Arial" w:cs="Arial"/>
          <w:bCs/>
          <w:iCs/>
          <w:sz w:val="18"/>
          <w:szCs w:val="18"/>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 i pnączy.</w:t>
      </w:r>
    </w:p>
    <w:p w14:paraId="5C307CEC" w14:textId="77777777" w:rsidR="003F49C8" w:rsidRDefault="008C2229">
      <w:pPr>
        <w:suppressAutoHyphens/>
        <w:jc w:val="both"/>
        <w:rPr>
          <w:rFonts w:ascii="Arial" w:hAnsi="Arial" w:cs="Arial"/>
          <w:bCs/>
          <w:iCs/>
          <w:sz w:val="18"/>
          <w:szCs w:val="18"/>
        </w:rPr>
      </w:pPr>
      <w:r>
        <w:rPr>
          <w:rFonts w:ascii="Arial" w:hAnsi="Arial" w:cs="Arial"/>
          <w:b/>
          <w:bCs/>
          <w:iCs/>
          <w:sz w:val="18"/>
          <w:szCs w:val="18"/>
        </w:rPr>
        <w:t>Torf</w:t>
      </w:r>
      <w:r>
        <w:rPr>
          <w:rFonts w:ascii="Arial" w:hAnsi="Arial" w:cs="Arial"/>
          <w:bCs/>
          <w:iCs/>
          <w:sz w:val="18"/>
          <w:szCs w:val="18"/>
        </w:rPr>
        <w:t xml:space="preserve"> – skała osadowa powstała w wyniku niepełnego rozkładu szczątków roślinnych, zachodzącego w warunkach długotrwałego lub stałego zabagnienia wierzchniej warstwy gleby. Składa się z nierozłożonych szczątków roślin oraz bezstrukturalnej masy humusu. Jest w różnym stopniu nasycony substancjami mineralnymi (np. piaskiem, czasami wytrąconymi związkami żelaza lub rzadko fosforu).</w:t>
      </w:r>
    </w:p>
    <w:p w14:paraId="4B355315" w14:textId="77777777" w:rsidR="003F49C8" w:rsidRDefault="008C2229">
      <w:pPr>
        <w:suppressAutoHyphens/>
        <w:jc w:val="both"/>
        <w:rPr>
          <w:rFonts w:ascii="Arial" w:hAnsi="Arial" w:cs="Arial"/>
          <w:bCs/>
          <w:iCs/>
          <w:sz w:val="18"/>
          <w:szCs w:val="18"/>
        </w:rPr>
      </w:pPr>
      <w:r>
        <w:rPr>
          <w:rFonts w:ascii="Arial" w:hAnsi="Arial" w:cs="Arial"/>
          <w:b/>
          <w:bCs/>
          <w:iCs/>
          <w:sz w:val="18"/>
          <w:szCs w:val="18"/>
        </w:rPr>
        <w:t>Trawnik</w:t>
      </w:r>
      <w:r>
        <w:rPr>
          <w:rFonts w:ascii="Arial" w:hAnsi="Arial" w:cs="Arial"/>
          <w:bCs/>
          <w:iCs/>
          <w:sz w:val="18"/>
          <w:szCs w:val="18"/>
        </w:rPr>
        <w:t xml:space="preserve"> – powierzchnie obsiane mieszankami traw i roślin dwuliściennych w granicach robót ziemnych.</w:t>
      </w:r>
    </w:p>
    <w:p w14:paraId="57C1354D" w14:textId="77777777" w:rsidR="003F49C8" w:rsidRDefault="008C2229">
      <w:pPr>
        <w:suppressAutoHyphens/>
        <w:jc w:val="both"/>
        <w:rPr>
          <w:rFonts w:ascii="Arial" w:hAnsi="Arial" w:cs="Arial"/>
          <w:bCs/>
          <w:iCs/>
          <w:sz w:val="18"/>
          <w:szCs w:val="18"/>
        </w:rPr>
      </w:pPr>
      <w:r>
        <w:rPr>
          <w:rFonts w:ascii="Arial" w:hAnsi="Arial" w:cs="Arial"/>
          <w:b/>
          <w:bCs/>
          <w:iCs/>
          <w:sz w:val="18"/>
          <w:szCs w:val="18"/>
        </w:rPr>
        <w:t>Wysokość sadzonki</w:t>
      </w:r>
      <w:r>
        <w:rPr>
          <w:rFonts w:ascii="Arial" w:hAnsi="Arial" w:cs="Arial"/>
          <w:bCs/>
          <w:iCs/>
          <w:sz w:val="18"/>
          <w:szCs w:val="18"/>
        </w:rPr>
        <w:t xml:space="preserve"> – długość mierzona od szyjki korzeniowej do najwyższej części rośliny.</w:t>
      </w:r>
    </w:p>
    <w:p w14:paraId="2A26C1A9"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Zagajnik</w:t>
      </w:r>
      <w:r>
        <w:rPr>
          <w:rFonts w:ascii="Arial" w:hAnsi="Arial" w:cs="Arial"/>
          <w:bCs/>
          <w:spacing w:val="-3"/>
          <w:kern w:val="24"/>
          <w:sz w:val="18"/>
          <w:szCs w:val="18"/>
        </w:rPr>
        <w:t xml:space="preserve"> – skupina drzew o średnicy pni poniżej 10 cm.</w:t>
      </w:r>
    </w:p>
    <w:p w14:paraId="2BE03F72"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Wyróżnia się zagajniki</w:t>
      </w:r>
      <w:r>
        <w:rPr>
          <w:rFonts w:ascii="Arial" w:hAnsi="Arial" w:cs="Arial"/>
          <w:bCs/>
          <w:spacing w:val="-3"/>
          <w:kern w:val="24"/>
          <w:sz w:val="18"/>
          <w:szCs w:val="18"/>
        </w:rPr>
        <w:t>:</w:t>
      </w:r>
    </w:p>
    <w:p w14:paraId="54EEC417"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lastRenderedPageBreak/>
        <w:t>gęste – pokrywające powyżej 60% powierzchni,</w:t>
      </w:r>
    </w:p>
    <w:p w14:paraId="66E591BA"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średnie – pokrywające 31 – 60% powierzchni,</w:t>
      </w:r>
    </w:p>
    <w:p w14:paraId="10147194" w14:textId="77777777" w:rsidR="003F49C8" w:rsidRDefault="008C2229">
      <w:pPr>
        <w:pStyle w:val="Akapitzlist"/>
        <w:numPr>
          <w:ilvl w:val="0"/>
          <w:numId w:val="26"/>
        </w:numPr>
        <w:ind w:left="284" w:hanging="284"/>
        <w:jc w:val="both"/>
        <w:rPr>
          <w:rFonts w:ascii="Arial" w:hAnsi="Arial" w:cs="Arial"/>
          <w:bCs/>
          <w:spacing w:val="-3"/>
          <w:kern w:val="24"/>
          <w:sz w:val="18"/>
          <w:szCs w:val="18"/>
        </w:rPr>
      </w:pPr>
      <w:r>
        <w:rPr>
          <w:rFonts w:ascii="Arial" w:hAnsi="Arial" w:cs="Arial"/>
          <w:bCs/>
          <w:spacing w:val="-3"/>
          <w:kern w:val="24"/>
          <w:sz w:val="18"/>
          <w:szCs w:val="18"/>
        </w:rPr>
        <w:t>rzadkie – pokrywające 10 – 30% powierzchni.</w:t>
      </w:r>
    </w:p>
    <w:p w14:paraId="7B55E88B" w14:textId="77777777" w:rsidR="003F49C8" w:rsidRDefault="008C2229">
      <w:pPr>
        <w:suppressAutoHyphens/>
        <w:jc w:val="both"/>
        <w:rPr>
          <w:rFonts w:ascii="Arial" w:hAnsi="Arial" w:cs="Arial"/>
          <w:bCs/>
          <w:iCs/>
          <w:sz w:val="18"/>
          <w:szCs w:val="18"/>
        </w:rPr>
      </w:pPr>
      <w:r>
        <w:rPr>
          <w:rFonts w:ascii="Arial" w:hAnsi="Arial" w:cs="Arial"/>
          <w:b/>
          <w:bCs/>
          <w:iCs/>
          <w:sz w:val="18"/>
          <w:szCs w:val="18"/>
        </w:rPr>
        <w:t>Zdjęcie warstwy ziemi urodzajnej</w:t>
      </w:r>
      <w:r>
        <w:rPr>
          <w:rFonts w:ascii="Arial" w:hAnsi="Arial" w:cs="Arial"/>
          <w:bCs/>
          <w:iCs/>
          <w:sz w:val="18"/>
          <w:szCs w:val="18"/>
        </w:rPr>
        <w:t xml:space="preserve"> – usunięcie warstwy gruntu urodzajnego, zwykle z terenu przewidzianego do wykonania drogowych robót ziemnych oraz składowanie jej w celu późniejszego wykorzystania przy umocnieniu skarp, rowów i rekultywacji gruntu przydrożnego.</w:t>
      </w:r>
    </w:p>
    <w:p w14:paraId="29C71C07"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Zieleń izolacyjna</w:t>
      </w:r>
      <w:r>
        <w:rPr>
          <w:rFonts w:ascii="Arial" w:hAnsi="Arial" w:cs="Arial"/>
          <w:bCs/>
          <w:iCs/>
          <w:sz w:val="18"/>
          <w:szCs w:val="18"/>
        </w:rPr>
        <w:t xml:space="preserve"> – jest to zieleń zakładana wzdłuż dróg w celu minimalizowania uciążliwości wynikających z emisji spalin, stanowią barierę rozprzestrzeniania zanieczyszczeń. </w:t>
      </w:r>
    </w:p>
    <w:p w14:paraId="568AF203" w14:textId="77777777" w:rsidR="003F49C8" w:rsidRDefault="008C2229">
      <w:pPr>
        <w:suppressAutoHyphens/>
        <w:jc w:val="both"/>
        <w:rPr>
          <w:rFonts w:ascii="Arial" w:hAnsi="Arial" w:cs="Arial"/>
          <w:bCs/>
          <w:iCs/>
          <w:sz w:val="18"/>
          <w:szCs w:val="18"/>
        </w:rPr>
      </w:pPr>
      <w:r>
        <w:rPr>
          <w:rFonts w:ascii="Arial" w:hAnsi="Arial" w:cs="Arial"/>
          <w:b/>
          <w:bCs/>
          <w:iCs/>
          <w:sz w:val="18"/>
          <w:szCs w:val="18"/>
        </w:rPr>
        <w:t>Ziemia urodzajna</w:t>
      </w:r>
      <w:r>
        <w:rPr>
          <w:rFonts w:ascii="Arial" w:hAnsi="Arial" w:cs="Arial"/>
          <w:bCs/>
          <w:iCs/>
          <w:sz w:val="18"/>
          <w:szCs w:val="18"/>
        </w:rPr>
        <w:t xml:space="preserve"> - powierzchniowa warstwa gruntu o zawartości, co najmniej 2% części organicznych. Grubość warstwy ziemi urodzajnej zależna jest od głębokości zalegania.</w:t>
      </w:r>
    </w:p>
    <w:p w14:paraId="2B734325" w14:textId="77777777" w:rsidR="003F49C8" w:rsidRDefault="008C2229">
      <w:pPr>
        <w:jc w:val="both"/>
        <w:rPr>
          <w:rFonts w:ascii="Arial" w:hAnsi="Arial" w:cs="Arial"/>
          <w:bCs/>
          <w:spacing w:val="-3"/>
          <w:kern w:val="24"/>
          <w:sz w:val="18"/>
          <w:szCs w:val="18"/>
        </w:rPr>
      </w:pPr>
      <w:r>
        <w:rPr>
          <w:rFonts w:ascii="Arial" w:hAnsi="Arial" w:cs="Arial"/>
          <w:b/>
          <w:bCs/>
          <w:spacing w:val="-3"/>
          <w:kern w:val="24"/>
          <w:sz w:val="18"/>
          <w:szCs w:val="18"/>
        </w:rPr>
        <w:t>Zrębki</w:t>
      </w:r>
      <w:r>
        <w:rPr>
          <w:rFonts w:ascii="Arial" w:hAnsi="Arial" w:cs="Arial"/>
          <w:bCs/>
          <w:spacing w:val="-3"/>
          <w:kern w:val="24"/>
          <w:sz w:val="18"/>
          <w:szCs w:val="18"/>
        </w:rPr>
        <w:t xml:space="preserve"> - materiał, uzyskany poprzez rozdrobnienie specjalnymi maszynami drągowizny, gałęzi i karpiny z usunięcia zieleni.</w:t>
      </w:r>
    </w:p>
    <w:p w14:paraId="7FE3A50D" w14:textId="77777777" w:rsidR="003F49C8" w:rsidRDefault="003F49C8">
      <w:pPr>
        <w:rPr>
          <w:rFonts w:ascii="Arial" w:hAnsi="Arial" w:cs="Arial"/>
          <w:b/>
          <w:spacing w:val="-3"/>
          <w:sz w:val="18"/>
          <w:szCs w:val="18"/>
          <w:u w:val="single"/>
        </w:rPr>
      </w:pPr>
    </w:p>
    <w:p w14:paraId="5B3FCFEB"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Pozostałe:</w:t>
      </w:r>
    </w:p>
    <w:p w14:paraId="3A184F4D" w14:textId="77777777" w:rsidR="003F49C8" w:rsidRDefault="008C2229">
      <w:pPr>
        <w:pStyle w:val="Default"/>
        <w:jc w:val="both"/>
        <w:rPr>
          <w:rFonts w:ascii="Arial" w:hAnsi="Arial" w:cs="Arial"/>
          <w:b/>
          <w:bCs/>
          <w:sz w:val="18"/>
          <w:szCs w:val="18"/>
        </w:rPr>
      </w:pPr>
      <w:r>
        <w:rPr>
          <w:rFonts w:ascii="Arial" w:hAnsi="Arial" w:cs="Arial"/>
          <w:b/>
          <w:bCs/>
          <w:sz w:val="18"/>
          <w:szCs w:val="18"/>
        </w:rPr>
        <w:t xml:space="preserve">Badanie identyczności </w:t>
      </w:r>
      <w:r>
        <w:rPr>
          <w:rFonts w:ascii="Arial" w:hAnsi="Arial" w:cs="Arial"/>
          <w:sz w:val="18"/>
          <w:szCs w:val="18"/>
        </w:rPr>
        <w:t>– badanie mające na celu określenie, czy wytypowane zaroby lub ładunki pochodzą z odpowiedniej populacji o potwierdzonej zgodności.</w:t>
      </w:r>
    </w:p>
    <w:p w14:paraId="51A70A26" w14:textId="77777777" w:rsidR="003F49C8" w:rsidRDefault="008C2229">
      <w:pPr>
        <w:pStyle w:val="Default"/>
        <w:jc w:val="both"/>
        <w:rPr>
          <w:rFonts w:ascii="Arial" w:hAnsi="Arial" w:cs="Arial"/>
          <w:sz w:val="18"/>
          <w:szCs w:val="18"/>
        </w:rPr>
      </w:pPr>
      <w:r>
        <w:rPr>
          <w:rFonts w:ascii="Arial" w:hAnsi="Arial" w:cs="Arial"/>
          <w:b/>
          <w:bCs/>
          <w:sz w:val="18"/>
          <w:szCs w:val="18"/>
        </w:rPr>
        <w:t xml:space="preserve">Badanie zgodności i ocena zgodności </w:t>
      </w:r>
      <w:r>
        <w:rPr>
          <w:rFonts w:ascii="Arial" w:hAnsi="Arial" w:cs="Arial"/>
          <w:sz w:val="18"/>
          <w:szCs w:val="18"/>
        </w:rPr>
        <w:t>– badanie wykonywane przez producenta w celu oceny zgodności betonu, czyli systematycznej kontroli stopnia, w jakim wyrób spełnia wyspecyfikowane wymagania.</w:t>
      </w:r>
    </w:p>
    <w:p w14:paraId="103D3118" w14:textId="77777777" w:rsidR="003F49C8" w:rsidRDefault="008C2229">
      <w:pPr>
        <w:tabs>
          <w:tab w:val="left" w:pos="-1725"/>
          <w:tab w:val="left" w:pos="-1005"/>
          <w:tab w:val="left" w:pos="-285"/>
          <w:tab w:val="left" w:pos="851"/>
          <w:tab w:val="left" w:pos="1155"/>
          <w:tab w:val="left" w:pos="1443"/>
          <w:tab w:val="left" w:pos="2595"/>
          <w:tab w:val="left" w:pos="3315"/>
          <w:tab w:val="left" w:pos="4035"/>
          <w:tab w:val="left" w:pos="4755"/>
          <w:tab w:val="left" w:pos="5475"/>
          <w:tab w:val="left" w:pos="6195"/>
          <w:tab w:val="left" w:pos="6915"/>
          <w:tab w:val="left" w:pos="763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Budowla drogowa</w:t>
      </w:r>
      <w:r>
        <w:rPr>
          <w:rFonts w:ascii="Arial" w:hAnsi="Arial" w:cs="Arial"/>
          <w:spacing w:val="-3"/>
          <w:sz w:val="18"/>
          <w:szCs w:val="18"/>
        </w:rPr>
        <w:t xml:space="preserve"> – obiekt budowlany, nie będący budynkiem, stanowiący całość techniczno- użytkową (droga) albo jego część stanowiącą odrębny element konstrukcyjny lub technologiczny (obiekt mostowy, korpus ziemny, węzeł).</w:t>
      </w:r>
    </w:p>
    <w:p w14:paraId="16911EA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Chodnik</w:t>
      </w:r>
      <w:r>
        <w:rPr>
          <w:rFonts w:ascii="Arial" w:hAnsi="Arial" w:cs="Arial"/>
          <w:spacing w:val="-3"/>
          <w:sz w:val="18"/>
          <w:szCs w:val="18"/>
        </w:rPr>
        <w:t xml:space="preserve"> – wyznaczony pas terenu przy jezdni lub odsunięty od jezdni, przeznaczony do ruchu pieszych.</w:t>
      </w:r>
    </w:p>
    <w:p w14:paraId="58523B6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Długość mostu </w:t>
      </w:r>
      <w:r>
        <w:rPr>
          <w:rFonts w:ascii="Arial" w:hAnsi="Arial" w:cs="Arial"/>
          <w:spacing w:val="-3"/>
          <w:sz w:val="18"/>
          <w:szCs w:val="18"/>
        </w:rPr>
        <w:t>– odległość między zewnętrznymi krawędziami pomostu, a w przypadku mostów łukowych z nadsypką - odległość w świetle podstaw sklepienia mierzona w osi jezdni drogowej.</w:t>
      </w:r>
    </w:p>
    <w:p w14:paraId="65BD712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w:t>
      </w:r>
      <w:r>
        <w:rPr>
          <w:rFonts w:ascii="Arial" w:hAnsi="Arial" w:cs="Arial"/>
          <w:spacing w:val="-3"/>
          <w:sz w:val="18"/>
          <w:szCs w:val="18"/>
        </w:rPr>
        <w:t xml:space="preserve"> – wydzielony pas terenu przeznaczony do ruchu lub postoju pojazdów oraz ruchu pieszych wraz z wszelkimi urządzeniami technicznymi związanymi z prowadzeniem i zabezpieczeniem ruchu.</w:t>
      </w:r>
    </w:p>
    <w:p w14:paraId="2FAAA861"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Droga tymczasowa (montażowa)</w:t>
      </w:r>
      <w:r>
        <w:rPr>
          <w:rFonts w:ascii="Arial" w:hAnsi="Arial" w:cs="Arial"/>
          <w:spacing w:val="-3"/>
          <w:sz w:val="18"/>
          <w:szCs w:val="18"/>
        </w:rPr>
        <w:t xml:space="preserve"> – droga specjalnie przygotowana, przeznaczona do ruchu pojazdów obsługujących zadanie budowlane na czas jego wykonania, przewidziana do usunięcia po jego zakończeniu.</w:t>
      </w:r>
    </w:p>
    <w:p w14:paraId="410A687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Jezdnia</w:t>
      </w:r>
      <w:r>
        <w:rPr>
          <w:rFonts w:ascii="Arial" w:hAnsi="Arial" w:cs="Arial"/>
          <w:spacing w:val="-3"/>
          <w:sz w:val="18"/>
          <w:szCs w:val="18"/>
        </w:rPr>
        <w:t xml:space="preserve"> – część korony drogi przeznaczona do ruchu pojazdów.</w:t>
      </w:r>
    </w:p>
    <w:p w14:paraId="4756147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Kaseta znaku</w:t>
      </w:r>
      <w:r>
        <w:rPr>
          <w:rFonts w:ascii="Arial" w:hAnsi="Arial" w:cs="Arial"/>
          <w:spacing w:val="-3"/>
          <w:sz w:val="18"/>
          <w:szCs w:val="18"/>
        </w:rPr>
        <w:t xml:space="preserve"> - rodzaj tarczy znaku w formie konstrukcji w kształcie graniastosłupa prostego lub walca.</w:t>
      </w:r>
    </w:p>
    <w:p w14:paraId="4C5BE96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bezpieczna</w:t>
      </w:r>
      <w:r>
        <w:rPr>
          <w:rFonts w:ascii="Arial" w:hAnsi="Arial" w:cs="Arial"/>
          <w:spacing w:val="-3"/>
          <w:sz w:val="18"/>
          <w:szCs w:val="18"/>
        </w:rPr>
        <w:t xml:space="preserve"> - konstrukcja wsporcza znaku spełniająca wymagania normy: PN-EN 12767 w określonych kategoriach pochłaniania energii zderzenia oraz poziomach bezpieczeństwa użytkowników pojazdu większych od zera.</w:t>
      </w:r>
    </w:p>
    <w:p w14:paraId="7D15FBE4"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Konstrukcja nośna (przęsło lub przęsła obiektu mostowego) </w:t>
      </w:r>
      <w:r>
        <w:rPr>
          <w:rFonts w:ascii="Arial" w:hAnsi="Arial" w:cs="Arial"/>
          <w:spacing w:val="-3"/>
          <w:sz w:val="18"/>
          <w:szCs w:val="18"/>
        </w:rPr>
        <w:t>– część obiektu oparta na podporach mostowych, tworząca ustrój niosący dla przeniesienia ruchu pojazdów lub pieszych.</w:t>
      </w:r>
    </w:p>
    <w:p w14:paraId="4F6D541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Konstrukcja wsporcza znaku</w:t>
      </w:r>
      <w:r>
        <w:rPr>
          <w:rFonts w:ascii="Arial" w:hAnsi="Arial" w:cs="Arial"/>
          <w:spacing w:val="-3"/>
          <w:sz w:val="18"/>
          <w:szCs w:val="18"/>
        </w:rPr>
        <w:t xml:space="preserve"> - każdy rodzaj konstrukcji (słupek, słup, kratownica, wysięgnik, bramownica, wspornik itp.) wraz z fundamentem (jeżeli jest stosowany), gwarantujący przenoszenie obciążeń zmiennych i stałych działających na konstrukcję i zamontowane na niej znaki.</w:t>
      </w:r>
    </w:p>
    <w:p w14:paraId="3040A0C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Koryto</w:t>
      </w:r>
      <w:r>
        <w:rPr>
          <w:rFonts w:ascii="Arial" w:hAnsi="Arial" w:cs="Arial"/>
          <w:spacing w:val="-3"/>
          <w:sz w:val="18"/>
          <w:szCs w:val="18"/>
        </w:rPr>
        <w:t xml:space="preserve"> – element uformowany w korpusie drogowym w celu ułożenia w nim konstrukcji nawierzchni</w:t>
      </w:r>
    </w:p>
    <w:p w14:paraId="3A6577CB"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Kotwa (ściąg)</w:t>
      </w:r>
      <w:r>
        <w:rPr>
          <w:rFonts w:ascii="Arial" w:hAnsi="Arial" w:cs="Arial"/>
          <w:spacing w:val="-3"/>
          <w:sz w:val="18"/>
          <w:szCs w:val="18"/>
        </w:rPr>
        <w:t xml:space="preserve"> - stalowy pręt ze stali żebrowanej służący do połączenia płyt pod szczelinami podłużnymi w nawierzchni betonowej.</w:t>
      </w:r>
    </w:p>
    <w:p w14:paraId="61B17DBC"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Krawężniki betonowe</w:t>
      </w:r>
      <w:r>
        <w:rPr>
          <w:rFonts w:ascii="Arial" w:hAnsi="Arial" w:cs="Arial"/>
          <w:spacing w:val="-3"/>
          <w:sz w:val="18"/>
          <w:szCs w:val="18"/>
        </w:rPr>
        <w:t xml:space="preserve">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w:t>
      </w:r>
    </w:p>
    <w:p w14:paraId="71319113"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Lico znaku</w:t>
      </w:r>
      <w:r>
        <w:rPr>
          <w:rFonts w:ascii="Arial" w:hAnsi="Arial" w:cs="Arial"/>
          <w:spacing w:val="-3"/>
          <w:sz w:val="18"/>
          <w:szCs w:val="18"/>
        </w:rPr>
        <w:t xml:space="preserve"> - przednia część znaku, wykonana z materiału o właściwościach odblaskowych (o odbiciu powrotnym - współdrożnym) posiadające parametry zgodne z Tab.1.7 Załącznika Nr 1 do Rozporządzenia Ministra Infrastruktury z dnia 3 lipca 2003 r., wraz z naniesioną treścią.</w:t>
      </w:r>
    </w:p>
    <w:p w14:paraId="159788CE"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Ława</w:t>
      </w:r>
      <w:r>
        <w:rPr>
          <w:rFonts w:ascii="Arial" w:hAnsi="Arial" w:cs="Arial"/>
          <w:spacing w:val="-3"/>
          <w:sz w:val="18"/>
          <w:szCs w:val="18"/>
        </w:rPr>
        <w:t xml:space="preserve"> - warstwa nośna z betonu służąca do umocnienia krawężnika oraz przenosząca obciążenie krawężnika na podłoże gruntowe; rozróżniamy ławy betonowe z oporem lub zwykłe.</w:t>
      </w:r>
    </w:p>
    <w:p w14:paraId="716806E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Materiały</w:t>
      </w:r>
      <w:r>
        <w:rPr>
          <w:rFonts w:ascii="Arial" w:hAnsi="Arial" w:cs="Arial"/>
          <w:spacing w:val="-3"/>
          <w:sz w:val="18"/>
          <w:szCs w:val="18"/>
        </w:rPr>
        <w:t xml:space="preserve"> – wszelkie tworzywa niezbędne do wykonania Robót, zgodne z Programem funkcjonalno-użytkowym, zaakceptowane przez Inspektora Nadzoru</w:t>
      </w:r>
    </w:p>
    <w:p w14:paraId="3EDD8B02"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Miejsce dostawy betonu konstrukcyjnego napowietrzonego </w:t>
      </w:r>
      <w:r>
        <w:rPr>
          <w:rFonts w:ascii="Arial" w:hAnsi="Arial" w:cs="Arial"/>
          <w:sz w:val="18"/>
          <w:szCs w:val="18"/>
        </w:rPr>
        <w:t>– miejsce wylotu mieszanki z pompy lub miejsce rozładunku mieszanki z betonowozu, gdy nie stosuje się pompowania</w:t>
      </w:r>
    </w:p>
    <w:p w14:paraId="542AA377" w14:textId="77777777" w:rsidR="003F49C8" w:rsidRDefault="008C2229">
      <w:pPr>
        <w:pStyle w:val="Default"/>
        <w:jc w:val="both"/>
        <w:rPr>
          <w:rFonts w:ascii="Arial" w:hAnsi="Arial" w:cs="Arial"/>
          <w:sz w:val="18"/>
          <w:szCs w:val="18"/>
        </w:rPr>
      </w:pPr>
      <w:r>
        <w:rPr>
          <w:rFonts w:ascii="Arial" w:hAnsi="Arial" w:cs="Arial"/>
          <w:b/>
          <w:bCs/>
          <w:sz w:val="18"/>
          <w:szCs w:val="18"/>
        </w:rPr>
        <w:t xml:space="preserve">Mieszanka związana spoiwem hydraulicznym </w:t>
      </w:r>
      <w:r>
        <w:rPr>
          <w:rFonts w:ascii="Arial" w:hAnsi="Arial" w:cs="Arial"/>
          <w:sz w:val="18"/>
          <w:szCs w:val="18"/>
        </w:rPr>
        <w:t>– mieszanka, w której następuje wiązanie i twardnienie na skutek reakcji hydraulicznych</w:t>
      </w:r>
    </w:p>
    <w:p w14:paraId="02CE00F9"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Most </w:t>
      </w:r>
      <w:r>
        <w:rPr>
          <w:rFonts w:ascii="Arial" w:hAnsi="Arial" w:cs="Arial"/>
          <w:spacing w:val="-3"/>
          <w:sz w:val="18"/>
          <w:szCs w:val="18"/>
        </w:rPr>
        <w:t>– obiekt zbudowany nad przeszkodą wodną dla zapewnienia komunikacji drogowej i ruchu pieszego.</w:t>
      </w:r>
    </w:p>
    <w:p w14:paraId="340803C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Niweleta</w:t>
      </w:r>
      <w:r>
        <w:rPr>
          <w:rFonts w:ascii="Arial" w:hAnsi="Arial" w:cs="Arial"/>
          <w:spacing w:val="-3"/>
          <w:sz w:val="18"/>
          <w:szCs w:val="18"/>
        </w:rPr>
        <w:t xml:space="preserve"> – wysokościowe i geometryczne rozwinięcie na płaszczyźnie pionowego przekroju w osi drogi lub obiektu mostowego.</w:t>
      </w:r>
    </w:p>
    <w:p w14:paraId="3285F9C2"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Obiekt mostowy </w:t>
      </w:r>
      <w:r>
        <w:rPr>
          <w:rFonts w:ascii="Arial" w:hAnsi="Arial" w:cs="Arial"/>
          <w:spacing w:val="-3"/>
          <w:sz w:val="18"/>
          <w:szCs w:val="18"/>
        </w:rPr>
        <w:t>– most, wiadukt, estakada, tunel, kładka dla pieszych i przepust.</w:t>
      </w:r>
    </w:p>
    <w:p w14:paraId="58CB59BF" w14:textId="77777777" w:rsidR="003F49C8" w:rsidRDefault="008C2229">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Objazd tymczasowy </w:t>
      </w:r>
      <w:r>
        <w:rPr>
          <w:rFonts w:ascii="Arial" w:hAnsi="Arial" w:cs="Arial"/>
          <w:spacing w:val="-3"/>
          <w:sz w:val="18"/>
          <w:szCs w:val="18"/>
        </w:rPr>
        <w:t>– droga specjalnie przygotowana i odpowiednio utrzymana do przeprowadzenia ruchu publicznego na okres budowy.</w:t>
      </w:r>
    </w:p>
    <w:p w14:paraId="0C3EDF2A" w14:textId="77777777" w:rsidR="003F49C8" w:rsidRDefault="008C2229">
      <w:pPr>
        <w:pStyle w:val="Default"/>
        <w:jc w:val="both"/>
        <w:rPr>
          <w:rFonts w:ascii="Arial" w:hAnsi="Arial" w:cs="Arial"/>
          <w:b/>
          <w:sz w:val="18"/>
          <w:szCs w:val="18"/>
        </w:rPr>
      </w:pPr>
      <w:r>
        <w:rPr>
          <w:rFonts w:ascii="Arial" w:hAnsi="Arial" w:cs="Arial"/>
          <w:b/>
          <w:bCs/>
          <w:sz w:val="18"/>
          <w:szCs w:val="18"/>
        </w:rPr>
        <w:t xml:space="preserve">Oddziaływanie środowiska </w:t>
      </w:r>
      <w:r>
        <w:rPr>
          <w:rFonts w:ascii="Arial" w:hAnsi="Arial" w:cs="Arial"/>
          <w:sz w:val="18"/>
          <w:szCs w:val="18"/>
        </w:rPr>
        <w:t>- oddziaływania chemiczne i fizyczne, wpływające na beton, lub na zbrojenie, lub inne znajdujące się w nim elementy metalowe, które w projekcie konstrukcyjnym nie zostały uwzględnione jako obciążenia.</w:t>
      </w:r>
    </w:p>
    <w:p w14:paraId="6303FB83" w14:textId="77777777" w:rsidR="003F49C8" w:rsidRDefault="008C2229">
      <w:pPr>
        <w:pStyle w:val="Default"/>
        <w:jc w:val="both"/>
        <w:rPr>
          <w:rFonts w:ascii="Arial" w:hAnsi="Arial" w:cs="Arial"/>
          <w:sz w:val="18"/>
          <w:szCs w:val="18"/>
        </w:rPr>
      </w:pPr>
      <w:r>
        <w:rPr>
          <w:rFonts w:ascii="Arial" w:hAnsi="Arial" w:cs="Arial"/>
          <w:b/>
          <w:sz w:val="18"/>
          <w:szCs w:val="18"/>
        </w:rPr>
        <w:t>Odporność na penetrację wody</w:t>
      </w:r>
      <w:r>
        <w:rPr>
          <w:rFonts w:ascii="Arial" w:hAnsi="Arial" w:cs="Arial"/>
          <w:sz w:val="18"/>
          <w:szCs w:val="18"/>
        </w:rPr>
        <w:t xml:space="preserve"> – maksymalna głębokość penetracji wody pod ciśnieniem określona zgodnie z normą PN-EN 12390-8.</w:t>
      </w:r>
    </w:p>
    <w:p w14:paraId="2AD4C5B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Odpowiednia (bliska) zgodność</w:t>
      </w:r>
      <w:r>
        <w:rPr>
          <w:rFonts w:ascii="Arial" w:hAnsi="Arial" w:cs="Arial"/>
          <w:spacing w:val="-3"/>
          <w:sz w:val="18"/>
          <w:szCs w:val="18"/>
        </w:rPr>
        <w:t xml:space="preserve"> – zgodność wykonywanych Robót z dopuszczonymi tolerancjami, a jeśli przedział tolerancji nie został określony - z przeciętnymi tolerancjami, przyjmowanymi zwyczajowo dla danego rodzaju Robót budowlanych.</w:t>
      </w:r>
    </w:p>
    <w:p w14:paraId="3FB1608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Pobocze</w:t>
      </w:r>
      <w:r>
        <w:rPr>
          <w:rFonts w:ascii="Arial" w:hAnsi="Arial" w:cs="Arial"/>
          <w:spacing w:val="-3"/>
          <w:sz w:val="18"/>
          <w:szCs w:val="18"/>
        </w:rPr>
        <w:t xml:space="preserve"> – część korony drogi przeznaczona do chwilowego postoju pojazdów, umieszczenia urządzeń organizacji i bezpieczeństwa ruchu oraz do ruchu pieszych, służąca jednocześnie do bocznego oparcia konstrukcji nawierzchni.</w:t>
      </w:r>
    </w:p>
    <w:p w14:paraId="12D22372"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Podsypka</w:t>
      </w:r>
      <w:r>
        <w:rPr>
          <w:rFonts w:ascii="Arial" w:hAnsi="Arial" w:cs="Arial"/>
          <w:spacing w:val="-3"/>
          <w:sz w:val="18"/>
          <w:szCs w:val="18"/>
        </w:rPr>
        <w:t xml:space="preserve"> - warstwa wyrównawcza ułożona bezpośrednio na podłożu lub ławie.</w:t>
      </w:r>
    </w:p>
    <w:p w14:paraId="22A6898F" w14:textId="77777777" w:rsidR="003F49C8" w:rsidRDefault="008C2229">
      <w:pPr>
        <w:pStyle w:val="Default"/>
        <w:jc w:val="both"/>
        <w:rPr>
          <w:rFonts w:ascii="Arial" w:hAnsi="Arial" w:cs="Arial"/>
          <w:sz w:val="18"/>
          <w:szCs w:val="18"/>
        </w:rPr>
      </w:pPr>
      <w:r>
        <w:rPr>
          <w:rFonts w:ascii="Arial" w:hAnsi="Arial" w:cs="Arial"/>
          <w:b/>
          <w:sz w:val="18"/>
          <w:szCs w:val="18"/>
        </w:rPr>
        <w:t xml:space="preserve">Pojemnik </w:t>
      </w:r>
      <w:r>
        <w:rPr>
          <w:rFonts w:ascii="Arial" w:hAnsi="Arial" w:cs="Arial"/>
          <w:sz w:val="18"/>
          <w:szCs w:val="18"/>
        </w:rPr>
        <w:t>– plastikowe naczynie z dnem o pojemności powyżej 1,5 l do uprawy roślin.</w:t>
      </w:r>
    </w:p>
    <w:p w14:paraId="69F7EED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Polecenie Inspektora Nadzoru </w:t>
      </w:r>
      <w:r>
        <w:rPr>
          <w:rFonts w:ascii="Arial" w:hAnsi="Arial" w:cs="Arial"/>
          <w:spacing w:val="-3"/>
          <w:sz w:val="18"/>
          <w:szCs w:val="18"/>
        </w:rPr>
        <w:t>– wszelkie polecenia przekazane Wykonawcy przez Inspektora Nadzoru, w formie pisemnej, dotyczące sposobu realizacji Robót lub innych spraw związanych z prowadzeniem budowy.</w:t>
      </w:r>
    </w:p>
    <w:p w14:paraId="6791A6C8"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Przepust</w:t>
      </w:r>
      <w:r>
        <w:rPr>
          <w:rFonts w:ascii="Arial" w:hAnsi="Arial" w:cs="Arial"/>
          <w:spacing w:val="-3"/>
          <w:sz w:val="18"/>
          <w:szCs w:val="18"/>
        </w:rPr>
        <w:t xml:space="preserve"> – budowla o przekroju poprzecznym zamkniętym, przeznaczoną do przeprowadzenia cieków, szlaków wędrówek zwierząt dziko żyjących lub urządzeń technicznych przez nasyp drogi.</w:t>
      </w:r>
    </w:p>
    <w:p w14:paraId="59B8453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naturalna</w:t>
      </w:r>
      <w:r>
        <w:rPr>
          <w:rFonts w:ascii="Arial" w:hAnsi="Arial" w:cs="Arial"/>
          <w:spacing w:val="-3"/>
          <w:sz w:val="18"/>
          <w:szCs w:val="18"/>
        </w:rPr>
        <w:t xml:space="preserve"> – element środowiska naturalnego, stanowiący utrudnienie w realizacji zadania budowlanego, na przykład dolina, bagno, rzeka, szlak wędrówek dzikich zwierząt itp.</w:t>
      </w:r>
    </w:p>
    <w:p w14:paraId="0D43FA71"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Przeszkoda sztuczna</w:t>
      </w:r>
      <w:r>
        <w:rPr>
          <w:rFonts w:ascii="Arial" w:hAnsi="Arial" w:cs="Arial"/>
          <w:spacing w:val="-3"/>
          <w:sz w:val="18"/>
          <w:szCs w:val="18"/>
        </w:rPr>
        <w:t xml:space="preserve"> – dzieło ludzkie, stanowiące utrudnienie w realizacji zadania budowlanego, na przykład droga, kolej, rurociąg, kanał, ciąg pieszy lub rowerowy itp.</w:t>
      </w:r>
    </w:p>
    <w:p w14:paraId="03EB8205" w14:textId="77777777" w:rsidR="003F49C8" w:rsidRDefault="008C2229">
      <w:pPr>
        <w:tabs>
          <w:tab w:val="left" w:pos="-1725"/>
          <w:tab w:val="left" w:pos="-1005"/>
          <w:tab w:val="left" w:pos="-285"/>
          <w:tab w:val="left" w:pos="426"/>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rPr>
      </w:pPr>
      <w:r>
        <w:rPr>
          <w:rFonts w:ascii="Arial" w:hAnsi="Arial" w:cs="Arial"/>
          <w:b/>
          <w:spacing w:val="-3"/>
          <w:sz w:val="18"/>
          <w:szCs w:val="18"/>
        </w:rPr>
        <w:t xml:space="preserve">Przyczółek </w:t>
      </w:r>
      <w:r>
        <w:rPr>
          <w:rFonts w:ascii="Arial" w:hAnsi="Arial" w:cs="Arial"/>
          <w:spacing w:val="-3"/>
          <w:sz w:val="18"/>
          <w:szCs w:val="18"/>
        </w:rPr>
        <w:t>– skrajna podpora obiektu mostowego. Może składać się z pełnej ściany, słupów lub innych form konstrukcyjnych, np. skrzyń, komór.</w:t>
      </w:r>
    </w:p>
    <w:p w14:paraId="7CE7996F"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Rekultywacja</w:t>
      </w:r>
      <w:r>
        <w:rPr>
          <w:rFonts w:ascii="Arial" w:hAnsi="Arial" w:cs="Arial"/>
          <w:spacing w:val="-3"/>
          <w:sz w:val="18"/>
          <w:szCs w:val="18"/>
        </w:rPr>
        <w:t xml:space="preserve"> – roboty związane z nadaniem lub przywróceniem gruntom zdegradowanym albo zdewastowanym wartości użytkowych lub przyrodniczych przez właściwe ukształtowanie rzeźby terenu, poprawienie właściwości fizycznych i chemicznych, uregulowanie stosunków wodnych, odtworzenie gleb, umocnienie skarp oraz odbudowanie lub zbudowanie niezbędnych dróg.</w:t>
      </w:r>
    </w:p>
    <w:p w14:paraId="5BF62A3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Rozpiętość teoretyczna </w:t>
      </w:r>
      <w:r>
        <w:rPr>
          <w:rFonts w:ascii="Arial" w:hAnsi="Arial" w:cs="Arial"/>
          <w:spacing w:val="-3"/>
          <w:sz w:val="18"/>
          <w:szCs w:val="18"/>
        </w:rPr>
        <w:t>– odległość między punktami podparcia (łożyskami), przęsła mostowego.</w:t>
      </w:r>
    </w:p>
    <w:p w14:paraId="0DBD5ED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Szczelina skurczowa poprzeczna</w:t>
      </w:r>
      <w:r>
        <w:rPr>
          <w:rFonts w:ascii="Arial" w:hAnsi="Arial" w:cs="Arial"/>
          <w:spacing w:val="-3"/>
          <w:sz w:val="18"/>
          <w:szCs w:val="18"/>
        </w:rPr>
        <w:t xml:space="preserve"> (pozorna) - szczelina na pełnej grubości płyty, powstająca na skutek nacięcia (określonych wymiarów) powierzchni płyty piłą tarczową. </w:t>
      </w:r>
    </w:p>
    <w:p w14:paraId="34EB103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całkowita obiektu (mostu/wiaduktu)</w:t>
      </w:r>
      <w:r>
        <w:rPr>
          <w:rFonts w:ascii="Arial" w:hAnsi="Arial" w:cs="Arial"/>
          <w:spacing w:val="-3"/>
          <w:sz w:val="18"/>
          <w:szCs w:val="18"/>
        </w:rPr>
        <w:t xml:space="preserve"> – odległość między zewnętrznymi krawędziami konstrukcji obiektu, mierzona w linii prostopadłej do osi podłużnej, obejmuje całkowitą szerokość konstrukcyjną ustroju niosącego.</w:t>
      </w:r>
    </w:p>
    <w:p w14:paraId="38D96F09"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Szerokość użytkowa obiektu</w:t>
      </w:r>
      <w:r>
        <w:rPr>
          <w:rFonts w:ascii="Arial" w:hAnsi="Arial" w:cs="Arial"/>
          <w:spacing w:val="-3"/>
          <w:sz w:val="18"/>
          <w:szCs w:val="18"/>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8858570"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oporowe z gruntu zbrojonego</w:t>
      </w:r>
      <w:r>
        <w:rPr>
          <w:rFonts w:ascii="Arial" w:hAnsi="Arial" w:cs="Arial"/>
          <w:spacing w:val="-3"/>
          <w:sz w:val="18"/>
          <w:szCs w:val="18"/>
        </w:rPr>
        <w:t xml:space="preserve"> – budowla utrzymująca w stanie stateczności uskok naziomu gruntów nasypowych za pomocą warstw gruntu zbrojonego.</w:t>
      </w:r>
    </w:p>
    <w:p w14:paraId="055CD30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Ściany szczelinowe</w:t>
      </w:r>
      <w:r>
        <w:rPr>
          <w:rFonts w:ascii="Arial" w:hAnsi="Arial" w:cs="Arial"/>
          <w:spacing w:val="-3"/>
          <w:sz w:val="18"/>
          <w:szCs w:val="18"/>
        </w:rPr>
        <w:t xml:space="preserve"> – ściana z betonu lub żelbetu wykonywana w gruncie. Beton jest układany przez rurę wlewową pod cieczą stabilizującą w przypadku szczelin zabezpieczanych cieczami, albo w niektórych przypadkach na sucho.</w:t>
      </w:r>
    </w:p>
    <w:p w14:paraId="5517CBD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Tarcza znaku</w:t>
      </w:r>
      <w:r>
        <w:rPr>
          <w:rFonts w:ascii="Arial" w:hAnsi="Arial" w:cs="Arial"/>
          <w:spacing w:val="-3"/>
          <w:sz w:val="18"/>
          <w:szCs w:val="18"/>
        </w:rPr>
        <w:t xml:space="preserve"> - płaska sztywna powierzchnia, na której w sposób trwały umieszczone jest lico znaku</w:t>
      </w:r>
    </w:p>
    <w:p w14:paraId="0CF3E85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Uchwyt montażowy</w:t>
      </w:r>
      <w:r>
        <w:rPr>
          <w:rFonts w:ascii="Arial" w:hAnsi="Arial" w:cs="Arial"/>
          <w:spacing w:val="-3"/>
          <w:sz w:val="18"/>
          <w:szCs w:val="18"/>
        </w:rPr>
        <w:t xml:space="preserve"> - element służący do zamocowania w sposób stabilny a równocześnie rozłączny tarczy znaku do konstrukcji wsporczej</w:t>
      </w:r>
    </w:p>
    <w:p w14:paraId="04247D3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Urządzenia odwadniające</w:t>
      </w:r>
      <w:r>
        <w:rPr>
          <w:rFonts w:ascii="Arial" w:hAnsi="Arial" w:cs="Arial"/>
          <w:spacing w:val="-3"/>
          <w:sz w:val="18"/>
          <w:szCs w:val="18"/>
        </w:rPr>
        <w:t xml:space="preserve"> - urządzenia i konstrukcje umożliwiające odprowadzenie wód powierzchniowych i gruntowych z pasa drogowego. </w:t>
      </w:r>
    </w:p>
    <w:p w14:paraId="06E552C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Wiadukt</w:t>
      </w:r>
      <w:r>
        <w:rPr>
          <w:rFonts w:ascii="Arial" w:hAnsi="Arial" w:cs="Arial"/>
          <w:spacing w:val="-3"/>
          <w:sz w:val="18"/>
          <w:szCs w:val="18"/>
        </w:rPr>
        <w:t xml:space="preserve"> – obiekt zbudowany nad linią kolejową lub inną drogą dla bezkolizyjnego zapewnienia komunikacji drogowej i ruchu pieszego</w:t>
      </w:r>
    </w:p>
    <w:p w14:paraId="26A51F97"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Wymiar nominalny</w:t>
      </w:r>
      <w:r>
        <w:rPr>
          <w:rFonts w:ascii="Arial" w:hAnsi="Arial" w:cs="Arial"/>
          <w:spacing w:val="-3"/>
          <w:sz w:val="18"/>
          <w:szCs w:val="18"/>
        </w:rPr>
        <w:t xml:space="preserve"> - wymiar krawężnika określony w celu jego wykonania, któremu powinien odpowiadać wymiar rzeczywisty w określonych granicach dopuszczalnych odchyłek</w:t>
      </w:r>
    </w:p>
    <w:p w14:paraId="27B9BD66"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nowy</w:t>
      </w:r>
      <w:r>
        <w:rPr>
          <w:rFonts w:ascii="Arial" w:hAnsi="Arial" w:cs="Arial"/>
          <w:spacing w:val="-3"/>
          <w:sz w:val="18"/>
          <w:szCs w:val="18"/>
        </w:rPr>
        <w:t xml:space="preserve"> - znak na drodze w okresie do 3 miesięcy od daty montażu, jednak nie dłużej niż 12 miesięcy od daty produkcji. </w:t>
      </w:r>
    </w:p>
    <w:p w14:paraId="1BA3A7D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użytkowany (eksploatowany)</w:t>
      </w:r>
      <w:r>
        <w:rPr>
          <w:rFonts w:ascii="Arial" w:hAnsi="Arial" w:cs="Arial"/>
          <w:spacing w:val="-3"/>
          <w:sz w:val="18"/>
          <w:szCs w:val="18"/>
        </w:rPr>
        <w:t xml:space="preserve"> - znak na drodze po upływie 3 miesięcy od daty montażu lub znak po 12 miesiącach od daty produkcji.</w:t>
      </w:r>
    </w:p>
    <w:p w14:paraId="706B4011"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pionowy</w:t>
      </w:r>
      <w:r>
        <w:rPr>
          <w:rFonts w:ascii="Arial" w:hAnsi="Arial" w:cs="Arial"/>
          <w:spacing w:val="-3"/>
          <w:sz w:val="18"/>
          <w:szCs w:val="18"/>
        </w:rPr>
        <w:t xml:space="preserve"> - element wyposażenia drogi składający się z tarczy znaku z umieszczonym na niej, w sposób trwały, odblaskowym licem. </w:t>
      </w:r>
    </w:p>
    <w:p w14:paraId="5D85BF44"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podświetlany</w:t>
      </w:r>
      <w:r>
        <w:rPr>
          <w:rFonts w:ascii="Arial" w:hAnsi="Arial" w:cs="Arial"/>
          <w:spacing w:val="-3"/>
          <w:sz w:val="18"/>
          <w:szCs w:val="18"/>
        </w:rPr>
        <w:t xml:space="preserve"> - znak, w którym wewnętrzne źródło światła umieszczone jest za przezroczystym licem znaku. </w:t>
      </w:r>
    </w:p>
    <w:p w14:paraId="6F076D8A"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Znak drogowy oświetlany</w:t>
      </w:r>
      <w:r>
        <w:rPr>
          <w:rFonts w:ascii="Arial" w:hAnsi="Arial" w:cs="Arial"/>
          <w:spacing w:val="-3"/>
          <w:sz w:val="18"/>
          <w:szCs w:val="18"/>
        </w:rPr>
        <w:t xml:space="preserve"> - znak, którego lico jest oświetlane źródłem światła umieszczonym na zewnątrz znaku.</w:t>
      </w:r>
    </w:p>
    <w:p w14:paraId="0B023F2C"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703E2E28" w14:textId="77777777" w:rsidR="003F49C8" w:rsidRDefault="008C2229">
      <w:pPr>
        <w:tabs>
          <w:tab w:val="left" w:pos="-1440"/>
          <w:tab w:val="left" w:pos="-720"/>
          <w:tab w:val="left" w:pos="0"/>
          <w:tab w:val="left" w:pos="720"/>
          <w:tab w:val="left" w:pos="1008"/>
          <w:tab w:val="left" w:pos="1440"/>
        </w:tabs>
        <w:spacing w:after="60"/>
        <w:jc w:val="both"/>
        <w:rPr>
          <w:rFonts w:ascii="Arial" w:hAnsi="Arial" w:cs="Arial"/>
          <w:b/>
          <w:spacing w:val="-3"/>
          <w:sz w:val="18"/>
          <w:szCs w:val="18"/>
          <w:u w:val="single"/>
        </w:rPr>
      </w:pPr>
      <w:r>
        <w:rPr>
          <w:rFonts w:ascii="Arial" w:hAnsi="Arial" w:cs="Arial"/>
          <w:b/>
          <w:spacing w:val="-3"/>
          <w:sz w:val="18"/>
          <w:szCs w:val="18"/>
          <w:u w:val="single"/>
        </w:rPr>
        <w:t>Ogólne:</w:t>
      </w:r>
    </w:p>
    <w:p w14:paraId="1C7DB70F"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Cena Oferty </w:t>
      </w:r>
      <w:r>
        <w:rPr>
          <w:rFonts w:ascii="Arial" w:hAnsi="Arial" w:cs="Arial"/>
          <w:spacing w:val="-3"/>
          <w:sz w:val="18"/>
          <w:szCs w:val="18"/>
        </w:rPr>
        <w:t xml:space="preserve">– wartość, w której zawiera się wykonanie Przedmiotu Zamówienia przy uwzględnieniu wszystkich wymagań postawionych w Opisie przedmiotu Zamówienia. </w:t>
      </w:r>
    </w:p>
    <w:p w14:paraId="1DE47E1D"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Dziennik Budowy</w:t>
      </w:r>
      <w:r>
        <w:rPr>
          <w:rFonts w:ascii="Arial" w:hAnsi="Arial" w:cs="Arial"/>
          <w:spacing w:val="-3"/>
          <w:sz w:val="18"/>
          <w:szCs w:val="18"/>
        </w:rPr>
        <w:t xml:space="preserve"> – książka z ponumerowanymi stronami, opatrzona pieczęcią organu wydającego, wydana zgodnie z obowiązującymi przepisami, stanowiąca urzędowy dokument przebiegu Robót budowlanych, służąca do notowania zdarzeń i okoliczności zachodzących w toku wykonywania Robót, rejestrowania dokonywanych odbiorów Robót, przekazywania poleceń i innej korespondencji technicznej pomiędzy Inspektorem Nadzoru/Kierownikiem projektu a Wykonawcą i Projektantem.</w:t>
      </w:r>
    </w:p>
    <w:p w14:paraId="61C6D2D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Inżynier/Inspektor Nadzoru </w:t>
      </w:r>
      <w:r>
        <w:rPr>
          <w:rFonts w:ascii="Arial" w:hAnsi="Arial" w:cs="Arial"/>
          <w:spacing w:val="-3"/>
          <w:sz w:val="18"/>
          <w:szCs w:val="18"/>
        </w:rPr>
        <w:t>– osoba wymieniona w danych Kontraktowych, która na zlecenie Zamawiającego za pomocą członków swojego zespołu o ściśle oddelegowanych uprawnieniach zarządza oraz sprawuje nadzór na wykonywaniem prac budowlanych oraz postępem rzeczowo finansowym, zgodnie z Ustawą Prawo Budowlane i Warunkami Kontraktu.</w:t>
      </w:r>
    </w:p>
    <w:p w14:paraId="23932D57"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Kierownik Budowy</w:t>
      </w:r>
      <w:r>
        <w:rPr>
          <w:rFonts w:ascii="Arial" w:hAnsi="Arial" w:cs="Arial"/>
          <w:spacing w:val="-3"/>
          <w:sz w:val="18"/>
          <w:szCs w:val="18"/>
        </w:rPr>
        <w:t>– osoba wyznaczona przez Wykonawcę, upoważniona do kierowania robotami i upoważniona do występowania w jego imieniu w sprawach realizacji Kontraktu.</w:t>
      </w:r>
    </w:p>
    <w:p w14:paraId="603F3506"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Kierownik Projektu</w:t>
      </w:r>
      <w:r>
        <w:rPr>
          <w:rFonts w:ascii="Arial" w:hAnsi="Arial" w:cs="Arial"/>
          <w:spacing w:val="-3"/>
          <w:sz w:val="18"/>
          <w:szCs w:val="18"/>
        </w:rPr>
        <w:t xml:space="preserve"> – osoba wymieniona w danych kontraktowych, będąca przedstawicielem Zamawiającego, o której wyznaczeniu poinformowany jest Wykonawca. Kierownik Projektu odpowiedzialny jest za administrowanie Kontraktem, wypełnia obowiązki jakie wynikają z roli Zamawiającego na mocy Kontraktu.</w:t>
      </w:r>
    </w:p>
    <w:p w14:paraId="73E21FE3"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Komisja Odbioru Robót</w:t>
      </w:r>
      <w:r>
        <w:rPr>
          <w:rFonts w:ascii="Arial" w:hAnsi="Arial" w:cs="Arial"/>
          <w:spacing w:val="-3"/>
          <w:sz w:val="18"/>
          <w:szCs w:val="18"/>
        </w:rPr>
        <w:t xml:space="preserve"> - oznacza Komisję powołaną przez Zamawiającego celem oceny prawidłowości wykonanych Dokumentów Wykonawcy i robót budowlanych zgodnie z Kontraktem.</w:t>
      </w:r>
    </w:p>
    <w:p w14:paraId="44EE3935"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Kontrakt</w:t>
      </w:r>
      <w:r>
        <w:rPr>
          <w:rFonts w:ascii="Arial" w:hAnsi="Arial" w:cs="Arial"/>
          <w:spacing w:val="-3"/>
          <w:sz w:val="18"/>
          <w:szCs w:val="18"/>
        </w:rPr>
        <w:t xml:space="preserve"> – Akt Umowy, List Akceptujący, Oferta, Warunki Kontraktu (Ogólne i Szczególne), Specyfikacja (STWiORB), Rysunki, Wykazy oraz takie dalsze dokumenty (jeśli są), jakie wyliczono w Akcie Umowy lub w Liście Akceptującym.</w:t>
      </w:r>
    </w:p>
    <w:p w14:paraId="021575E8" w14:textId="77777777" w:rsidR="003F49C8" w:rsidRDefault="008C222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lastRenderedPageBreak/>
        <w:t>Laboratorium</w:t>
      </w:r>
      <w:r>
        <w:rPr>
          <w:rFonts w:ascii="Arial" w:hAnsi="Arial" w:cs="Arial"/>
          <w:spacing w:val="-3"/>
          <w:sz w:val="18"/>
          <w:szCs w:val="18"/>
        </w:rPr>
        <w:t xml:space="preserve"> – drogowe lub inne laboratorium badawcze, zaakceptowane przez Zamawiającego, niezbędne do przeprowadzenia wszelkich badań i prób związanych z oceną jakości materiałów oraz Robót.</w:t>
      </w:r>
    </w:p>
    <w:p w14:paraId="0C58FBFB"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Plac Budowy </w:t>
      </w:r>
      <w:r>
        <w:rPr>
          <w:rFonts w:ascii="Arial" w:hAnsi="Arial" w:cs="Arial"/>
          <w:spacing w:val="-3"/>
          <w:sz w:val="18"/>
          <w:szCs w:val="18"/>
        </w:rPr>
        <w:t>– teren udostępniony przez Zamawiającego dla wykonania na nim Robót oraz inne miejsca wymienione w Umowie jako tworzące część Placu Budowy</w:t>
      </w:r>
    </w:p>
    <w:p w14:paraId="4CC79697" w14:textId="77777777" w:rsidR="003F49C8" w:rsidRDefault="008C2229">
      <w:pPr>
        <w:pStyle w:val="Default"/>
        <w:jc w:val="both"/>
        <w:rPr>
          <w:rFonts w:ascii="Arial" w:hAnsi="Arial" w:cs="Arial"/>
          <w:spacing w:val="-3"/>
          <w:sz w:val="18"/>
          <w:szCs w:val="18"/>
        </w:rPr>
      </w:pPr>
      <w:r>
        <w:rPr>
          <w:rFonts w:ascii="Arial" w:hAnsi="Arial" w:cs="Arial"/>
          <w:b/>
          <w:spacing w:val="-3"/>
          <w:sz w:val="18"/>
          <w:szCs w:val="18"/>
        </w:rPr>
        <w:t>Przedsięwzięcie budowlane zamiennie zwane „Zadaniem”</w:t>
      </w:r>
      <w:r>
        <w:rPr>
          <w:rFonts w:ascii="Arial" w:hAnsi="Arial" w:cs="Arial"/>
          <w:spacing w:val="-3"/>
          <w:sz w:val="18"/>
          <w:szCs w:val="18"/>
        </w:rPr>
        <w:t xml:space="preserve"> – zaprojektowanie i kompleksowa realizacja nowego połączenia drogowego lub całkowita modernizacja/przebudowa (zmiana parametrów geometrycznych trasy w planie i przekroju podłużnym) istniejącego połączenia.</w:t>
      </w:r>
    </w:p>
    <w:p w14:paraId="1FE8F77D"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 xml:space="preserve">Zaakceptowana Kwota Kontraktowa netto – </w:t>
      </w:r>
      <w:r>
        <w:rPr>
          <w:rFonts w:ascii="Arial" w:hAnsi="Arial" w:cs="Arial"/>
          <w:spacing w:val="-3"/>
          <w:sz w:val="18"/>
          <w:szCs w:val="18"/>
        </w:rPr>
        <w:t>zgodnie z postanowieniami Szczególnych Warunków Kontraktu</w:t>
      </w:r>
    </w:p>
    <w:p w14:paraId="476B3C65" w14:textId="77777777" w:rsidR="003F49C8" w:rsidRDefault="008C2229">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b/>
          <w:spacing w:val="-3"/>
          <w:sz w:val="18"/>
          <w:szCs w:val="18"/>
        </w:rPr>
        <w:t>Zaakceptowana Kwota Kontraktowa brutto</w:t>
      </w:r>
      <w:r>
        <w:rPr>
          <w:rFonts w:ascii="Arial" w:hAnsi="Arial" w:cs="Arial"/>
          <w:spacing w:val="-3"/>
          <w:sz w:val="18"/>
          <w:szCs w:val="18"/>
        </w:rPr>
        <w:t xml:space="preserve"> </w:t>
      </w:r>
      <w:r>
        <w:rPr>
          <w:rFonts w:ascii="Arial" w:hAnsi="Arial" w:cs="Arial"/>
          <w:b/>
          <w:spacing w:val="-3"/>
          <w:sz w:val="18"/>
          <w:szCs w:val="18"/>
        </w:rPr>
        <w:t xml:space="preserve">– </w:t>
      </w:r>
      <w:r>
        <w:rPr>
          <w:rFonts w:ascii="Arial" w:hAnsi="Arial" w:cs="Arial"/>
          <w:spacing w:val="-3"/>
          <w:sz w:val="18"/>
          <w:szCs w:val="18"/>
        </w:rPr>
        <w:t>zgodnie z postanowieniami Szczególnych Warunków Kontraktu</w:t>
      </w:r>
    </w:p>
    <w:p w14:paraId="77F8BB31" w14:textId="77777777" w:rsidR="003F49C8" w:rsidRDefault="003F49C8">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spacing w:val="-3"/>
          <w:sz w:val="18"/>
          <w:szCs w:val="18"/>
          <w:u w:val="single"/>
        </w:rPr>
      </w:pPr>
    </w:p>
    <w:p w14:paraId="1C32321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 Ogólne wymagania dotyczące Robót</w:t>
      </w:r>
    </w:p>
    <w:p w14:paraId="4CB8C71E" w14:textId="77777777" w:rsidR="003F49C8" w:rsidRDefault="008C2229">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jakość wykonanych Robót, bezpieczeństwo wszelkich czynności na Placu Budowy, metody użyte przy budowie oraz za ich zgodność z Dokumentacją Projektową,  STWiORB oraz poleceniami Inspektora Nadzoru.</w:t>
      </w:r>
    </w:p>
    <w:p w14:paraId="67BBA22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spełnienia przez Wykonawcę niżej określonych przedsięwzięć, jak również wszelkich przedsięwzięć niezbędnych do prawidłowej realizacji Kontraktu, nie podlegają odrębnej zapłacie i przyjmuje się, że są włączone w Cenę Oferty (Zaakceptowaną Kwotę Kontraktową).</w:t>
      </w:r>
    </w:p>
    <w:p w14:paraId="2448FE0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we własnym zakresie, w ramach Ceny Oferty, opracuje wszelką dokumentację projektową niezbędną do realizacji robót budowlanych, uzyska wszystkie wymagane decyzje administracyjne dla wszystkich robót tymczasowych oraz dla robót stałych oraz uzyska akceptację Inspektora Nadzoru  i innych odnośnych władz. W przypadku stwierdzenia w obrębie planowanej inwestycji (w szczególności w obrębie przeznaczonych do usunięcia zadrzewień przydrożnych)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(tekst jedn. Dz.U. z 2016 r. poz. 2134 z późn. zm.) oraz uzyskać niezbędne zgody (decyzje derogacyjne) zezwalające na odstępstwa od zakazów obowiązujących w stosunku do gatunków chronionych. Sporządzone wnioski o uzyskanie decyzji derogacyjnych należy uzgodnić z Zamawiającym</w:t>
      </w:r>
    </w:p>
    <w:p w14:paraId="1F46F591"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047820A" w14:textId="77777777" w:rsidR="003F49C8" w:rsidRDefault="008C2229">
      <w:pPr>
        <w:spacing w:after="60"/>
        <w:jc w:val="both"/>
        <w:rPr>
          <w:rFonts w:ascii="Arial" w:hAnsi="Arial" w:cs="Arial"/>
          <w:b/>
          <w:spacing w:val="-3"/>
          <w:sz w:val="18"/>
          <w:szCs w:val="18"/>
        </w:rPr>
      </w:pPr>
      <w:r>
        <w:rPr>
          <w:rFonts w:ascii="Arial" w:hAnsi="Arial" w:cs="Arial"/>
          <w:b/>
          <w:spacing w:val="-3"/>
          <w:sz w:val="18"/>
          <w:szCs w:val="18"/>
        </w:rPr>
        <w:t>1.5.1. Przekazanie Placu Budowy</w:t>
      </w:r>
    </w:p>
    <w:p w14:paraId="52545C4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Zamawiający w terminie określonym w dokumencie Dane Kontraktowe przekaże Wykonawcy Plac Budowy wraz ze wszystkimi wymaganymi, uzgodnieniami prawnymi i administracyjnymi. Wykonawca uzyska dodatkowe zezwolenia, wymagane w Rzeczpospolitej Polskiej, od właściwych władz na swój koszt (takie zezwolenia mogą dotyczyć pozwoleń na tymczasową zmianę organizacji ruchu, pozwolenia na zajęcie pasa drogowego, pozwolenie na umieszczenie urządzeń w pasie drogowym, zakwaterowanie, itp.).</w:t>
      </w:r>
    </w:p>
    <w:p w14:paraId="0963D9F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Wykonawcy spoczywa odpowiedzialność za ochronę znaków geodezyjnych, w tym granicznych i punktów osnowy geodezyjnej do chwili odbioru końcowego Robót. Uszkodzone lub zniszczone znaki geodezyjne Wykonawca odtworzy lub wznowi i utrwali na własny koszt.</w:t>
      </w:r>
    </w:p>
    <w:p w14:paraId="56ACE0D8"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przeniesie na własny koszt punkty wysokościowe osnowy geodezyjnej znajdujące się w projektowanym pasie drogowym, kolidujące z zakresem Robót budowlanych. Przeniesienie punktów wysokościowych osnowy geodezyjnej należy uzgodnić z odpowiednimi instytucjami geodezyjnymi.</w:t>
      </w:r>
    </w:p>
    <w:p w14:paraId="413AA6B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utrzymania obszaru objętego inwestycją do otrzymania ostatniego Świadectwa Przejęcia Robót. </w:t>
      </w:r>
    </w:p>
    <w:p w14:paraId="0219C78B" w14:textId="77777777" w:rsidR="003F49C8" w:rsidRDefault="003F49C8">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208E0E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1.5.2. Zabezpieczenie Placu Budowy i utrzymanie tymczasowej organizacji ruchu podczas budowy</w:t>
      </w:r>
    </w:p>
    <w:p w14:paraId="19A91414"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zabezpieczenia obszaru objętego inwestycją w okresie realizacji Robót aż do ich zakończenia i uzyskania ostatniego Świadectwa Przejęcia Robót.</w:t>
      </w:r>
    </w:p>
    <w:p w14:paraId="06740E0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utrzymania ruchu publicznego oraz utrzymania istniejących obiektów (jezdnie, obiekty mostowe, ścieżki rowerowe, ciągi piesze, znaki drogowe, bariery ochronne, urządzenia odwodnienia, zieleń, pozostałe elementy wyposażenia drogi itp.) na obszarze objętym inwestycją wraz z zimowym utrzymaniem w danym dla drogi standardzie oraz pracami interwencyjnymi, w okresie od przejęcia Placu Budowy aż do zakończenia Robót i uzyskania od Inspektora Nadzoru ostatniego Świadectwa Przejęcia Robót. Wymaga się, aby na odcinkach drogi dopuszczonych do ruchu Wykonawca nie pozostawiał na nawierzchni jezdni i poboczy uskoków poprzecznych lub podłużnych, mogących stanowić zagrożenie warunków bezpieczeństwa ruchu drogowego lub utrudniać prowadzenie robót utrzymaniowych.</w:t>
      </w:r>
    </w:p>
    <w:p w14:paraId="2D4BA07A"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 utrzymanie ruchu publicznego uważa się wykonanie Robót utrzymaniowych i remontów bieżących niezbędnych do utrzymania Terenu Budowy w odpowiednim standardzie technicznym (w tym również standardzie zimowego utrzymania), założonym dla tej drogi, w zakres usług wchodzi:</w:t>
      </w:r>
    </w:p>
    <w:p w14:paraId="4958320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remont nawierzchni;</w:t>
      </w:r>
    </w:p>
    <w:p w14:paraId="5784EC5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oczyszczanie nawierzchni;</w:t>
      </w:r>
    </w:p>
    <w:p w14:paraId="216CD593"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sprzątanie pasów drogowych</w:t>
      </w:r>
    </w:p>
    <w:p w14:paraId="674A32C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poboczy;</w:t>
      </w:r>
    </w:p>
    <w:p w14:paraId="248BF0D7"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rowów;</w:t>
      </w:r>
    </w:p>
    <w:p w14:paraId="27A3201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przepustów;</w:t>
      </w:r>
    </w:p>
    <w:p w14:paraId="38126D0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obiektów mostowych;</w:t>
      </w:r>
    </w:p>
    <w:p w14:paraId="35EE074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oznakowania (wszystkie znaki pionowe i poziome) oraz ich bieżące uzupełnienie (w przypadku zniszczeń, kradzieży itp.);</w:t>
      </w:r>
    </w:p>
    <w:p w14:paraId="079AF9AE"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bariery drogowe (wszystkie typy);</w:t>
      </w:r>
    </w:p>
    <w:p w14:paraId="5F69407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sygnalizacja świetlna;</w:t>
      </w:r>
    </w:p>
    <w:p w14:paraId="63DB9855"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oświetlenie drogowe;</w:t>
      </w:r>
    </w:p>
    <w:p w14:paraId="7A6FD30F"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koszenie poboczy całego pasa drogowego;</w:t>
      </w:r>
    </w:p>
    <w:p w14:paraId="2F00F30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lastRenderedPageBreak/>
        <w:t>utrzymanie zieleni przydrożnej – m.in. trawniki, drzewa i krzewy i inne obszary zielone;</w:t>
      </w:r>
    </w:p>
    <w:p w14:paraId="5277B100"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parkingów z wyposażeniem;</w:t>
      </w:r>
    </w:p>
    <w:p w14:paraId="54CE30F4"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usuwanie martwej zwierzyny i oddawanie do utylizacji;</w:t>
      </w:r>
    </w:p>
    <w:p w14:paraId="0538E652"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utrzymanie odwodnienia;</w:t>
      </w:r>
    </w:p>
    <w:p w14:paraId="72E89DEB"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likwidacja skutków zdarzeń na drogach i zagrożeń, współpraca ze Strażą Pożarną oraz Policją;</w:t>
      </w:r>
    </w:p>
    <w:p w14:paraId="60FF412C"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oznakowywanie i zabezpieczanie miejsc stwarzających zagrożenie dla użytkowników dróg;</w:t>
      </w:r>
    </w:p>
    <w:p w14:paraId="3B74181D" w14:textId="77777777" w:rsidR="003F49C8" w:rsidRDefault="008C2229">
      <w:pPr>
        <w:pStyle w:val="Akapitzlist"/>
        <w:numPr>
          <w:ilvl w:val="0"/>
          <w:numId w:val="16"/>
        </w:numPr>
        <w:tabs>
          <w:tab w:val="left" w:pos="-1725"/>
          <w:tab w:val="left" w:pos="-1005"/>
          <w:tab w:val="left" w:pos="-285"/>
          <w:tab w:val="left" w:pos="284"/>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zimowe utrzymanie dróg i chodników - powyższe obejmuje odśnieżanie i zwalczanie śliskości na drogach i chodnikach; </w:t>
      </w:r>
    </w:p>
    <w:p w14:paraId="6FCDF649"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miejscach przylegających do dróg otwartych dla ruchu, Wykonawca, w sposób uzgodniony z Inspektorem Nadzoru, ogrodzi lub wyraźnie oznakuje Plac Budowy, a w szczególności wjazdy i wyjazdy z Placu Budowy przeznaczone dla pojazdów i maszyn pracujących przy realizacji Robót.</w:t>
      </w:r>
    </w:p>
    <w:p w14:paraId="4B6E41F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prowadzenia robót przed wjazdami/wyjazdami z Placu Budowy na drogi publiczne Wykonawca zobowiązany jest do zorganizowania stanowisk do czyszczenia opon samochodowych, które skutecznie wyeliminują nanoszenie na nawierzchnię jezdni ziemi , bądź innych materiałów przyklejonych do opon. (np. czyszczenie opon strumieniem wody bądź sprężonym powietrzem).</w:t>
      </w:r>
    </w:p>
    <w:p w14:paraId="5FE636F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6"/>
          <w:sz w:val="18"/>
          <w:szCs w:val="18"/>
        </w:rPr>
      </w:pPr>
      <w:r>
        <w:rPr>
          <w:rFonts w:ascii="Arial" w:hAnsi="Arial" w:cs="Arial"/>
          <w:spacing w:val="-6"/>
          <w:sz w:val="18"/>
          <w:szCs w:val="18"/>
        </w:rPr>
        <w:t>Przed przystąpieniem do Robót Wykonawca przedstawi Inspektorowi Nadzoru do zatwierdzenia, uzgodniony z odpowiednim zarządem drogi i organem zarządzającym ruchem, projekt organizacji ruchu i zabezpie</w:t>
      </w:r>
      <w:r>
        <w:rPr>
          <w:rFonts w:ascii="Arial" w:hAnsi="Arial" w:cs="Arial"/>
          <w:spacing w:val="-6"/>
          <w:sz w:val="18"/>
          <w:szCs w:val="18"/>
        </w:rPr>
        <w:softHyphen/>
        <w:t>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1DD67F97"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czasie wykonywania Robót Wykonawca dostarczy, zainstaluje, będzie utrzymywać i obsługiwać wszystkie tymczasowe urządzenia zabezpieczające, takie jak: ogrodzenia, poręcze,</w:t>
      </w:r>
      <w:r>
        <w:rPr>
          <w:rFonts w:ascii="Arial" w:hAnsi="Arial" w:cs="Arial"/>
          <w:i/>
          <w:spacing w:val="-3"/>
          <w:sz w:val="18"/>
          <w:szCs w:val="18"/>
        </w:rPr>
        <w:t xml:space="preserve"> </w:t>
      </w:r>
      <w:r>
        <w:rPr>
          <w:rFonts w:ascii="Arial" w:hAnsi="Arial" w:cs="Arial"/>
          <w:spacing w:val="-3"/>
          <w:sz w:val="18"/>
          <w:szCs w:val="18"/>
        </w:rPr>
        <w:t>zapory, oświetlenie, światła ostrzegawcze, sygnały i znaki ostrzegawcze oraz wszelkie inne środki niezbędne do ochrony Robót, wygody społeczności itp., zapewniając w ten sposób bezpieczeństwo pojazdów i pieszych.</w:t>
      </w:r>
    </w:p>
    <w:p w14:paraId="48E974A2"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znaki, zapory i inne urządzenia zabezpieczające podlegają akceptacji przez Inspektora Nadzoru.</w:t>
      </w:r>
    </w:p>
    <w:p w14:paraId="3F2C4E35"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stałe warunki widoczności w dzień i w nocy tych zapór i znaków, dla których jest to nieodzowne ze względów bezpieczeństwa.</w:t>
      </w:r>
    </w:p>
    <w:p w14:paraId="21C11B8D"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Fakt przystąpienia do Robót Wykonawca obwieści publicznie przed ich rozpoczęciem, w sposób uzgodniony z Inspektorem Nadzoru oraz przez umieszczenie, w miejscach i w odpowiednich ilościach określonych przez Inspektora Nadzoru, tablic informacyjnych, których treść będzie zatwierdzona przez Inspektora Nadzoru. Tablice informacyjne będą utrzymywane przez Wykonawcę w dobrym stanie przez cały okres realizacji Robót.</w:t>
      </w:r>
    </w:p>
    <w:p w14:paraId="084AB0F7" w14:textId="77777777" w:rsidR="003F49C8" w:rsidRDefault="008C2229">
      <w:pPr>
        <w:ind w:firstLine="567"/>
        <w:jc w:val="both"/>
        <w:rPr>
          <w:rFonts w:ascii="Arial" w:hAnsi="Arial" w:cs="Arial"/>
          <w:sz w:val="18"/>
          <w:szCs w:val="18"/>
        </w:rPr>
      </w:pPr>
      <w:r>
        <w:rPr>
          <w:rFonts w:ascii="Arial" w:hAnsi="Arial" w:cs="Arial"/>
          <w:sz w:val="18"/>
          <w:szCs w:val="18"/>
        </w:rPr>
        <w:t>Wykonawca winien wykonać i zainstalować tablice informacyjne wg wzorów unijnych i tablice opisane w Prawie Budowlanym, ukazujące informacje dotyczące  budowy, w ilości i miejscach odpowiednich do zakresu i lokalizacji Robót.</w:t>
      </w:r>
    </w:p>
    <w:p w14:paraId="3473A4CF" w14:textId="77777777" w:rsidR="003F49C8" w:rsidRDefault="008C2229">
      <w:pPr>
        <w:ind w:firstLine="567"/>
        <w:jc w:val="both"/>
        <w:rPr>
          <w:rFonts w:ascii="Arial" w:hAnsi="Arial" w:cs="Arial"/>
          <w:sz w:val="18"/>
          <w:szCs w:val="18"/>
        </w:rPr>
      </w:pPr>
      <w:r>
        <w:rPr>
          <w:rFonts w:ascii="Arial" w:hAnsi="Arial" w:cs="Arial"/>
          <w:sz w:val="18"/>
          <w:szCs w:val="18"/>
        </w:rPr>
        <w:t>Wykonawca przedstawi Inspektorowi Nadzoru do akceptacji projekt, rozmiary, ilość i lokalizację tych tablic.</w:t>
      </w:r>
    </w:p>
    <w:p w14:paraId="53867210" w14:textId="77777777" w:rsidR="003F49C8" w:rsidRDefault="008C2229">
      <w:pPr>
        <w:ind w:firstLine="567"/>
        <w:jc w:val="both"/>
        <w:rPr>
          <w:rFonts w:ascii="Arial" w:hAnsi="Arial" w:cs="Arial"/>
          <w:sz w:val="18"/>
          <w:szCs w:val="18"/>
        </w:rPr>
      </w:pPr>
      <w:r>
        <w:rPr>
          <w:rFonts w:ascii="Arial" w:hAnsi="Arial" w:cs="Arial"/>
          <w:sz w:val="18"/>
          <w:szCs w:val="18"/>
        </w:rPr>
        <w:t>Takie tablice informacyjne będą utrzymywane w dobrym stanie technicznym przez cały czas trwania Robót.</w:t>
      </w:r>
    </w:p>
    <w:p w14:paraId="67D2B9FC" w14:textId="77777777" w:rsidR="003F49C8" w:rsidRDefault="008C2229">
      <w:pPr>
        <w:ind w:firstLine="567"/>
        <w:jc w:val="both"/>
        <w:rPr>
          <w:rFonts w:ascii="Arial" w:hAnsi="Arial" w:cs="Arial"/>
          <w:sz w:val="18"/>
          <w:szCs w:val="18"/>
        </w:rPr>
      </w:pPr>
      <w:r>
        <w:rPr>
          <w:rFonts w:ascii="Arial" w:hAnsi="Arial" w:cs="Arial"/>
          <w:sz w:val="18"/>
          <w:szCs w:val="18"/>
        </w:rPr>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1A35E12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Objazdy, przejazdy i organizacja ruchu (wybudowanie, utrzymanie, likwidacja) wliczone są w Cenę Oferty i nie podlegają odrębnej zapłacie.</w:t>
      </w:r>
    </w:p>
    <w:p w14:paraId="200B382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Wybudowanie objazdów/przejazdów i organizacji ruchu obejmuje:</w:t>
      </w:r>
    </w:p>
    <w:p w14:paraId="6976501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opracowanie oraz uzgodnienie z Inspektorem Nadzoru i odpowiednimi instytucjami i zatwierdzenie w organie zarządzającym ruchem projektu organizacji ruchu na czas trwania budowy, wraz z dostarczeniem kopii projektu Inspektorowi Nadzoru oraz zainteresowanym zarządcom dróg i wprowadzaniem dalszych zmian i uzgodnień wynikających z postępu robót,</w:t>
      </w:r>
    </w:p>
    <w:p w14:paraId="7AEA677A"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zakup, dostarczenie i składowanie potrzebnych materiałów,</w:t>
      </w:r>
    </w:p>
    <w:p w14:paraId="0D90A238"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 zapewnienia niezbędnych czynników produkcji</w:t>
      </w:r>
    </w:p>
    <w:p w14:paraId="00ABEB3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zaprojektowanie i wybudowanie niezbędnych objazdów i dróg dojazdowych,</w:t>
      </w:r>
    </w:p>
    <w:p w14:paraId="5E6BE257"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ustawienie tymczasowego oznakowania i oświetlenia zgodnie z wymaganiami bezpieczeństwa ruchu,</w:t>
      </w:r>
    </w:p>
    <w:p w14:paraId="6BD70E6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opłaty/dzierżawy terenu,</w:t>
      </w:r>
    </w:p>
    <w:p w14:paraId="344F7E53"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przygotowanie terenu,</w:t>
      </w:r>
    </w:p>
    <w:p w14:paraId="68ADFCF5"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konstrukcję tymczasowej nawierzchni, ramp, chodników, krawężników, barier, oznakowań i drenażu,</w:t>
      </w:r>
    </w:p>
    <w:p w14:paraId="75CE35CB"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tymczasową przebudowę urządzeń obcych, jeśli taka będzie wymagana dla wdrożenia organizacji ruchu.</w:t>
      </w:r>
    </w:p>
    <w:p w14:paraId="02F2911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 xml:space="preserve">inne składniki cenowe podane w STWiORB D-M.00.00.00 pkt. 9.1 </w:t>
      </w:r>
    </w:p>
    <w:p w14:paraId="2EB46822"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z w:val="18"/>
          <w:szCs w:val="18"/>
        </w:rPr>
      </w:pPr>
      <w:r>
        <w:rPr>
          <w:rFonts w:ascii="Arial" w:hAnsi="Arial" w:cs="Arial"/>
          <w:spacing w:val="-3"/>
          <w:sz w:val="18"/>
          <w:szCs w:val="18"/>
        </w:rPr>
        <w:t>Utrzymanie objazdów/przejazdów i organizacji ruchu obejmuje:</w:t>
      </w:r>
    </w:p>
    <w:p w14:paraId="5A0BBF36"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oczyszczanie, przestawienie, przykrycie i usunięcie tymczasowych oznakowań pionowych, poziomych, barier i świateł w ilościach wynikających z bieżących potrzeb zachowania wymaganego standardu oznakowania i warunków bezpieczeństwa ruchu drogowego,</w:t>
      </w:r>
    </w:p>
    <w:p w14:paraId="0FB369D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utrzymanie płynności ruchu publicznego,</w:t>
      </w:r>
    </w:p>
    <w:p w14:paraId="70EF1951" w14:textId="77777777" w:rsidR="003F49C8" w:rsidRDefault="008C2229">
      <w:pPr>
        <w:pStyle w:val="Akapitzlist"/>
        <w:numPr>
          <w:ilvl w:val="0"/>
          <w:numId w:val="19"/>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Likwidacji objazdów/przejazdów i organizacji ruchu obejmuje:</w:t>
      </w:r>
    </w:p>
    <w:p w14:paraId="1FAB209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usunięcie wbudowanych materiałów i oznakowania,</w:t>
      </w:r>
    </w:p>
    <w:p w14:paraId="030D93D4"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demontaż objazdów i dróg dojazdowych po zakończeniu robót,</w:t>
      </w:r>
    </w:p>
    <w:p w14:paraId="3AECD920"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koszty związane z naprawą/remontem dróg objazdowych,</w:t>
      </w:r>
    </w:p>
    <w:p w14:paraId="2B526171" w14:textId="77777777" w:rsidR="003F49C8" w:rsidRDefault="008C2229">
      <w:pPr>
        <w:pStyle w:val="tekstost"/>
        <w:numPr>
          <w:ilvl w:val="0"/>
          <w:numId w:val="19"/>
        </w:numPr>
        <w:ind w:left="284" w:hanging="284"/>
        <w:rPr>
          <w:rFonts w:ascii="Arial" w:hAnsi="Arial" w:cs="Arial"/>
          <w:sz w:val="18"/>
          <w:szCs w:val="18"/>
        </w:rPr>
      </w:pPr>
      <w:r>
        <w:rPr>
          <w:rFonts w:ascii="Arial" w:hAnsi="Arial" w:cs="Arial"/>
          <w:sz w:val="18"/>
          <w:szCs w:val="18"/>
        </w:rPr>
        <w:t>doprowadzenie terenu do stanu pierwotnego w tym przywrócenie oznakowania zgodnego z uprzednią stałą organizacją ruchu, zgodnie z wymaganymi standardami.</w:t>
      </w:r>
    </w:p>
    <w:p w14:paraId="1270FB1A" w14:textId="77777777" w:rsidR="003F49C8" w:rsidRDefault="003F49C8">
      <w:pPr>
        <w:pStyle w:val="tekstost"/>
        <w:rPr>
          <w:rFonts w:ascii="Arial" w:hAnsi="Arial" w:cs="Arial"/>
          <w:sz w:val="18"/>
          <w:szCs w:val="18"/>
        </w:rPr>
      </w:pPr>
    </w:p>
    <w:p w14:paraId="135DE020"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1.5.3. Zabezpieczenie urządzeń łączności, kierowania ruchem i oświetlenia na istniejących drogach</w:t>
      </w:r>
    </w:p>
    <w:p w14:paraId="136BF0A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W przypadku wykonywania robót na istniejącej drodze Wykonawca podejmie wszelkie środki wymagane przez zarządcę drogi w celu określenia lokalizacji i zabezpieczenia urządzeń łączności, kierowania ruchem i oświetlenia.</w:t>
      </w:r>
    </w:p>
    <w:p w14:paraId="2EFB5BD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urządzenia znajdują się w obszarze oddziaływania Robót, Wykonawca zapewni urządzenia zastępcze zgodne z opisem w Kontrakcie, które powinny być gotowe do uruchomienia przed wyłączeniem istniejących urządzeń.</w:t>
      </w:r>
    </w:p>
    <w:p w14:paraId="7BFFB4B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połączenia lub rozłączenia w istniejącym urządzeniu mogą być wykonywane jedynie przez zarządcę drogi lub pod jego nadzorem.</w:t>
      </w:r>
    </w:p>
    <w:p w14:paraId="1BC4368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kontaktowania się z zarządcą drogi za pośrednictwem Inspektora Nadzoru.</w:t>
      </w:r>
    </w:p>
    <w:p w14:paraId="516DC56B"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B3B7FEC" w14:textId="77777777" w:rsidR="003F49C8" w:rsidRDefault="008C222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1.5.4. Ochrona środowiska w czasie wykonywania Robót</w:t>
      </w:r>
    </w:p>
    <w:p w14:paraId="34A769B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ma obowiązek zapoznać się przed rozpoczęciem Robót oraz stosować się w czasie ich prowadzenia do zapisów zawartych w decyzji o środowiskowych uwarunkowaniach oraz do wszystkich innych decyzji i przepisów dotyczących ochrony środowiska naturalnego.</w:t>
      </w:r>
    </w:p>
    <w:p w14:paraId="158F310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okresie trwania budowy i wykańczania Robót Wykonawca będzie:</w:t>
      </w:r>
    </w:p>
    <w:p w14:paraId="31589F1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utrzymywać Plac Budowy i wykopy w stanie bez wody stojącej,</w:t>
      </w:r>
    </w:p>
    <w:p w14:paraId="2FDB8B52"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podejmować wszelkie uzasadnione kroki mające na celu stosowanie się do przepisów i norm dotyczących ochrony środowiska na terenie i wokół Placu Budowy oraz będzie unikać uszkodzeń lub uciążliwości dla osób lub dóbr publicznych i innych, a wynikających z nadmiernego hałasu, wibracji, zanieczyszczenia lub innych przyczyn powstałych w następstwie jego sposobu działania,</w:t>
      </w:r>
    </w:p>
    <w:p w14:paraId="147CA674" w14:textId="77777777" w:rsidR="003F49C8" w:rsidRDefault="008C2229">
      <w:pPr>
        <w:numPr>
          <w:ilvl w:val="0"/>
          <w:numId w:val="17"/>
        </w:numPr>
        <w:tabs>
          <w:tab w:val="left" w:pos="-1725"/>
          <w:tab w:val="left" w:pos="-1005"/>
          <w:tab w:val="left" w:pos="-285"/>
          <w:tab w:val="left" w:pos="291"/>
          <w:tab w:val="left" w:pos="435"/>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przed rozpoczęciem robót rozbiórkowych powodujących powstawanie odpadów niebezpiecznych Wykonawca przygotuje procedurę zagospodarowania odpadów produkcyjnych zgodnie z Ustawą o odpadach (Dz. U. 2013 poz. 21 z późn. zm.) i uzyska uzgodnienie Inspektora Nadzoru.</w:t>
      </w:r>
    </w:p>
    <w:p w14:paraId="0D0A6591"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E732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Stosując się do tych wymagań, Wykonawca będzie miał szczególny wzgląd na:</w:t>
      </w:r>
    </w:p>
    <w:p w14:paraId="5A912B1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lokalizację zaplecza budowy, baz produkcyjnych, warsztatów, magazynów, składowisk, ukopów i dróg dojazdowych poza obszarami włączonymi do Europejskiej Sieci Ekologicznej Natura 2000 oraz pozostałymi obszarami chronionymi na podstawie ustawy z dnia 16.04.2004 o ochronie przyrody, zapewniając oszczędne korzystanie z terenu oraz minimalne przekształcenie jego powierzchni oraz przywrócenie terenu do stanu pierwotnego po zakończeniu Robót,</w:t>
      </w:r>
    </w:p>
    <w:p w14:paraId="0E2EC2F6"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środki ostrożności i zabezpieczenia w szczególności przed:</w:t>
      </w:r>
    </w:p>
    <w:p w14:paraId="32FA144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powierzchni ziemi i wód gruntowych,</w:t>
      </w:r>
    </w:p>
    <w:p w14:paraId="3EE901D9"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zbiorników i cieków wodnych,</w:t>
      </w:r>
    </w:p>
    <w:p w14:paraId="0BF8A6B2"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zanieczyszczeniem powietrza,</w:t>
      </w:r>
    </w:p>
    <w:p w14:paraId="5D1FAB5E" w14:textId="77777777" w:rsidR="003F49C8" w:rsidRDefault="008C2229">
      <w:pPr>
        <w:numPr>
          <w:ilvl w:val="0"/>
          <w:numId w:val="27"/>
        </w:numPr>
        <w:tabs>
          <w:tab w:val="left" w:pos="-1725"/>
          <w:tab w:val="left" w:pos="-1005"/>
          <w:tab w:val="left" w:pos="-285"/>
          <w:tab w:val="left" w:pos="291"/>
          <w:tab w:val="left" w:pos="435"/>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 możliwością powstania pożaru,</w:t>
      </w:r>
    </w:p>
    <w:p w14:paraId="22FE118A" w14:textId="77777777" w:rsidR="003F49C8" w:rsidRDefault="008C2229">
      <w:pPr>
        <w:numPr>
          <w:ilvl w:val="0"/>
          <w:numId w:val="18"/>
        </w:numPr>
        <w:tabs>
          <w:tab w:val="left" w:pos="-1725"/>
          <w:tab w:val="left" w:pos="-1005"/>
          <w:tab w:val="left" w:pos="-285"/>
          <w:tab w:val="left" w:pos="142"/>
          <w:tab w:val="left" w:pos="291"/>
          <w:tab w:val="left" w:pos="435"/>
          <w:tab w:val="left" w:pos="567"/>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ochronę gatunkową roślin i zwierząt.</w:t>
      </w:r>
    </w:p>
    <w:p w14:paraId="07F38D30"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r>
        <w:rPr>
          <w:rFonts w:ascii="Arial" w:hAnsi="Arial" w:cs="Arial"/>
          <w:spacing w:val="-3"/>
          <w:sz w:val="18"/>
          <w:szCs w:val="18"/>
        </w:rPr>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prowadzenie prac odwodnieniowych poza okresem wegetacji.</w:t>
      </w:r>
    </w:p>
    <w:p w14:paraId="257C2ACE" w14:textId="77777777" w:rsidR="003F49C8" w:rsidRDefault="008C2229">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trike/>
          <w:spacing w:val="-3"/>
          <w:sz w:val="18"/>
          <w:szCs w:val="18"/>
        </w:rPr>
      </w:pPr>
      <w:r>
        <w:rPr>
          <w:rFonts w:ascii="Arial" w:hAnsi="Arial" w:cs="Arial"/>
          <w:spacing w:val="-3"/>
          <w:sz w:val="18"/>
          <w:szCs w:val="18"/>
        </w:rPr>
        <w:t xml:space="preserve">Wykonawca ze swojej strony zapewni spełnienie wszystkich wymagań związanych z ochroną środowiska, </w:t>
      </w:r>
    </w:p>
    <w:p w14:paraId="2782D570" w14:textId="77777777" w:rsidR="003F49C8" w:rsidRDefault="008C2229">
      <w:pPr>
        <w:pStyle w:val="Tekstpodstawowy"/>
        <w:ind w:firstLine="567"/>
        <w:rPr>
          <w:rFonts w:ascii="Arial" w:hAnsi="Arial" w:cs="Arial"/>
          <w:spacing w:val="-3"/>
          <w:sz w:val="18"/>
          <w:szCs w:val="18"/>
        </w:rPr>
      </w:pPr>
      <w:r>
        <w:rPr>
          <w:rFonts w:ascii="Arial" w:hAnsi="Arial" w:cs="Arial"/>
          <w:spacing w:val="-3"/>
          <w:sz w:val="18"/>
          <w:szCs w:val="18"/>
        </w:rPr>
        <w:t>Wszelkie „pułapki” (np. wloty do studzienek) należy starannie zabezpieczyć przed wpadaniem i uwięzieniem w nich płazów.</w:t>
      </w:r>
    </w:p>
    <w:p w14:paraId="6142F0CB"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Arial" w:hAnsi="Arial" w:cs="Arial"/>
          <w:spacing w:val="-3"/>
          <w:sz w:val="18"/>
          <w:szCs w:val="18"/>
        </w:rPr>
      </w:pPr>
    </w:p>
    <w:p w14:paraId="601C840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1.5.5. Ochrona przeciwpożarowa</w:t>
      </w:r>
    </w:p>
    <w:p w14:paraId="4102943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przepisów ochrony przeciwpożarowej.</w:t>
      </w:r>
    </w:p>
    <w:p w14:paraId="1AFC728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utrzymywać, wymagany na podstawie odpowiednich przepisów sprawny sprzęt przeciwpożarowy na terenie baz produkcyjnych, w pomieszczeniach biurowych, mieszkalnych, magazynach oraz w maszynach i pojazdach.</w:t>
      </w:r>
    </w:p>
    <w:p w14:paraId="61C32EA9"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łatwopalne będą składowane w sposób zgodny z odpowiednimi przepisami i zabezpieczone przed dostępem osób trzecich.</w:t>
      </w:r>
    </w:p>
    <w:p w14:paraId="17E2066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wszelkie straty spowodowane pożarem wywołanym jako rezultat realizacji Robót albo przez personel Wykonawcy.</w:t>
      </w:r>
    </w:p>
    <w:p w14:paraId="551B69D0" w14:textId="77777777" w:rsidR="003F49C8" w:rsidRDefault="003F49C8">
      <w:pPr>
        <w:pStyle w:val="Tekstpodstawowy"/>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rPr>
          <w:rFonts w:ascii="Arial" w:hAnsi="Arial" w:cs="Arial"/>
          <w:spacing w:val="-3"/>
          <w:sz w:val="18"/>
          <w:szCs w:val="18"/>
        </w:rPr>
      </w:pPr>
    </w:p>
    <w:p w14:paraId="17B74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1.5.6. Materiały szkodliwe dla otoczenia</w:t>
      </w:r>
    </w:p>
    <w:p w14:paraId="6C607AD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w sposób trwały są szkodliwe dla otoczenia, nie będą dopuszczone do użycia.</w:t>
      </w:r>
    </w:p>
    <w:p w14:paraId="4C5686B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Nie dopuszcza się użycia materiałów wywołujących szkodliwe promieniowanie o stężeniu większym od dopuszczalnego, określonego odpowiednimi przepisami.</w:t>
      </w:r>
    </w:p>
    <w:p w14:paraId="2E7BF6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Wszelkie materiały odpadowe użyte do Robót będą miały aprobatę techniczną lub stosowne zezwolenia wydane przez uprawnioną jednostkę, jednoznacznie określającą brak szkodliwego oddziaływania tych materiałów na środowisko (np.. destrukt zawierający substancje smołowe).</w:t>
      </w:r>
    </w:p>
    <w:p w14:paraId="64B301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24F224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konsekwencje użycia materiałów szkodliwych dla otoczenia.</w:t>
      </w:r>
    </w:p>
    <w:p w14:paraId="70E24C56"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49783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1.5.7. Promieniowanie jonizujące</w:t>
      </w:r>
    </w:p>
    <w:p w14:paraId="33AD8267"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Nuklearną aparaturę pomiarową lub inne źródła promieniowania jonizującego należy używać tylko w przypadkach dopuszczonych lub wymaganych przez Inspektora Nadzoru.</w:t>
      </w:r>
    </w:p>
    <w:p w14:paraId="227078B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poinformuje Inspektora Nadzoru o wybranym przez siebie doradcy ds. ochrony przed promieniowaniem i dostarczy Inspektorowi Nadzoru regulamin Wykonawcy w zakresie posługiwania się nuklearną aparaturą pomiarową lub innymi źródłami promieniowania jonizującego. Warunki stosowania tych urządzeń powinny być zgodne z odpowiedniki przepisami i normami.</w:t>
      </w:r>
    </w:p>
    <w:p w14:paraId="4FD2FEE2"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C89031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1.5.8. Ochrona własności publicznej i prywatnej</w:t>
      </w:r>
    </w:p>
    <w:p w14:paraId="5F492F4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nieruchomościom przylegającym do Placu Budowy dostęp do drogi publicznej przez cały okres trwania budowy (o ile wcześniej nieruchomości te posiadały taki dostęp).</w:t>
      </w:r>
    </w:p>
    <w:p w14:paraId="15A866A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ochronę instalacji i urządzeń napowietrznych, na powierzchni ziemi i podziemnych, takich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875F72A" w14:textId="77777777" w:rsidR="003F49C8" w:rsidRDefault="008C2229">
      <w:pPr>
        <w:pStyle w:val="Default"/>
        <w:ind w:firstLine="567"/>
        <w:jc w:val="both"/>
        <w:rPr>
          <w:rFonts w:ascii="Arial" w:hAnsi="Arial" w:cs="Arial"/>
          <w:sz w:val="18"/>
          <w:szCs w:val="18"/>
        </w:rPr>
      </w:pPr>
      <w:r>
        <w:rPr>
          <w:rFonts w:ascii="Arial" w:hAnsi="Arial" w:cs="Arial"/>
          <w:sz w:val="18"/>
          <w:szCs w:val="18"/>
        </w:rPr>
        <w:t>Nie dopuszcza się zamknięcia żadnych urządzeń bez pisemnej zgody właściciela. Przed zamknięciem jakichkolwiek urządzeń Wykonawca zapewni odpowiednią instalację zastępczą, o ile Kontrakt nie przewiduje inaczej.</w:t>
      </w:r>
    </w:p>
    <w:p w14:paraId="60980DCD" w14:textId="77777777" w:rsidR="003F49C8" w:rsidRDefault="008C2229">
      <w:pPr>
        <w:pStyle w:val="Default"/>
        <w:ind w:firstLine="567"/>
        <w:jc w:val="both"/>
        <w:rPr>
          <w:rFonts w:ascii="Arial" w:hAnsi="Arial" w:cs="Arial"/>
          <w:sz w:val="18"/>
          <w:szCs w:val="18"/>
        </w:rPr>
      </w:pPr>
      <w:r>
        <w:rPr>
          <w:rFonts w:ascii="Arial" w:hAnsi="Arial" w:cs="Arial"/>
          <w:sz w:val="18"/>
          <w:szCs w:val="18"/>
        </w:rPr>
        <w:t>W przypadku, gdy prywatne lub publiczne urządzenia znajdujące się w obszarze Robót powinny ulec modernizacji, usunięciu lub powiększeniu, Wykonawca zobowiązany będzie do uzgodnienia z właścicielami sposobu realizacji i etapowania Robót.</w:t>
      </w:r>
    </w:p>
    <w:p w14:paraId="445661F1"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umieścić w swoim harmonogramie rezerwę czasową dla wszelkiego rodzaju Robót, które mają być wykonane w zakresie przełożenia instalacji i urządzeń podziemnych na Placu Budowy i powiadomić Inspektora Nadzoru i władze lokalne o zamiarze rozpoczęcia Robót. O fakcie przypadkowego uszkodzenia tych instalacji Wykonawca bezzwłocznie powiadomi Inspektora Nadzoru,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w:t>
      </w:r>
    </w:p>
    <w:p w14:paraId="40F826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Wykonawca w wyniku swoich działań na Placu Budowy spowoduje nieplanowane wyłączenie linii elektroenergetycznych i spowoduje powstanie po gestora sieci obowiązku zwrotu ich kontrahentom kosztów spowodowanych przerwą w przesyle lub dostawie energii elektrycznej, Wykonawca pokryje udokumentowane koszty wyłączenia linii w pełnej wysokości, na pierwsze pisemne żądanie jednego z gestorów.</w:t>
      </w:r>
    </w:p>
    <w:p w14:paraId="0AF0A9AC"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DA9D16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Robót budowlanych Wykonawca wykona inwentaryzację stanu technicznego budynków i budowli, znajdujących się w sąsiedztwie prowadzonych robót, dokumentując stan techniczny tych obiektów. Nieodłączną częścią tej dokumentacji będą zdjęcia, skatalogowane w sposób niebudzący wątpliwości, co do momentu ich wykonania oraz obiektu, który dokumentują. Dokumentacja musi zawierać informację o zapoznaniu się z nią przez właściciela/zarządcy budynku lub budowli. </w:t>
      </w:r>
    </w:p>
    <w:p w14:paraId="06D30C7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pogorszenia stanu technicznego ww. obiektów budowlanych w trakcie wykonywania robót budowlanych Wykonawca podejmie działania w celu ich zabezpieczenia i doprowadzi do stanu pierwotnego. W przeciwnym wypadku Wykonawca zobowiązany jest do zaspokojenia wszelkich roszczeń wynikających z pogorszenia stanu technicznego obiektów.</w:t>
      </w:r>
    </w:p>
    <w:p w14:paraId="69915BCF"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dostęp do posesji przez cały okres trwania budowy.</w:t>
      </w:r>
    </w:p>
    <w:p w14:paraId="087C11B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Koszt utrzymania dostępu do nieruchomości (m. in.: pól) nie podlega odrębnej zapłacie i należy wliczyć go do Ceny Ofertowej. Przed rozpoczęciem robót budowlanych Wykonawca wykona również inwentaryzację, w tym dokumentację fotograficzną istniejących zjazdów z drogi na posesje. </w:t>
      </w:r>
    </w:p>
    <w:p w14:paraId="1AC009C0"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wykonywania robót na działkach znajdujących się poza pasem drogowym Wykonawca przeprowadzi inwentaryzację pierwotnego stanu działek przeznaczonych pod przebudowę infrastruktury technicznej (sieci uzbrojenia terenu) poza projektowanym pasem drogowym przed rozpoczęciem robót budowlanych, a następnie przekaże w formie tabelarycznej opis wraz z dokumentacją fotograficzną. Dokumentacja fotograficzna winna być przekazana dodatkowo na elektronicznym nośniku danych (płycie).</w:t>
      </w:r>
    </w:p>
    <w:p w14:paraId="5442B8AE"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przekaże następującą dokumentację:</w:t>
      </w:r>
    </w:p>
    <w:p w14:paraId="1EB3D251"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opis stanu pierwotnego działek (lub ich części) przeznaczonych pod przebudowę urządzeń infrastruktury technicznej (sieci uzbrojenia terenu) wraz z dokumentacją fotograficzną,</w:t>
      </w:r>
    </w:p>
    <w:p w14:paraId="73981E80"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informacje o przywróceniu nieruchomości do stanu pierwotnego bądź braku takiej możliwości wraz z podaniem przyczyny (np. wskutek umieszczenia nowego urządzenia infrastruktury technicznej) oraz opisania ilości i rodzaju wykonanych Robót wraz z dokumentacją fotograficzną, a także z potwierdzeniem czasu zajęcia przez Wykonawcę nieruchomości – informacja jest niezbędna w procesie ustalenia ewentualnego odszkodowania z tytułu zmniejszenia wartości nieruchomości,</w:t>
      </w:r>
    </w:p>
    <w:p w14:paraId="2DD713BB" w14:textId="77777777" w:rsidR="003F49C8" w:rsidRDefault="008C2229">
      <w:pPr>
        <w:numPr>
          <w:ilvl w:val="1"/>
          <w:numId w:val="1"/>
        </w:numPr>
        <w:tabs>
          <w:tab w:val="left" w:pos="-1725"/>
          <w:tab w:val="left" w:pos="-1005"/>
          <w:tab w:val="left" w:pos="-285"/>
          <w:tab w:val="left" w:pos="291"/>
          <w:tab w:val="left" w:pos="435"/>
          <w:tab w:val="left" w:pos="709"/>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pozyskane przez Wykonawcę oświadczenia właścicieli działek o braku roszczeń z tytułu zniszczeń w naniesieniach i nasadzeniach.</w:t>
      </w:r>
    </w:p>
    <w:p w14:paraId="2F1CB0E5"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odszkodowań z tytułu czasowego zajęcia oraz zniszczeń i szkód powstałych na skutek działań Wykonawcy na działkach poza projektowanym pasem drogowym.</w:t>
      </w:r>
    </w:p>
    <w:p w14:paraId="7ABB115D"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uzgodni z właścicielami terenu terminy i szczegółowy sposób realizacji Robót przy założeniu doprowadzenia terenu po Robotach do stanu pierwotnego.</w:t>
      </w:r>
    </w:p>
    <w:p w14:paraId="75960442"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Inspektor Nadzoru będzie na bieżąco informowany o wszystkich umowach zawartych pomiędzy Wykonawcą, Zamawiającym a właścicielami nieruchomości i dotyczących korzystania z własności i dróg wewnętrznych. Jednakże, ani </w:t>
      </w:r>
      <w:r>
        <w:rPr>
          <w:rFonts w:ascii="Arial" w:hAnsi="Arial" w:cs="Arial"/>
          <w:spacing w:val="-3"/>
          <w:sz w:val="18"/>
          <w:szCs w:val="18"/>
        </w:rPr>
        <w:lastRenderedPageBreak/>
        <w:t>Inspektor Nadzoru ani Zamawiający nie będzie ingerował w takie porozumienia, o ile nie będą one sprzeczne z postanowieniami zawartymi w Warunkach Kontraktu.</w:t>
      </w:r>
    </w:p>
    <w:p w14:paraId="172E5256"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Wykonawca jest zobowiązany do budowy ogrodzenia w sytuacji, gdy istniejące ogrodzenie podlega likwidacji, zaś właściciel nieruchomości zrzeknie się odszkodowania z tego tytułu. Przy budowie ogrodzenia dopuszczalne jest wykorzystanie elementów istniejącego ogrodzenia. Nowobudowane ogrodzenie winno być wybudowane przed likwidacją istniejącego ogrodzenia. Ogrodzenie tymczasowe winno być wybudowane na granicy działek powstałej wskutek podziału nieruchomości. </w:t>
      </w:r>
    </w:p>
    <w:p w14:paraId="6719788B"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dokonywania przez Wykonawcę rozbiórki istniejącego ogrodzenia, Wykonawca jest zobowiązany do wybudowania tymczasowego ogrodzenia w celu zabezpieczenia nieruchomości. Budowa ogrodzenia tymczasowego winna nastąpić najpóźniej z chwilą likwidacji istniejącego ogrodzenia. Ogrodzenie tymczasowe winno być wybudowane na granicy działek powstałej wskutek podziału nieruchomości. </w:t>
      </w:r>
    </w:p>
    <w:p w14:paraId="57325B64"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poinformować właścicieli o terminie likwidacji ogrodzenia.</w:t>
      </w:r>
    </w:p>
    <w:p w14:paraId="41E8DE93"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 i są uwzględnione w Cenie Oferty.</w:t>
      </w:r>
    </w:p>
    <w:p w14:paraId="1DAF7FAD" w14:textId="77777777" w:rsidR="003F49C8" w:rsidRDefault="003F49C8">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0C1D441" w14:textId="77777777" w:rsidR="003F49C8" w:rsidRDefault="008C2229">
      <w:pPr>
        <w:tabs>
          <w:tab w:val="left" w:pos="-1725"/>
          <w:tab w:val="left" w:pos="-1005"/>
          <w:tab w:val="left" w:pos="-285"/>
          <w:tab w:val="left" w:pos="291"/>
          <w:tab w:val="left" w:pos="435"/>
          <w:tab w:val="left" w:pos="723"/>
          <w:tab w:val="left" w:pos="867"/>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1.5.9. Ograniczenie obciążeń osi pojazdów</w:t>
      </w:r>
    </w:p>
    <w:p w14:paraId="56F8BB98" w14:textId="77777777" w:rsidR="003F49C8" w:rsidRDefault="008C222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stosować się do ustawowych ograniczeń nacisków osi na drogach publicznych przy transporcie materiałów i wyposażenia na i z Placu Budowy Wykonawca uzyska wszelkie niezbędne zezwolenia i uzgodnienia od właściwych władz co do przewozu nietypowych wagowo ładunków (ponadnormatywnych) i o każdym takim przewozie będzie powiadamiał Inspektora Nadzoru. Inspektor Nadzoru może polecić, aby pojazdy niespełniające tych warunków zostały usunięte z Placu Budowy. Pojazdy powodujące nadmierne obciążenie osiowe nie będą dopuszczone na świeżo ukończony fragment budowy w obrębie Placu Budowy i Wykonawca będzie odpowiadał za naprawę wszelkich Robót w ten sposób uszkodzonych, zgodnie z poleceniami Inspektora Nadzoru.</w:t>
      </w:r>
    </w:p>
    <w:p w14:paraId="1F41AB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rozpoczęciem robót budowlanych Wykonawca sporządzi dokumentację stanu technicznego istniejących dróg lokalnych, znajdujących się w najbliższym otoczeniu robót oraz w dalszej odległości, wykorzystywanych do transportu Wykonawcy. Dane inwentaryzacyjne zawarte w dokumentacji Wykonawca potwierdzi u zarządcy drogi za zgodne ze stanem faktycznym w danym dniu i zgłosi ten fakt do lokalnych władz samorządowych. Nieodłączną częścią tej dokumentacji będą zdjęcia na elektronicznym nośniku danych (płycie), skatalogowane w sposób niebudzący wątpliwości co do momentu ich wykonania oraz obiektu, który dokumentują.</w:t>
      </w:r>
    </w:p>
    <w:p w14:paraId="3556B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mógł transportować materiały i wyposażenie na i z Placu Budowy wyłącznie po drogach, których stan został zinwentaryzowany w ww. sposób i potwierdzony u zarządcy drogi.</w:t>
      </w:r>
    </w:p>
    <w:p w14:paraId="59F94BD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ewentualnych roszczeń odszkodowawczych za zniszczenie lub zanieczyszczenie dróg lub obiektów zlokalizowanych w pasie drogowym lub ich sąsiedztwie przez transport budowy Wykonawca jest zobowiązany do ich naprawy na własny koszt w uzgodnieniu z właścicielem drogi lub innym właścicielem uszkodzonego terenu lub obiektu.</w:t>
      </w:r>
    </w:p>
    <w:p w14:paraId="4BDFCDB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Uznaje się, że wszelkie koszty związane z wypełnieniem wymagań określonych powyżej nie podlegają odrębnej zapłacie i są uwzględnione w Cenie Oferty. </w:t>
      </w:r>
    </w:p>
    <w:p w14:paraId="63E32E4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D7278D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1.5.10. Bezpieczeństwo i higiena pracy</w:t>
      </w:r>
    </w:p>
    <w:p w14:paraId="4B9281E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Podczas realizacji Robót Wykonawca będzie przestrzegać przepisów dotyczących bezpieczeństwa i higieny pracy.</w:t>
      </w:r>
    </w:p>
    <w:p w14:paraId="4E8F7FA5"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szczególności Wykonawca ma obowiązek zadbać, aby personel nie wykonywał pracy w warunkach niebezpiecznych, szkodliwych dla zdrowia oraz niespełniających odpowiednich wymagań sanitarnych.</w:t>
      </w:r>
    </w:p>
    <w:p w14:paraId="7220C44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i będzie utrzymywał wszelkie urządzenia zabezpieczające, socjalne oraz sprzęt i odpowiednią odzież dla ochrony życia i zdrowia osób zatrudnionych na budowie oraz dla zapewnienia bezpieczeństwa publicznego.</w:t>
      </w:r>
    </w:p>
    <w:p w14:paraId="6E1651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terminie wynikającym z Warunków Kontraktu, Wykonawca opracuje i dostarczy Inspektorowi Nadzoru szczegółowy plan Bezpieczeństwa i Ochrony Zdrowia („BIOZ”) zgodnie z rozporządzeniem Ministra Infrastruktury z dnia 27 sierpnia 2002 (Dz. U. Nr 151 poz. 1256).</w:t>
      </w:r>
    </w:p>
    <w:p w14:paraId="69302C5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82331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93B220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1.5.11. Ochrona i utrzymanie Robót</w:t>
      </w:r>
    </w:p>
    <w:p w14:paraId="6C9621C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odpowiedzialny za ochronę Robót i za wszelkie materiały i urządzenia używane do Robót od daty Rozpoczęcia do daty wskazanej w Świadectwie Przejęcia. W sytuacji robót zaległych wskazanych w Świadectwie Przejęcia Wykonawca będzie za ten wskazany zakres odpowiedzialny zgodnie z powyższym w terminie aż do ich wykonania potwierdzonego przez Inspektora Nadzoru i Zamawiającego.</w:t>
      </w:r>
    </w:p>
    <w:p w14:paraId="569A3C5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utrzymywać Roboty do czasu wydania ostatniego Świadectwa Przejęcia. Utrzymanie powinno być prowadzone w taki sposób, aby budowla drogowa lub jej elementy były w zadowalającym stanie przez cały czas, do momentu odbioru </w:t>
      </w:r>
      <w:r>
        <w:rPr>
          <w:rFonts w:ascii="Arial" w:hAnsi="Arial" w:cs="Arial"/>
          <w:sz w:val="18"/>
          <w:szCs w:val="18"/>
        </w:rPr>
        <w:t>końcowego</w:t>
      </w:r>
      <w:r>
        <w:rPr>
          <w:rFonts w:ascii="Arial" w:hAnsi="Arial" w:cs="Arial"/>
          <w:spacing w:val="-3"/>
          <w:sz w:val="18"/>
          <w:szCs w:val="18"/>
        </w:rPr>
        <w:t>.</w:t>
      </w:r>
    </w:p>
    <w:p w14:paraId="76098AE0"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721B93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na skutek zaniedbań Wykonawcy dojdzie do uszkodzeń jakiejkolwiek części budowli drogowej lub jej elementów, to Wykonawca na polecenie Inspektora Nadzoru dokona naprawy takiego uszkodzenia doprowadzając budowlę drogową lub jej element do zgodności z wymaganiami Kontraktu. Wykonawca poniesie wszelkie koszty związane z naprawami.</w:t>
      </w:r>
    </w:p>
    <w:p w14:paraId="13CA9CE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Wykonawca w jakimkolwiek czasie zaniedba utrzymanie, to na polecenie Inspektora Nadzoru powinien rozpocząć Roboty utrzymaniowe nie później niż w 24 godziny po otrzymaniu tego polecenia. W przypadku, gdy Wykonawca nie wykona polecenia Inspektora Nadzoru, Zamawiający ma prawo do wykonania Robót utrzymaniowych własnymi siłami lub zlecenie tego innej jednostce – z późniejszym przeniesieniem kosztów na Wykonawcę.</w:t>
      </w:r>
    </w:p>
    <w:p w14:paraId="5EF1959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nie podlegają odrębnej zapłacie..</w:t>
      </w:r>
    </w:p>
    <w:p w14:paraId="7505B07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6502F9A"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1.5.12. Stosowanie się do prawa i innych przepisów</w:t>
      </w:r>
    </w:p>
    <w:p w14:paraId="7D3F2DB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BCAA32B"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projektu lub specyfikacji dostarczonej przez Inspektora Nadzoru.</w:t>
      </w:r>
    </w:p>
    <w:p w14:paraId="27E29E09"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3BD58B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1.5.13. Zabytki archeologiczne</w:t>
      </w:r>
    </w:p>
    <w:p w14:paraId="0A433129"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Przedmioty będące zabytkami archeologicznymi odkrytymi, przypadkowo znalezionymi albo pozyskanymi w wyniku badań archeologicznych na Placu Budowy stanowią własność Skarbu Państwa (art. 35 ustawy z 23.07.2003 r. o ochronie zabytków i opiece nad zabytkami z późniejszymi zmianami). W przypadku odkrycia, w czasie prowadzenia robót ziemnych przedmiotu, co do którego istnieje podejrzenie, że jest zabytkiem archeologicznym, Wykonawca jest zobowiązany wstrzymać w tym miejscu roboty budowlane, zabezpieczyć zabytek i miejsce jego znalezienia oraz niezwłocznie powiadomić Zamawiającego, Inspektora Nadzoru oraz Konserwatora Zabytków (zgodnie z zapisami art. 32 ww. Ustawy). Jeżeli w wyniku tych poleceń Wykonawca poniesie koszty i/lub wystąpią opóźnienia w robotach, Inspektor Nadzoru po uzgodnieniu z Zamawiającym i Wykonawcą ustali wydłużenie czasu wykonania robot i/lub wysokość kwoty, o którą należy zwiększyć ZKK. Wznowienie wstrzymanych robot nastąpi na podstawie zezwolenia Wojewódzkiego Konserwatora Zabytków i Inspektora Nadzoru.</w:t>
      </w:r>
    </w:p>
    <w:p w14:paraId="4EC1AC6A"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7003306"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1.5.14. Rozpoznanie saperskie</w:t>
      </w:r>
    </w:p>
    <w:p w14:paraId="5DB2692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Przed rozpoczęciem oraz w trakcie prowadzenia robót budowlanych Wykonawca zobowiązany jest sprawdzać Plac Budowy pod kątem występowania niewybuchów i niewypałów. Prace należy przeprowadzać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Inspektora Nadzoru. </w:t>
      </w:r>
    </w:p>
    <w:p w14:paraId="207A219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w:t>
      </w:r>
    </w:p>
    <w:p w14:paraId="08677ED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0578CD0E"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1.5.15. Prowadzenie Robót na terenach należących do innych inwestorów</w:t>
      </w:r>
    </w:p>
    <w:p w14:paraId="065F3D40"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inwestycja drogowa wymaga przejścia przez tereny PKP, tereny wód płynących lub wymaga prowadzenia Robót na terenie znajdującym się w zarządzie innego organu Wykonawca przedstawi dokładny harmonogram robót nie później niż w terminie 45 dni przed planowanym zajęciem terenu w celu uzgodnienia w drodze pisemnego porozumienia przez Inwestora zakresu, warunków i terminu zajęcia tego terenu.</w:t>
      </w:r>
    </w:p>
    <w:p w14:paraId="0EBD65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pokryje koszty związane z prowadzeniem robót na terenie kolejowym (w szczególności koszty zamknięć torów, ograniczeń w ruchu pociągów, itp.).</w:t>
      </w:r>
    </w:p>
    <w:p w14:paraId="12E59113"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BFB50E9" w14:textId="77777777" w:rsidR="003F49C8" w:rsidRDefault="008C2229">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1.5.16. Wpływ Robót na budynki znajdujące się w zasięgu oddziaływania</w:t>
      </w:r>
      <w:r>
        <w:rPr>
          <w:rFonts w:ascii="Arial" w:hAnsi="Arial" w:cs="Arial"/>
          <w:b/>
          <w:strike/>
          <w:spacing w:val="-3"/>
          <w:sz w:val="18"/>
          <w:szCs w:val="18"/>
        </w:rPr>
        <w:t xml:space="preserve"> </w:t>
      </w:r>
    </w:p>
    <w:p w14:paraId="435BA74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ramach Cenie Oferty będzie prowadził ciągły monitoring budynków, na które mogą mieć bezpośredni wpływ Roboty prowadzone na terenie budowy, w szczególności dotyczy to: pogrążania grodzi stalowych, pali prefabrykowanych (obiekty mostowe), formowania konstrukcji drogowych, wzmocnienie podłoża (itp.).</w:t>
      </w:r>
    </w:p>
    <w:p w14:paraId="2E2E18B4"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Wpływ na budynki drgań podłoża, których źródłem są urządzenia technologiczne jest trudny do przewidzenia i wymaga monitoringu stosowanego podczas prac wykonawczych, a więc doraźnych pomiarów drgań, wzbudzanych źródłami związanymi z budową drogi. Przed przystąpieniem do prac budowlanych należy dokonać inwentaryzacji stanu technicznego budynków (uszkodzeń), wykonać badania tła dynamicznego, tj. pomiar wpływów dynamicznych istniejących przed rozpoczęciem inwestycji.</w:t>
      </w:r>
    </w:p>
    <w:p w14:paraId="3976822A"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w Cenie Oferty ujmie koszty wykonania zabezpieczenia budynków przed negatywnymi skutkami oddziaływań dynamicznych generowanych w trakcie robót budowlanych.</w:t>
      </w:r>
    </w:p>
    <w:p w14:paraId="126C57C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16F606D"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8D32339" w14:textId="77777777" w:rsidR="003F49C8" w:rsidRDefault="008C2229">
      <w:pPr>
        <w:tabs>
          <w:tab w:val="left" w:pos="-1440"/>
          <w:tab w:val="left" w:pos="-720"/>
          <w:tab w:val="left" w:pos="3"/>
        </w:tabs>
        <w:spacing w:after="120"/>
        <w:jc w:val="both"/>
        <w:rPr>
          <w:rFonts w:ascii="Arial" w:hAnsi="Arial" w:cs="Arial"/>
          <w:b/>
          <w:spacing w:val="-3"/>
          <w:sz w:val="18"/>
          <w:szCs w:val="18"/>
        </w:rPr>
      </w:pPr>
      <w:r>
        <w:rPr>
          <w:rFonts w:ascii="Arial" w:hAnsi="Arial" w:cs="Arial"/>
          <w:b/>
          <w:spacing w:val="-3"/>
          <w:sz w:val="18"/>
          <w:szCs w:val="18"/>
        </w:rPr>
        <w:t>2. MATERIAŁY</w:t>
      </w:r>
    </w:p>
    <w:p w14:paraId="26FAEB38" w14:textId="77777777" w:rsidR="003F49C8" w:rsidRDefault="008C2229">
      <w:pPr>
        <w:pStyle w:val="Tekstpodstawowy"/>
        <w:spacing w:after="60"/>
        <w:rPr>
          <w:rFonts w:ascii="Arial" w:hAnsi="Arial" w:cs="Arial"/>
          <w:b/>
          <w:snapToGrid w:val="0"/>
          <w:sz w:val="18"/>
          <w:szCs w:val="18"/>
        </w:rPr>
      </w:pPr>
      <w:r>
        <w:rPr>
          <w:rFonts w:ascii="Arial" w:hAnsi="Arial" w:cs="Arial"/>
          <w:b/>
          <w:snapToGrid w:val="0"/>
          <w:sz w:val="18"/>
          <w:szCs w:val="18"/>
        </w:rPr>
        <w:t>2.1. Zasady dopuszczenia do stosowania materiałów i wyrobów budowlanych</w:t>
      </w:r>
    </w:p>
    <w:p w14:paraId="031E8EF3" w14:textId="77777777" w:rsidR="003F49C8" w:rsidRDefault="008C2229">
      <w:pPr>
        <w:pStyle w:val="Tekstpodstawowy"/>
        <w:tabs>
          <w:tab w:val="left" w:pos="284"/>
        </w:tabs>
        <w:ind w:firstLine="567"/>
        <w:rPr>
          <w:rFonts w:ascii="Arial" w:hAnsi="Arial" w:cs="Arial"/>
          <w:snapToGrid w:val="0"/>
          <w:sz w:val="18"/>
          <w:szCs w:val="18"/>
        </w:rPr>
      </w:pPr>
      <w:r>
        <w:rPr>
          <w:rFonts w:ascii="Arial" w:hAnsi="Arial" w:cs="Arial"/>
          <w:snapToGrid w:val="0"/>
          <w:sz w:val="18"/>
          <w:szCs w:val="18"/>
        </w:rPr>
        <w:t xml:space="preserve">Materiały i wyroby budowlane muszą spełniać zasady zgodnie z Ustawą z dn. 16.04.2004 r., </w:t>
      </w:r>
      <w:r>
        <w:rPr>
          <w:rFonts w:ascii="Arial" w:hAnsi="Arial" w:cs="Arial"/>
          <w:spacing w:val="-3"/>
          <w:sz w:val="18"/>
          <w:szCs w:val="18"/>
          <w:lang w:eastAsia="ar-SA"/>
        </w:rPr>
        <w:t>o wyrobach budowlanych z późniejszymi zamianami.</w:t>
      </w:r>
    </w:p>
    <w:p w14:paraId="465EBE51"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BB8128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2.2. Źródła uzyskania materiałów</w:t>
      </w:r>
    </w:p>
    <w:p w14:paraId="1FAC95F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Co najmniej na trzy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 do zatwierdzenia przez Inspektora Nadzoru.</w:t>
      </w:r>
    </w:p>
    <w:p w14:paraId="3B032B4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Zatwierdzenie partii materiałów z danego źródła nie oznacza automatycznie, że wszelkie materiały z danego źródła uzyskają zatwierdzenie.</w:t>
      </w:r>
    </w:p>
    <w:p w14:paraId="039F51BB"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20F22BE"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2.3. Pozyskiwanie materiałów miejscowych</w:t>
      </w:r>
    </w:p>
    <w:p w14:paraId="69B4822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4CF1F5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796AA9B6"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ponosi odpowiedzialność za spełnienie wymagań ilościowych i jakościowych materiałów pochodzących ze źródeł miejscowych.</w:t>
      </w:r>
    </w:p>
    <w:p w14:paraId="0BFDB058"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poniesie wszystkie koszty z tytułu wydobycia materiałów, dzierżawy i inne jakie okażą się potrzebne w związku z dostarczeniem materiałów do Robót.</w:t>
      </w:r>
    </w:p>
    <w:p w14:paraId="1E62D1F3"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Humus i nadkład czasowo zdjęte z terenu wykopów, dokopów i miejsc pozyskania materiałów miejscowych będą formowane w hałdy i wykorzystane przy zasypce i rekultywacji terenu po ukończeniu Robót.</w:t>
      </w:r>
    </w:p>
    <w:p w14:paraId="501D10AC"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odpowiednie materiały pozyskane z wykopów na Placu Budowy lub z innych miejsc wskazanych w dokumentach Umowy będą wykorzystane do Robót lub odwiezione na odkład odpowiednio do wymagań Umowy lub wskazań Inspektora Nadzoru.</w:t>
      </w:r>
    </w:p>
    <w:p w14:paraId="0615759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nie będzie prowadzić żadnych wykopów w obrębie Placu Budowy poza tymi, które zostały wyszczególnione w dokumentach Umowy, chyba, że uzyska na to pisemną zgodę Inspektora Nadzoru.</w:t>
      </w:r>
    </w:p>
    <w:p w14:paraId="004C28C7"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Eksploatacja źródeł materiałów będzie zgodna z wszelkimi regulacjami prawnymi obowiązującymi na danym obszarze.</w:t>
      </w:r>
    </w:p>
    <w:p w14:paraId="04C4F964"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3A0336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2.4. Materiały nieodpowiadające wymaganiom</w:t>
      </w:r>
    </w:p>
    <w:p w14:paraId="03E159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Materiały nieodpowiadające wymaganiom zostaną przez Wykonawcę wywiezione z Placu Budowy. Inspektor Nadzoru może zezwolić Wykonawcy na użycie tych materiałów do innych Robót o ile spełniają wymagania dla innych Robót. </w:t>
      </w:r>
    </w:p>
    <w:p w14:paraId="77398E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rodzaj Robót, w którym znajdują się niezbadane i niezaakceptowane materiały, Wykonawca wykonuje na własne ryzyko, licząc się z jego nieprzyjęciem, usunięciem i niezapłaceniem.</w:t>
      </w:r>
    </w:p>
    <w:p w14:paraId="761C0452" w14:textId="77777777" w:rsidR="003F49C8" w:rsidRDefault="003F49C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DEBB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2.5. Przechowywanie i składowanie materiałów</w:t>
      </w:r>
    </w:p>
    <w:p w14:paraId="1ABE4F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aby tymczasowo składowane materiały, do czasu gdy będą one użyte do Robót, były zabezpieczone przed zanieczyszczeniem i wpływem niekorzystnych warunków atmosferycznych, zachowały swoją jakość i właściwości i były dostępne do kontroli przez Inspektora Nadzoru.</w:t>
      </w:r>
    </w:p>
    <w:p w14:paraId="120D67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Miejsca czasowego składowania materiałów będą zlokalizowane w obrębie Placu Budowy w miejscach uzgodnionych z Inspektor Nadzoru, lub poza Placem Budowy w miejscach zorganizowanych przez Wykonawcę i zaakceptowanych przez Inspektora Nadzoru.</w:t>
      </w:r>
    </w:p>
    <w:p w14:paraId="2741E3C0"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5CAF5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2.6. Inspekcja wytwórni materiałów</w:t>
      </w:r>
    </w:p>
    <w:p w14:paraId="762F4A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Wytwórnie materiałów mogą być okresowo kontrolowane przez Inspektora Nadzoru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F39B3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gdy Inspektor Nadzoru będzie przeprowadzał inspekcję wytwórni muszą być spełnione następujące warunki:</w:t>
      </w:r>
    </w:p>
    <w:p w14:paraId="33983A52"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Inspektor Nadzoru będzie miał zapewnioną współpracę i pomoc Wykonawcy oraz producenta materiałów w czasie przeprowadzania inspekcji,</w:t>
      </w:r>
    </w:p>
    <w:p w14:paraId="720221C5"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Jeżeli produkcja odbywa się w miejscu należącym do Wykonawcy, Inspektor Nadzoru będzie miał dostęp do tych części wytwórni, gdzie odbywa się produkcja materiałów przeznaczonych do realizacji robót,</w:t>
      </w:r>
    </w:p>
    <w:p w14:paraId="56D6756E" w14:textId="77777777" w:rsidR="003F49C8" w:rsidRDefault="008C2229">
      <w:pPr>
        <w:pStyle w:val="Akapitzlist"/>
        <w:numPr>
          <w:ilvl w:val="0"/>
          <w:numId w:val="28"/>
        </w:numPr>
        <w:tabs>
          <w:tab w:val="left" w:pos="-1725"/>
          <w:tab w:val="left" w:pos="-1005"/>
          <w:tab w:val="left" w:pos="-285"/>
          <w:tab w:val="left" w:pos="3"/>
          <w:tab w:val="left" w:pos="147"/>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Jeżeli produkcja odbywa się w miejscu nie należącym do Wykonawcy, Wykonawca uzyska dla Inspektora Nadzoru zezwolenie dla przeprowadzenia inspekcji i badań w tych miejscach.</w:t>
      </w:r>
    </w:p>
    <w:p w14:paraId="7C63E85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FD4E9E2"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2.7 Materiały z rozbiórki</w:t>
      </w:r>
    </w:p>
    <w:p w14:paraId="461D573F"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Elementy i materiały z rozbiórek oraz materiały odpadowe stają się własnością Wykonawcy (chyba że postanowiono inaczej) i powinny zostać usunięte z terenu budowy w sposób i w terminie nie kolidującym z wykonaniem innych robót.</w:t>
      </w:r>
    </w:p>
    <w:p w14:paraId="6EA8E50D" w14:textId="77777777" w:rsidR="003F49C8" w:rsidRDefault="008C222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związany z rozbiórką, transportem, unieszkodliwieniem, bądź składowaniem w/w materiałów Wykonawca powinien zawrzeć w Cenie Oferty.</w:t>
      </w:r>
    </w:p>
    <w:p w14:paraId="6068036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15784FA"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spacing w:after="60"/>
        <w:jc w:val="both"/>
        <w:rPr>
          <w:rFonts w:ascii="Arial" w:hAnsi="Arial" w:cs="Arial"/>
          <w:sz w:val="18"/>
          <w:szCs w:val="18"/>
        </w:rPr>
      </w:pPr>
      <w:r>
        <w:rPr>
          <w:rFonts w:ascii="Arial" w:hAnsi="Arial" w:cs="Arial"/>
          <w:b/>
          <w:sz w:val="18"/>
          <w:szCs w:val="18"/>
        </w:rPr>
        <w:t>2.8. Wariantowe stosowanie materiałów</w:t>
      </w:r>
    </w:p>
    <w:p w14:paraId="65951647" w14:textId="77777777" w:rsidR="003F49C8" w:rsidRDefault="008C2229">
      <w:pPr>
        <w:tabs>
          <w:tab w:val="left" w:pos="-720"/>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s>
        <w:ind w:firstLine="567"/>
        <w:jc w:val="both"/>
        <w:rPr>
          <w:rFonts w:ascii="Arial" w:hAnsi="Arial" w:cs="Arial"/>
          <w:sz w:val="18"/>
          <w:szCs w:val="18"/>
        </w:rPr>
      </w:pPr>
      <w:r>
        <w:rPr>
          <w:rFonts w:ascii="Arial" w:hAnsi="Arial" w:cs="Arial"/>
          <w:sz w:val="18"/>
          <w:szCs w:val="18"/>
        </w:rPr>
        <w:t>Jeśli w STWiORB przewiduje się możliwość wariantowego zastosowania rodzaju materiału w wykonywanych Robotach, Wykonawca powiadomi Inspektora Nadzoru o swoim zamiarze co najmniej 2 tygodnie przed użyciem materiału, albo w okresie dłuższym, jeśli będzie to wymagane dla badań prowadzonych przez Inspektora Nadzoru. Wybrany i zaakceptowany rodzaj materiału nie może być później zmieniany bez zgody Inspektora Nadzoru.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2384891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8D303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7980AD6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889A4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3. SPRZĘT</w:t>
      </w:r>
    </w:p>
    <w:p w14:paraId="0B92DA6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szczegółowych STWiORB, PZJ lub projekcie organizacji Robót, zaakceptowanym przez Inspektora Nadzoru; w przypadku braku ustaleń w wymienionych wyżej dokumentach sprzęt powinien być uzgodniony i zaakceptowany przez Inspektora Nadzoru.</w:t>
      </w:r>
    </w:p>
    <w:p w14:paraId="1BD06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Liczba i wydajność sprzętu powinny gwarantować przeprowadzenie robót, zgodnie z zasadami określonymi w Dokumentacji Projektowej, STWiORB i wskazaniach Inspektora Nadzoru.</w:t>
      </w:r>
    </w:p>
    <w:p w14:paraId="25F7D6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Sprzęt będący własnością Wykonawcy lub wynajęty do wykonania Robót ma być utrzymywany w dobrym stanie i gotowości do pracy. Powinien być zgodny z normami ochrony środowiska i przepisami dotyczącymi jego użytkowania.</w:t>
      </w:r>
    </w:p>
    <w:p w14:paraId="2FFAE5D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kopie dokumentów potwierdzających dopuszczenie sprzętu do użytkowania i badań okresowych, tam gdzie jest to wymagane przepisami.</w:t>
      </w:r>
    </w:p>
    <w:p w14:paraId="4750C8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będzie konserwować sprzęt jak również naprawiać lub wymieniać sprzęt niesprawny. </w:t>
      </w:r>
    </w:p>
    <w:p w14:paraId="0138A85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Jakikolwiek sprzęt, maszyny, urządzenia i narzędzia nie gwarantujące zachowania warunków Umowy, zostaną przez Inspektora Nadzoru zdyskwalifikowane i niedopuszczone do Robót.</w:t>
      </w:r>
    </w:p>
    <w:p w14:paraId="759F5B62"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81C4DF" w14:textId="77777777" w:rsidR="003F49C8" w:rsidRDefault="003F49C8">
      <w:pPr>
        <w:rPr>
          <w:rFonts w:ascii="Arial" w:hAnsi="Arial" w:cs="Arial"/>
          <w:b/>
          <w:spacing w:val="-3"/>
          <w:sz w:val="18"/>
          <w:szCs w:val="18"/>
        </w:rPr>
      </w:pPr>
    </w:p>
    <w:p w14:paraId="766A97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4. TRANSPORT</w:t>
      </w:r>
    </w:p>
    <w:p w14:paraId="72459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zobowiązany do stosowania jedynie takich środków transportu, które nie wpłyną niekorzystnie na jakość wykonywanych Robót i właściwości przewożonych materiałów.</w:t>
      </w:r>
    </w:p>
    <w:p w14:paraId="7414D9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Liczba środków transportu będzie zapewniać prowadzenie Robót zgodnie z zasadami określonymi w Dokumentacji Projektowej, </w:t>
      </w:r>
      <w:r>
        <w:rPr>
          <w:rFonts w:ascii="Arial" w:hAnsi="Arial" w:cs="Arial"/>
          <w:strike/>
          <w:spacing w:val="-3"/>
          <w:sz w:val="18"/>
          <w:szCs w:val="18"/>
        </w:rPr>
        <w:t>S</w:t>
      </w:r>
      <w:r>
        <w:rPr>
          <w:rFonts w:ascii="Arial" w:hAnsi="Arial" w:cs="Arial"/>
          <w:spacing w:val="-3"/>
          <w:sz w:val="18"/>
          <w:szCs w:val="18"/>
        </w:rPr>
        <w:t>STWIORB i wskazaniach Inspektora Nadzoru, w terminie przewidzianym Umową.</w:t>
      </w:r>
    </w:p>
    <w:p w14:paraId="5EDBA4D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Środki transportu nie odpowiadające warunkom dopuszczalnych obciążeń na osie mogą być użyte przez Wykonawcę po dopuszczeniu przez Inspektora Nadzoru ale wyłącznie poza drogami publicznymi i pod warunkiem przywrócenia do stanu pierwotnego użytkowanych odcinków dróg na koszt Wykonawcy. Wykonawca pokryje wszystkie inne koszty używania przez siebie pojazdów o nacisku na oś większym od dopuszczalnego.</w:t>
      </w:r>
    </w:p>
    <w:p w14:paraId="2B4F360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usuwać na bieżąco, na własny koszt, wszelkie zanieczyszczenia, uszkodzenia spowodowane jego pojazdami na drogach publicznych oraz dojazdach do Placu Budowy.</w:t>
      </w:r>
    </w:p>
    <w:p w14:paraId="18D787C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F81893C"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77A7A6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5. WYKONANIE ROBÓT</w:t>
      </w:r>
    </w:p>
    <w:p w14:paraId="40B645F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prowadzenie Robót zgodnie z warunkami Umowy oraz za jakość zastosowanych materiałów i wykonywanych Robót, za ich zgodność z STWiORB , PZJ, projektem organizacji Robót opracowanym przez Wykonawcę, Dokumentacją Projektową   oraz poleceniami Inspektora Nadzoru.</w:t>
      </w:r>
    </w:p>
    <w:p w14:paraId="2BA7D7D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stosowane metody wykonywania Robót.</w:t>
      </w:r>
    </w:p>
    <w:p w14:paraId="610F761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dokładne wytyczenie w planie i wyznaczenie wysokości wszystkich elementów Robót zgodnie z wymiarami i rzędnymi określonymi w Dokumentacji Projektowej opracowanej przez Wykonawcę lub przekazanymi na piśmie przez Inspektora Nadzoru.</w:t>
      </w:r>
    </w:p>
    <w:p w14:paraId="29334D2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Błędy popełnione przez Wykonawcę w wytyczeniu i wyznaczaniu Robót zostaną usunięte przez Wykonawcę na własny koszt, z wyjątkiem kiedy dany błąd okaże się skutkiem błędu zawartego w danych dostarczonych Wykonawcy na piśmie przez Inspektora Nadzoru.</w:t>
      </w:r>
    </w:p>
    <w:p w14:paraId="30233BA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Sprawdzenie wytyczenia Robót lub wyznaczenia wysokości przez Inspektora Nadzoru nie zwalnia Wykonawcy od odpowiedzialności za ich dokładność.</w:t>
      </w:r>
    </w:p>
    <w:p w14:paraId="52B4BD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dotyczące akceptacji lub odrzucenia materiałów i elementów Robót będą oparte na wymaganiach określonych w dokumentach Umowy,  Dokumentacji Projektowej i w STWiORB , a także w normach i wytycznych.</w:t>
      </w:r>
    </w:p>
    <w:p w14:paraId="7AD9A1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A25955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Polecenia Inspektora Nadzoru powinny być wykonywane przez Wykonawcę w czasie uzgodnionym z Inspektorem Nadzoru, pod groźbą zatrzymania Robót. W przypadku niewykonania w terminie poleceń Inspektora Nadzoru skutki finansowe z tego tytułu poniesie Wykonawca.</w:t>
      </w:r>
    </w:p>
    <w:p w14:paraId="5EDE932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czasie wykonywania Robót Wykonawca winien utrzymywać Plac Budowy w stanie bez niepotrzebnych przeszkód oraz składować sprzęt i materiały w należytym porządku, jak również wywieźć wszelkie odpady i śmieci lub niepotrzebne elementy.</w:t>
      </w:r>
    </w:p>
    <w:p w14:paraId="1BC01EA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3463C9B3"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3DAF3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spacing w:val="-3"/>
          <w:sz w:val="18"/>
          <w:szCs w:val="18"/>
        </w:rPr>
      </w:pPr>
      <w:r>
        <w:rPr>
          <w:rFonts w:ascii="Arial" w:hAnsi="Arial" w:cs="Arial"/>
          <w:b/>
          <w:spacing w:val="-3"/>
          <w:sz w:val="18"/>
          <w:szCs w:val="18"/>
        </w:rPr>
        <w:t>6. KONTROLA JAKOŚCI ROBÓT</w:t>
      </w:r>
    </w:p>
    <w:p w14:paraId="2078C7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uzgodni z Inspektorem Nadzoru metodykę wykonywania i sposób ilościowego ewidencjonowania badań laboratoryjnych wymaganych kontraktem.</w:t>
      </w:r>
    </w:p>
    <w:p w14:paraId="5497A01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7E50DB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6.1. Program Zapewnienia Jakości (PZJ) </w:t>
      </w:r>
    </w:p>
    <w:p w14:paraId="094BCEE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opracować i przedstawić do akceptacji Inspektora Nadzoru Program Zapewnienia Jakości. W Programie Zapewnienia Jakości Wykonawca powinien określić zamierzony sposób realizacji Robót, możliwości </w:t>
      </w:r>
      <w:r>
        <w:rPr>
          <w:rFonts w:ascii="Arial" w:hAnsi="Arial" w:cs="Arial"/>
          <w:spacing w:val="-3"/>
          <w:sz w:val="18"/>
          <w:szCs w:val="18"/>
        </w:rPr>
        <w:lastRenderedPageBreak/>
        <w:t>techniczne, kadrowe i plan organizacji Robót gwarantujący wykonanie Robót zgodnie z wymaganiami  i poleceniami Inspektora Nadzoru.</w:t>
      </w:r>
    </w:p>
    <w:p w14:paraId="3C4DD20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PZJ należy sporządzić oddzielnie dla każdego elementu robót objętego danym STWiORB. Dopuszcza się opracowanie jednego PZJ dla elementów robót objętych różnymi STWiORB, jeżeli zakres robót w nich określony jest zbliżony.</w:t>
      </w:r>
    </w:p>
    <w:p w14:paraId="107E58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ind w:firstLine="567"/>
        <w:jc w:val="both"/>
        <w:rPr>
          <w:rFonts w:ascii="Arial" w:hAnsi="Arial" w:cs="Arial"/>
          <w:spacing w:val="-3"/>
          <w:sz w:val="18"/>
          <w:szCs w:val="18"/>
        </w:rPr>
      </w:pPr>
      <w:r>
        <w:rPr>
          <w:rFonts w:ascii="Arial" w:hAnsi="Arial" w:cs="Arial"/>
          <w:spacing w:val="-3"/>
          <w:sz w:val="18"/>
          <w:szCs w:val="18"/>
        </w:rPr>
        <w:t>Program Zapewnienia Jakości powinien zawierać:</w:t>
      </w:r>
    </w:p>
    <w:p w14:paraId="5A24E537" w14:textId="77777777" w:rsidR="003F49C8" w:rsidRDefault="008C2229">
      <w:pPr>
        <w:numPr>
          <w:ilvl w:val="0"/>
          <w:numId w:val="7"/>
        </w:numPr>
        <w:tabs>
          <w:tab w:val="left" w:pos="-1725"/>
          <w:tab w:val="left" w:pos="-1005"/>
          <w:tab w:val="left" w:pos="-285"/>
          <w:tab w:val="left" w:pos="142"/>
          <w:tab w:val="left" w:pos="291"/>
          <w:tab w:val="left" w:pos="426"/>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ogólną opisującą:</w:t>
      </w:r>
    </w:p>
    <w:p w14:paraId="547A4645"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organizację i sposób wykonywania i prowadzenia Robót </w:t>
      </w:r>
    </w:p>
    <w:p w14:paraId="71E6B65B"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organizację ruchu na budowie wraz z oznakowaniem Robót (jeśli dotyczy)</w:t>
      </w:r>
    </w:p>
    <w:p w14:paraId="3AEEB37A"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system (sposób i procedurę) proponowanej kontroli i sterowa</w:t>
      </w:r>
      <w:r>
        <w:rPr>
          <w:rFonts w:ascii="Arial" w:hAnsi="Arial" w:cs="Arial"/>
          <w:spacing w:val="-3"/>
          <w:sz w:val="18"/>
          <w:szCs w:val="18"/>
        </w:rPr>
        <w:softHyphen/>
        <w:t>nia jakością wykonywanych Robót,</w:t>
      </w:r>
    </w:p>
    <w:p w14:paraId="726810E1"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 xml:space="preserve">sposób oraz formę gromadzenia wyników badań i pomiarów, </w:t>
      </w:r>
    </w:p>
    <w:p w14:paraId="1D5C8578" w14:textId="77777777" w:rsidR="003F49C8" w:rsidRDefault="008C2229">
      <w:pPr>
        <w:numPr>
          <w:ilvl w:val="0"/>
          <w:numId w:val="2"/>
        </w:numPr>
        <w:tabs>
          <w:tab w:val="left" w:pos="-1725"/>
          <w:tab w:val="left" w:pos="-1005"/>
          <w:tab w:val="left" w:pos="-285"/>
          <w:tab w:val="left" w:pos="709"/>
          <w:tab w:val="left" w:pos="867"/>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postępowania z materiałami i Robotami nieodpowiadającymi wymaganiom.</w:t>
      </w:r>
    </w:p>
    <w:p w14:paraId="01791E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994F73" w14:textId="77777777" w:rsidR="003F49C8" w:rsidRDefault="008C2229">
      <w:pPr>
        <w:numPr>
          <w:ilvl w:val="0"/>
          <w:numId w:val="7"/>
        </w:numPr>
        <w:tabs>
          <w:tab w:val="left" w:pos="-1725"/>
          <w:tab w:val="left" w:pos="-1005"/>
          <w:tab w:val="left" w:pos="-285"/>
          <w:tab w:val="left" w:pos="147"/>
          <w:tab w:val="left" w:pos="291"/>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Arial" w:hAnsi="Arial" w:cs="Arial"/>
          <w:b/>
          <w:spacing w:val="-3"/>
          <w:sz w:val="18"/>
          <w:szCs w:val="18"/>
        </w:rPr>
      </w:pPr>
      <w:r>
        <w:rPr>
          <w:rFonts w:ascii="Arial" w:hAnsi="Arial" w:cs="Arial"/>
          <w:b/>
          <w:spacing w:val="-3"/>
          <w:sz w:val="18"/>
          <w:szCs w:val="18"/>
        </w:rPr>
        <w:t>część szczegółową opisującą dla danego asortymentu Robót:</w:t>
      </w:r>
    </w:p>
    <w:p w14:paraId="7A89A865"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wykaz maszyn i urządzeń stosowanych na budowie,</w:t>
      </w:r>
    </w:p>
    <w:p w14:paraId="0E0E2A2F"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rodzaje i ilość środków transportu oraz urządzeń do magazynowania i załadunku materiałów,</w:t>
      </w:r>
    </w:p>
    <w:p w14:paraId="5075162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zabezpieczenia i ochrony ładunków przed utratą ich właściwości w czasie transportu,</w:t>
      </w:r>
    </w:p>
    <w:p w14:paraId="36DECDA6"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wyposażenie w sprzęt i urządzenia do pomiarów i kontroli (opis laboratorium własnego lub</w:t>
      </w:r>
    </w:p>
    <w:p w14:paraId="1C843518"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laboratorium, któremu Wykonawca zamierza zlecić prowadzenie badań),</w:t>
      </w:r>
    </w:p>
    <w:p w14:paraId="16F5A0C1"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567" w:hanging="283"/>
        <w:jc w:val="both"/>
        <w:rPr>
          <w:rFonts w:ascii="Arial" w:hAnsi="Arial" w:cs="Arial"/>
          <w:spacing w:val="-3"/>
          <w:sz w:val="18"/>
          <w:szCs w:val="18"/>
        </w:rPr>
      </w:pPr>
      <w:r>
        <w:rPr>
          <w:rFonts w:ascii="Arial" w:hAnsi="Arial" w:cs="Arial"/>
          <w:spacing w:val="-3"/>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24C714"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p>
    <w:p w14:paraId="65F64898" w14:textId="77777777" w:rsidR="003F49C8" w:rsidRDefault="008C2229">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Elementem PZJ ogólnego jest program wykonania wszystkich badań wymaganych kontraktem w układzie specyfikacyjnym. Dokument ten jest materiałem bazowym do formalnych działań związanych z zatwierdzeniem laboratoriów Wykonawcy. Program badań będzie bazą do tworzenia wszelkiego rodzaju statystyk związanych z ewidencjonowaniem ilości wykonanych badań laboratoryjnych. Ponadto Wykonawca jest zobowiązany do sporządzania tygodniowych (bieżących) planów (programów) badań, w dostosowaniu do postępu w realizacji robót. Plany te będą podlegały zatwierdzeniu przez Inspektora Nadzoru.</w:t>
      </w:r>
    </w:p>
    <w:p w14:paraId="344BD2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Plan należy prowadzić i aktualizować raz w miesiącu. Forma i treść planu muszą zostać uzgodnione z Inspektorem Nadzoru. Wykonawca będzie każdorazowo przekazywał Inspektorowi Nadzoru plan badań laboratoryjnych ze wskazaniem na planie ilości i zakresu badań zrealizowanych w danym miesiącu, procentowego zrealizowania badań w stosunku do planu. Plan będzie stanowił integralną część Miesięcznego raportu Wykonawcy o postępie pracy.</w:t>
      </w:r>
    </w:p>
    <w:p w14:paraId="5BD745D3" w14:textId="77777777" w:rsidR="003F49C8" w:rsidRDefault="003F49C8">
      <w:pPr>
        <w:tabs>
          <w:tab w:val="left" w:pos="-1725"/>
          <w:tab w:val="left" w:pos="-1005"/>
          <w:tab w:val="left" w:pos="-285"/>
          <w:tab w:val="left" w:pos="0"/>
          <w:tab w:val="left" w:pos="291"/>
          <w:tab w:val="left" w:pos="435"/>
          <w:tab w:val="left" w:pos="723"/>
          <w:tab w:val="left" w:pos="867"/>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b/>
          <w:i/>
          <w:sz w:val="18"/>
          <w:szCs w:val="18"/>
        </w:rPr>
      </w:pPr>
    </w:p>
    <w:p w14:paraId="6C9E9AD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6.2. Zasady kontroli jakości Robót</w:t>
      </w:r>
    </w:p>
    <w:p w14:paraId="1BA85A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Celem kontroli Robót będzie takie sterowanie ich przygotowaniem i wykonaniem, aby osiągnąć założoną jakość Robót.</w:t>
      </w:r>
    </w:p>
    <w:p w14:paraId="24A27D9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8B8C9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zostanie zlokalizowane w bezpośredniej bliskości placu budowy. W uzasadnionym przypadku (np. pojedyncze badania), za zgodą Inspektora Nadzoru dopuszcza się wskazanie innej lokalizacji.</w:t>
      </w:r>
    </w:p>
    <w:p w14:paraId="342441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Laboratorium Wykonawcy będzie podlegało zatwierdzeniu przez Inspektora Nadzoru w obecności przedstawiciela Laboratorium Zamawiającego. W celu zatwierdzenia laboratorium do wykonywania badań na kontrakcie Wykonawca przedstawi:</w:t>
      </w:r>
    </w:p>
    <w:p w14:paraId="6E03095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Harmonogram badań zawierający odniesienie do konkretnej specyfikacji, wyszczególnienie rodzaju robót, jednostkę obmiaru robót, wymaganą do wykonania ilość robót, wskazanie rodzaju konkretnych badań, częstotliwość badań zgodną z wymaganiami kontraktowymi, niezbędną do wykonania ilość badań oraz wskazanie laboratorium wykonującego badania. Wskazanie laboratoriów prowadzących kontrolę jakości we wskazanych obszarach robót.</w:t>
      </w:r>
    </w:p>
    <w:p w14:paraId="058AA820"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Wskazanie personelu wraz z potwierdzeniem jego kompetencji i wskazaniem osób odpowiedzialnych za autoryzację sprawozdań z badań.</w:t>
      </w:r>
    </w:p>
    <w:p w14:paraId="336092CA"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pacing w:val="-3"/>
          <w:sz w:val="18"/>
          <w:szCs w:val="18"/>
        </w:rPr>
      </w:pPr>
      <w:r>
        <w:rPr>
          <w:rFonts w:ascii="Arial" w:hAnsi="Arial" w:cs="Arial"/>
          <w:spacing w:val="-3"/>
          <w:sz w:val="18"/>
          <w:szCs w:val="18"/>
        </w:rPr>
        <w:t>Wykaz urządzeń pomiarowych wraz z udokumentowaniem sprawowanego nadzoru metrologicznego.</w:t>
      </w:r>
    </w:p>
    <w:p w14:paraId="1AEC2DF2" w14:textId="77777777" w:rsidR="003F49C8" w:rsidRDefault="008C2229">
      <w:pPr>
        <w:numPr>
          <w:ilvl w:val="0"/>
          <w:numId w:val="2"/>
        </w:numPr>
        <w:tabs>
          <w:tab w:val="left" w:pos="-1725"/>
          <w:tab w:val="left" w:pos="-1005"/>
          <w:tab w:val="left" w:pos="-28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3"/>
        <w:jc w:val="both"/>
        <w:rPr>
          <w:rFonts w:ascii="Arial" w:hAnsi="Arial" w:cs="Arial"/>
          <w:sz w:val="18"/>
          <w:szCs w:val="18"/>
        </w:rPr>
      </w:pPr>
      <w:r>
        <w:rPr>
          <w:rFonts w:ascii="Arial" w:hAnsi="Arial" w:cs="Arial"/>
          <w:spacing w:val="-3"/>
          <w:sz w:val="18"/>
          <w:szCs w:val="18"/>
        </w:rPr>
        <w:t>Sposób i formę</w:t>
      </w:r>
      <w:r>
        <w:rPr>
          <w:rFonts w:ascii="Arial" w:hAnsi="Arial" w:cs="Arial"/>
          <w:sz w:val="18"/>
          <w:szCs w:val="18"/>
        </w:rPr>
        <w:t xml:space="preserve"> gromadzenia zapisów (m.in. wzory kart i sprawozdań z badań).</w:t>
      </w:r>
    </w:p>
    <w:p w14:paraId="71AB59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Przy czym przedstawione w składanych dokumentach zasoby powinny być wystarczające do spełnienia wymagań na realizowanym zadaniu.</w:t>
      </w:r>
    </w:p>
    <w:p w14:paraId="558B0EB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zatwierdzeniem systemu kontroli Inspektor Nadzoru może zażądać od Wykonawcy przeprowadzenia badań w celu weryfikacji zgodności z odpowiednimi normami/procedurami.</w:t>
      </w:r>
    </w:p>
    <w:p w14:paraId="52C14E7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dostarczy Inspektorowi Nadzoru świadectwa, że wszystkie stosowane urządzenia i sprzęt badawczy zostały prawidłowo wykalibrowane i odpowiadają wymaganiom norm określających procedury badań.</w:t>
      </w:r>
    </w:p>
    <w:p w14:paraId="5CECE57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żądanie Inspektora Nadzoru Wykonawca zapewni dostęp do pomieszczeń laboratoryjnych, w celu ich inspekcji.</w:t>
      </w:r>
    </w:p>
    <w:p w14:paraId="072C71E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Wymagania dotyczące zakresu badań i ich częstotliwość zostały określone w odpowiednich STWiORB i normach. </w:t>
      </w:r>
    </w:p>
    <w:p w14:paraId="4F19A88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przekazywać Wykonawcy pisemne informacje dotyczące wszelkich stwierdzonych uchybieniach mogących mieć wpływ na uzyskiwane wyniki badań, w tym odnoszących się do urządzeń labora</w:t>
      </w:r>
      <w:r>
        <w:rPr>
          <w:rFonts w:ascii="Arial" w:hAnsi="Arial" w:cs="Arial"/>
          <w:spacing w:val="-3"/>
          <w:sz w:val="18"/>
          <w:szCs w:val="18"/>
        </w:rPr>
        <w:softHyphen/>
        <w:t>toryj</w:t>
      </w:r>
      <w:r>
        <w:rPr>
          <w:rFonts w:ascii="Arial" w:hAnsi="Arial" w:cs="Arial"/>
          <w:spacing w:val="-3"/>
          <w:sz w:val="18"/>
          <w:szCs w:val="18"/>
        </w:rPr>
        <w:softHyphen/>
        <w:t xml:space="preserve">nych, sprzętu, zaopatrzenia laboratorium, pracy personelu lub metod badawczych. </w:t>
      </w:r>
    </w:p>
    <w:p w14:paraId="2663B43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Jeżeli stwierdzone uchybienia będą mogły wpływać na ocenę jakości wykonanych Robót, Inspektor Nadzoru wstrzyma użycie badanych materiałów i dopuści je do użycia dopiero wtedy, gdy uchybienia w pracy laboratorium Wykonawcy zostaną usunięte i w wyniku ponownych badań stwierdzona zostanie odpowiednia jakość tych materiałów.</w:t>
      </w:r>
    </w:p>
    <w:p w14:paraId="5A06568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koszty związane z organizowaniem i prowadzeniem badań materiałów ponosi Wykonawca.</w:t>
      </w:r>
    </w:p>
    <w:p w14:paraId="40329F7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 xml:space="preserve">Wykonawca zapewni na terenie budowy pomieszczenie laboratoryjne z wymaganą i rejestrowaną temperaturą (20±5) ˚C przeznaczone do przechowywania świeżo pobranych próbek mieszanek betonowych przez Laboratorium Wykonawcy i Laboratorium Inwestora. </w:t>
      </w:r>
    </w:p>
    <w:p w14:paraId="711C359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241369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6.3. Pobieranie próbek</w:t>
      </w:r>
    </w:p>
    <w:p w14:paraId="7AD799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Próbki będą pobierane losowo. Zaleca się stosowanie statystycznych metod pobierania próbek, opartych na zasadzie, że wszystkie jednostkowe elementy produkcji mogą być z jednakowym prawdopodobieństwem wytypowane do badań.</w:t>
      </w:r>
    </w:p>
    <w:p w14:paraId="3C21923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będzie mieć zapewnioną możliwość udziału w pobieraniu próbek. Ponadto Inspektor Nadzoru może pobierać próbki i badać materiały niezależnie od Wykonawcy. Badanie te mogą być przeprowadzone przez Laboratorium Zamawiającego przy użyciu jego sprzętu i form. Wykonawca udzieli niezbędnej pomocy przy wykonywanych badaniach, w tym w wyjątkowych sytuacjach udostępni formy (pojemniki) i sprzęt (np. wibratory).</w:t>
      </w:r>
    </w:p>
    <w:p w14:paraId="6EF22CA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w:t>
      </w:r>
    </w:p>
    <w:p w14:paraId="5BA7EE1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466BAA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6.4. Badania i pomiary</w:t>
      </w:r>
    </w:p>
    <w:p w14:paraId="04139CF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badania i pomiary będą przeprowadzone zgodnie z wymaganiami norm. W przypadku, gdy normy nie obejmują jakiegokolwiek badania wymaganego w STWiORB, stosować można wytyczne krajowe albo inne procedury zaakceptowane przez Inspektora Nadzoru.</w:t>
      </w:r>
    </w:p>
    <w:p w14:paraId="7F7A8D9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pomiarów lub badań, Wykonawca powiadomi Inspektora Nadzoru o rodzaju, miejscu i terminie pomiaru lub badania. Po wykonaniu pomiaru lub badania, Wykonawca przedstawi na piśmie ich wyniki do akceptacji Inspektora Nadzoru.</w:t>
      </w:r>
    </w:p>
    <w:p w14:paraId="1B95F6F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dzielą się na:</w:t>
      </w:r>
    </w:p>
    <w:p w14:paraId="632FAB1B"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Wykonawcy – w ramach własnego nadzoru</w:t>
      </w:r>
    </w:p>
    <w:p w14:paraId="36C41B0D" w14:textId="77777777" w:rsidR="003F49C8" w:rsidRDefault="008C2229">
      <w:pPr>
        <w:pStyle w:val="Akapitzlist"/>
        <w:numPr>
          <w:ilvl w:val="0"/>
          <w:numId w:val="30"/>
        </w:num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badania i pomiary kontrolne Inspektora Nadzoru i Zamawiającego – w ramach nadzoru Zamawiającego.</w:t>
      </w:r>
    </w:p>
    <w:p w14:paraId="1C4E9F5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uzasadnionych przypadkach w ramach badań i pomiarów kontrolnych dopuszcza się wykonanie badań i pomiarów kontrolnych dodatkowych lub badań i pomiarów arbitrażowych.</w:t>
      </w:r>
    </w:p>
    <w:p w14:paraId="0F426E8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296A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6.4.1.</w:t>
      </w:r>
      <w:r>
        <w:rPr>
          <w:rFonts w:ascii="Arial" w:hAnsi="Arial" w:cs="Arial"/>
          <w:b/>
          <w:spacing w:val="-3"/>
          <w:sz w:val="18"/>
          <w:szCs w:val="18"/>
        </w:rPr>
        <w:tab/>
        <w:t>Badania i pomiary Wykonawcy</w:t>
      </w:r>
    </w:p>
    <w:p w14:paraId="69D66F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Wykonawca jest zobowiązany do przeprowadzania na bieżąco badań i pomiarów w celu sprawdzania czy jakość wykonanych Robót jest zgodna z postawionymi wymaganiami. </w:t>
      </w:r>
    </w:p>
    <w:p w14:paraId="62824FB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Inspektorowi Nadzoru w formie wskazanej w PZJ.</w:t>
      </w:r>
    </w:p>
    <w:p w14:paraId="3C38E1A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6D35395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6.4.2.</w:t>
      </w:r>
      <w:r>
        <w:rPr>
          <w:rFonts w:ascii="Arial" w:hAnsi="Arial" w:cs="Arial"/>
          <w:b/>
          <w:spacing w:val="-3"/>
          <w:sz w:val="18"/>
          <w:szCs w:val="18"/>
        </w:rPr>
        <w:tab/>
        <w:t>Badania i pomiary kontrolne Inspektora Nadzoru i Zamawiającego</w:t>
      </w:r>
    </w:p>
    <w:p w14:paraId="2DE522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jest uprawniony do dokonywania kontroli, pobierania próbek i badania materiałów w miejscu ich wytwarzania/pozyskiwania, a Wykonawca i producent materiałów powinien udzielić mu niezbędnej pomocy.</w:t>
      </w:r>
    </w:p>
    <w:p w14:paraId="4A752A3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Inspektor Nadzoru, dokonując weryfikacji systemu kontroli Robót prowadzonego przez Wykonawcę, będzie oceniać zgodność materiałów i Robót z wymaganiami STWiORB na podstawie wyników własnych badań kontrolnych jak i wyników badań dostarczonych przez Wykonawcę.</w:t>
      </w:r>
    </w:p>
    <w:p w14:paraId="0BE0DFE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Inspektora Nadzoru będą interpretowane zgodnie z p. 2.7 dokumentu ILAC-G8:03/2009 bez uwzględniania niepewności pomiaru.</w:t>
      </w:r>
    </w:p>
    <w:p w14:paraId="4CFAD16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Inspektor Nadzoru ma obowiązek pobierać próbki materiałów i prowadzić badania niezależnie od Wykonawcy. </w:t>
      </w:r>
    </w:p>
    <w:p w14:paraId="4D3F20A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może zostać przeprowadzony na ryzyko Wykonawcy na podstawie jego badań, w sytuacji długiego okresu oczekiwania na wyniki badań kontrolnych. Czas oczekiwania na wyniki badań kontrolnych nie będzie powodować żadnych roszczeń ze strony Wykonawcy.</w:t>
      </w:r>
    </w:p>
    <w:p w14:paraId="09D452C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zobowiązany jest zapewniać laboratorium Zamawiającego na swój koszt pojazdy ciężarowe stanowiące przeciwwagę do oznaczania modułu odkształcenia i badania nośności przez obciążenie płytą statyczną (badanie aparatem VSS) w miejscu i terminie wyznaczonym przez Inspektora Nadzoru.</w:t>
      </w:r>
    </w:p>
    <w:p w14:paraId="31795BC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zapewni Zamawiającemu na swój koszt dostęp do energii elektrycznej we własnym zapleczu funkcjonującym podczas realizacji robót mostowych, umożliwiając zasilenie urządzeń laboratoryjnych (np. stołu wibracyjnego lub komory do pielęgnacji próbek).</w:t>
      </w:r>
    </w:p>
    <w:p w14:paraId="17C31BA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na swój koszt uzupełni ubytki powstałe po pobraniu próbek do badań kontrolnych wykonywanych przez Zamawiającego w sposób zapewniający trwałość funkcjonalną elementu, z którego została pobrana próbka.</w:t>
      </w:r>
    </w:p>
    <w:p w14:paraId="3308327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C8457B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w:t>
      </w:r>
      <w:r>
        <w:rPr>
          <w:rFonts w:ascii="Arial" w:hAnsi="Arial" w:cs="Arial"/>
          <w:b/>
          <w:spacing w:val="-3"/>
          <w:sz w:val="18"/>
          <w:szCs w:val="18"/>
        </w:rPr>
        <w:tab/>
        <w:t>Badania rozstrzygające</w:t>
      </w:r>
    </w:p>
    <w:p w14:paraId="5C26F86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Jeśli któraś ze stron Kontraktu nie uzna badań lub pomiarów wcześniej wykonanych przez którąś ze stron na danym asortymencie robót i materiałów, to należy uruchomić tryb badań rozstrzygających. Możliwy jest do wyboru jeden z poniższych trybów postepowania (pkt 6.4.3.1 lub 6.4.3.2), przy każdorazowej możliwości uczestnictwa stron w tych badaniach oraz akceptacji przez strony ostatecznych wyników.</w:t>
      </w:r>
    </w:p>
    <w:p w14:paraId="5E1556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rozstrzygających traktowane są przez strony Kontraktu jako ostateczne.</w:t>
      </w:r>
    </w:p>
    <w:p w14:paraId="73ACCAF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46F3B58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w:t>
      </w:r>
      <w:r>
        <w:rPr>
          <w:rFonts w:ascii="Arial" w:hAnsi="Arial" w:cs="Arial"/>
          <w:b/>
          <w:spacing w:val="-3"/>
          <w:sz w:val="18"/>
          <w:szCs w:val="18"/>
        </w:rPr>
        <w:tab/>
        <w:t>3.1 Badania i pomiary kontrolne dodatkowe</w:t>
      </w:r>
    </w:p>
    <w:p w14:paraId="0E870A3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Badania kontrolne dodatkowe odbywają się w tym samym laboratorium Zarządcy drogi, działającym na zlecenie Inspektora Nadzoru, które wcześniej wykonywało badania kontrolne. W przypadku uznania przez którąś ze stron Kontraktu, że któryś z wyników badań kontrolnych nie jest reprezentatywny dla ocenianego odcinka budowy, strona ma prawo żądać przeprowadzenia badań kontrolnych dodatkowych w laboratorium Zarządcy drogi.</w:t>
      </w:r>
    </w:p>
    <w:p w14:paraId="6DA0304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Strony decydują wspólnie o miejscach pobierania próbek i wyznaczeniu odcinków częściowych ocenianego odcinka budowy. </w:t>
      </w:r>
    </w:p>
    <w:p w14:paraId="3569127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zlecenia badań kontrolnych dodatkowych upoważniony jest Inspektor Nadzoru.</w:t>
      </w:r>
    </w:p>
    <w:p w14:paraId="1AF771F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odbioru uwzględniane są zarówno wyniki badań kontrolnych dodatkowych, jak i wyniki badań kontrolnych uprzednio wykonanych.</w:t>
      </w:r>
    </w:p>
    <w:p w14:paraId="21DC1D2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 badań kontrolnych dodatkowych ponosi Zamawiający jednak w przypadku, gdy ze strony Wykonawcy dojdzie do wielokrotnego (ponad dwukrotnego) zgłaszania do odbioru tego samego wyrobu nie spełniającego wymagań, kosztami tych badań zostanie obciążony Wykonawca.</w:t>
      </w:r>
    </w:p>
    <w:p w14:paraId="1456FD6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6844B7B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6.4.3.2.</w:t>
      </w:r>
      <w:r>
        <w:rPr>
          <w:rFonts w:ascii="Arial" w:hAnsi="Arial" w:cs="Arial"/>
          <w:b/>
          <w:spacing w:val="-3"/>
          <w:sz w:val="18"/>
          <w:szCs w:val="18"/>
        </w:rPr>
        <w:tab/>
        <w:t>Badania i pomiary arbitrażowe</w:t>
      </w:r>
    </w:p>
    <w:p w14:paraId="2F48595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05976B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Badania i pomiary arbitrażowe wykonuje się na wniosek strony kontraktu. Badania i pomiary arbitrażowe wykonuje bezstronne laboratorium (w tym inne laboratorium Zarządcy drogi) posiadające akredytację w zakresie wykonywanych czynności (pobieranie, przygotowanie i badanie próbek), które nie wykonywało badań lub pomiarów kontrolnych, przy udziale lub po poinformowaniu przedstawicieli stron.</w:t>
      </w:r>
    </w:p>
    <w:p w14:paraId="1D15C00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braku dostępności na rynku laboratorium spełniającego powyższe wymagania, za zgodą stron może zostać zatwierdzone inne laboratorium.</w:t>
      </w:r>
    </w:p>
    <w:p w14:paraId="667438C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13B26C7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EF863C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badań arbitrażowych preferowane są, za zgodą stron, laboratoria innych Zarządców dróg lub inne laboratoria posiadające wymagane kompetencje.</w:t>
      </w:r>
    </w:p>
    <w:p w14:paraId="5A18B2D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Koszty badań arbitrażowych wraz ze wszystkimi kosztami ubocznymi ponosi strona domagająca się przeprowadzenia badań.</w:t>
      </w:r>
    </w:p>
    <w:p w14:paraId="0092C5D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9BD999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6.4.4.</w:t>
      </w:r>
      <w:r>
        <w:rPr>
          <w:rFonts w:ascii="Arial" w:hAnsi="Arial" w:cs="Arial"/>
          <w:b/>
          <w:spacing w:val="-3"/>
          <w:sz w:val="18"/>
          <w:szCs w:val="18"/>
        </w:rPr>
        <w:tab/>
        <w:t xml:space="preserve">Badania przed przystąpieniem do robót </w:t>
      </w:r>
    </w:p>
    <w:p w14:paraId="19BAC5D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Przed przystąpieniem do robót Wykonawca powinien:</w:t>
      </w:r>
    </w:p>
    <w:p w14:paraId="2D44E273"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uzyskać wymagane dokumenty, dopuszczające wyroby budowlane do obrotu i powszechnego stosowania (certyfikaty zgodności, deklaracje właściwości użytkowych) i na ich podstawie sprawdzić zgodność właściwości materiałów i wyrobów przeznaczonych do wykonania robót z wymaganiami podanymi w STWiORB,</w:t>
      </w:r>
    </w:p>
    <w:p w14:paraId="46B011FB" w14:textId="77777777" w:rsidR="003F49C8" w:rsidRDefault="008C2229">
      <w:pPr>
        <w:pStyle w:val="Akapitzlist"/>
        <w:numPr>
          <w:ilvl w:val="0"/>
          <w:numId w:val="30"/>
        </w:numPr>
        <w:tabs>
          <w:tab w:val="left" w:pos="-1725"/>
          <w:tab w:val="left" w:pos="-1005"/>
          <w:tab w:val="left" w:pos="-285"/>
          <w:tab w:val="left" w:pos="435"/>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wykonać własne badania materiałów i wyrobów przeznaczonych do wykonania robót, w celu sprawdzenia ich właściwości z wymaganymi w STWiORB. Dotyczy materiałów, dla których STWiORB wymaga wykonania badań przed wbudowaniem, w przypadku gdy materiał jest wydobywany (m.in. kruszywa) lub przygotowywany na podstawie zaprojektowanej receptury (m.in. mieszanki asfaltowe, mieszanki betonowe), na potrzeby danej inwestycji.</w:t>
      </w:r>
    </w:p>
    <w:p w14:paraId="6BAEB537" w14:textId="77777777" w:rsidR="003F49C8" w:rsidRDefault="008C2229">
      <w:pPr>
        <w:tabs>
          <w:tab w:val="left" w:pos="-1725"/>
          <w:tab w:val="left" w:pos="-1005"/>
          <w:tab w:val="left" w:pos="-285"/>
          <w:tab w:val="left" w:pos="435"/>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dokumenty oraz wyniki badań Wykonawca przedstawia Inspektorowi Nadzoru do akceptacji. Laboratoria Wykonawcy przed przeprowadzeniem badań podlegają akceptacji Inspektora Nadzoru zgodnie z pkt 6.2.</w:t>
      </w:r>
    </w:p>
    <w:p w14:paraId="286AFE36"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BA7219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6.5. Raporty z badań</w:t>
      </w:r>
    </w:p>
    <w:p w14:paraId="45BFFAF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Wykonawca będzie przekazywać Inspektorowi Nadzoru kopie raportów z wynikami badań jak najszybciej, tj. w takim terminie, aby Inspektor Nadzoru mógł wykonać badania kontrolne przed odbiorem robót załączając do zlecenia kopię wyników badań Wykonawcy, nie później jednak niż w terminie określonym w programie zapewnienia jakości.</w:t>
      </w:r>
    </w:p>
    <w:p w14:paraId="710AB0A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Wyniki badań (kopie) będą przekazywane na formularzach uzgodnionych z Inspektorem Nadzoru.</w:t>
      </w:r>
    </w:p>
    <w:p w14:paraId="42283DA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1CD300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6.6. Certyfikaty i deklaracje</w:t>
      </w:r>
    </w:p>
    <w:p w14:paraId="65C5E7A3" w14:textId="77777777" w:rsidR="003F49C8" w:rsidRDefault="008C2229">
      <w:pPr>
        <w:pStyle w:val="tekstost"/>
        <w:ind w:firstLine="567"/>
        <w:rPr>
          <w:rFonts w:ascii="Arial" w:hAnsi="Arial" w:cs="Arial"/>
          <w:sz w:val="18"/>
          <w:szCs w:val="18"/>
        </w:rPr>
      </w:pPr>
      <w:r>
        <w:rPr>
          <w:rFonts w:ascii="Arial" w:hAnsi="Arial" w:cs="Arial"/>
          <w:sz w:val="18"/>
          <w:szCs w:val="18"/>
        </w:rPr>
        <w:t>Inspektor Nadzoru może dopuścić do użycia tylko materiały zgodne z wymaganiami określonymi w odpowiednich STWiORB.</w:t>
      </w:r>
    </w:p>
    <w:p w14:paraId="74545591" w14:textId="77777777" w:rsidR="003F49C8" w:rsidRDefault="008C2229">
      <w:pPr>
        <w:pStyle w:val="tekstost"/>
        <w:ind w:firstLine="567"/>
        <w:rPr>
          <w:rFonts w:ascii="Arial" w:hAnsi="Arial" w:cs="Arial"/>
          <w:sz w:val="18"/>
          <w:szCs w:val="18"/>
        </w:rPr>
      </w:pPr>
      <w:r>
        <w:rPr>
          <w:rFonts w:ascii="Arial" w:hAnsi="Arial" w:cs="Arial"/>
          <w:sz w:val="18"/>
          <w:szCs w:val="18"/>
        </w:rPr>
        <w:t>Dopuszcza się do stosowania materiały zgodne z punktem 2.1</w:t>
      </w:r>
    </w:p>
    <w:p w14:paraId="6263977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materiałów, dla których dokumenty określone w punkcie 2.1 są wymagane przez STWiORB, każda partia dostarczona do Robót będzie posiadać te dokumenty, określające w sposób jednoznaczny jej cechy.</w:t>
      </w:r>
    </w:p>
    <w:p w14:paraId="21B6400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Produkty przemysłowe muszą posiadać ww. dokumenty wydane przez producenta, a w razie potrzeby poparte wynikami badań wykonanych przez niego. Kopie wyników tych badań będą dostarczone przez Wykonawcę Inspektorowi Nadzorui.</w:t>
      </w:r>
    </w:p>
    <w:p w14:paraId="67C3A5F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Jakiekolwiek materiały, które nie spełniają tych wymagań, będą odrzucone.</w:t>
      </w:r>
    </w:p>
    <w:p w14:paraId="57C3930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04EC759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 Dokumenty budowy</w:t>
      </w:r>
    </w:p>
    <w:p w14:paraId="7E6914D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6.7.1. Dziennik Budowy</w:t>
      </w:r>
    </w:p>
    <w:p w14:paraId="2050C81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 Budowy jest wymaganym dokumentem prawnym obowiązującym Zamawiającego i Wykonawcę w okresie od przekazania Wykonawcy Placu Budowy do uzyskania pozwolenia na użytkowanie.</w:t>
      </w:r>
    </w:p>
    <w:p w14:paraId="56198B8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lastRenderedPageBreak/>
        <w:t>Odpowiedzialność za prowadzenie Dziennika Budowy zgodnie z obowiązującymi przepisami spoczywa na Wykonawcy (Kierowniku Budowy).</w:t>
      </w:r>
    </w:p>
    <w:p w14:paraId="2D0B6E99" w14:textId="77777777" w:rsidR="003F49C8" w:rsidRDefault="008C2229">
      <w:pPr>
        <w:widowControl w:val="0"/>
        <w:ind w:firstLine="567"/>
        <w:jc w:val="both"/>
        <w:rPr>
          <w:rFonts w:ascii="Arial" w:hAnsi="Arial" w:cs="Arial"/>
          <w:sz w:val="18"/>
          <w:szCs w:val="18"/>
        </w:rPr>
      </w:pPr>
      <w:r>
        <w:rPr>
          <w:rFonts w:ascii="Arial" w:hAnsi="Arial" w:cs="Arial"/>
          <w:sz w:val="18"/>
          <w:szCs w:val="18"/>
        </w:rPr>
        <w:t>Wpisów do Dziennika Budowy mogą dokonywać tylko osoby do tego uprawnione.</w:t>
      </w:r>
    </w:p>
    <w:p w14:paraId="2A9EBD46" w14:textId="77777777" w:rsidR="003F49C8" w:rsidRDefault="008C2229">
      <w:pPr>
        <w:pStyle w:val="tekstost"/>
        <w:numPr>
          <w:ilvl w:val="12"/>
          <w:numId w:val="0"/>
        </w:numPr>
        <w:ind w:firstLine="567"/>
        <w:rPr>
          <w:rFonts w:ascii="Arial" w:hAnsi="Arial" w:cs="Arial"/>
          <w:sz w:val="18"/>
          <w:szCs w:val="18"/>
        </w:rPr>
      </w:pPr>
      <w:r>
        <w:rPr>
          <w:rFonts w:ascii="Arial" w:hAnsi="Arial" w:cs="Arial"/>
          <w:sz w:val="18"/>
          <w:szCs w:val="18"/>
        </w:rPr>
        <w:t>Wszystkie wpisy do Dziennika Budowy dokonane przez uprawione osoby, nie będące reprezentantami Zamawiającego, Wykonawcy lub Inspektora Nadzoru, przedstawiciel Wykonawcy powinien bezzwłocznie zgłosić Inspektorowi Nadzoru.</w:t>
      </w:r>
    </w:p>
    <w:p w14:paraId="26CFEA2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Zapisy w Dzienniku Budowy będą dokonywane na bieżąco i będą dotyczyć przebiegu Robót, stanu bezpieczeństwa ludzi i mienia oraz technicznej i gospodarczej strony budowy.</w:t>
      </w:r>
    </w:p>
    <w:p w14:paraId="11572EE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8AEAE4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Załączone do Dziennika Budowy protokoły i inne dokumenty będą oznaczone kolejnym numerem załącznika i opatrzone datą i podpisem Wykonawcy i Inspektora Nadzoru.</w:t>
      </w:r>
    </w:p>
    <w:p w14:paraId="4061B92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Dziennika Budowy należy wpisywać w szczególności:</w:t>
      </w:r>
    </w:p>
    <w:p w14:paraId="00081C2E"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przekazania Wykonawcy Placu Budowy,</w:t>
      </w:r>
    </w:p>
    <w:p w14:paraId="522DC77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datę uzgodnienia przez Inspektora Nadzoru Programu Zapewnienia Jakości i harmonogramów Robót (Programu),</w:t>
      </w:r>
    </w:p>
    <w:p w14:paraId="414AB16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terminy rozpoczęcia i zakończenia poszczególnych elementów Robót wraz z określeniem sposobu i zakresu tymczasowej organizacji ruchu,</w:t>
      </w:r>
    </w:p>
    <w:p w14:paraId="69854763"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przebieg Robót, trudności i przeszkody w ich prowadzeniu, okresy i przyczyny przerw w Robotach,</w:t>
      </w:r>
    </w:p>
    <w:p w14:paraId="391081EC"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uwagi i polecenia Inspektora Nadzoru,</w:t>
      </w:r>
    </w:p>
    <w:p w14:paraId="49551639"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daty zarządzenia wstrzymania Robót, z podaniem powodu,</w:t>
      </w:r>
    </w:p>
    <w:p w14:paraId="60425A3A" w14:textId="77777777" w:rsidR="003F49C8" w:rsidRDefault="008C2229">
      <w:pPr>
        <w:numPr>
          <w:ilvl w:val="0"/>
          <w:numId w:val="3"/>
        </w:numPr>
        <w:tabs>
          <w:tab w:val="left" w:pos="-1725"/>
          <w:tab w:val="left" w:pos="-1005"/>
          <w:tab w:val="left" w:pos="-285"/>
          <w:tab w:val="left" w:pos="426"/>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zgłoszenia i daty odbiorów Robót zanikających i ulegających zakryciu, częściowych i końcowych odbiorów Robót,</w:t>
      </w:r>
    </w:p>
    <w:p w14:paraId="6C8C54E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wyjaśnienia, uwagi i propozycje Wykonawcy,</w:t>
      </w:r>
    </w:p>
    <w:p w14:paraId="5EA15E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stan pogody i temperaturę powietrza w okresie wykonywania Robót podlegających ograniczeniom lub wymaganiom szczególnym w związku z warunkami klimatycznymi,</w:t>
      </w:r>
    </w:p>
    <w:p w14:paraId="6FC3C1FA"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zgodność rzeczywistych warunków geotechnicznych z ich opisem w dokumentacji geologiczno-geotechnicznej,</w:t>
      </w:r>
    </w:p>
    <w:p w14:paraId="43F574C7"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czynności geodezyjnych (pomiarowych) dokonywanych przed i w trakcie wykonywania Robót,</w:t>
      </w:r>
    </w:p>
    <w:p w14:paraId="3A8DD1EE"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sposobu wykonywania zabezpieczenia Robót,</w:t>
      </w:r>
    </w:p>
    <w:p w14:paraId="6DBB76EB"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dane dotyczące jakości materiałów, pobierania próbek oraz wyniki przeprowadzonych badań z podaniem, kto je przeprowadzał,</w:t>
      </w:r>
    </w:p>
    <w:p w14:paraId="4BCDFEF2"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wyniki prób poszczególnych elementów budowli z podaniem, kto je przeprowadzał,</w:t>
      </w:r>
    </w:p>
    <w:p w14:paraId="38BA6135" w14:textId="77777777" w:rsidR="003F49C8" w:rsidRDefault="008C2229">
      <w:pPr>
        <w:numPr>
          <w:ilvl w:val="0"/>
          <w:numId w:val="3"/>
        </w:numPr>
        <w:tabs>
          <w:tab w:val="left" w:pos="-1725"/>
          <w:tab w:val="left" w:pos="-1005"/>
          <w:tab w:val="left" w:pos="-285"/>
          <w:tab w:val="left" w:pos="43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inne istotne informacje o przebiegu Robót.</w:t>
      </w:r>
    </w:p>
    <w:p w14:paraId="612FF9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Propozycje, uwagi i wyjaśnienia Wykonawcy, wpisane do Dziennika Budowy będą przedłożone Inspektorowi Nadzoru do ustosunkowania się.</w:t>
      </w:r>
    </w:p>
    <w:p w14:paraId="08774C2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Decyzje Inspektora Nadzoru wpisane do Dziennika Budowy Wykonawca podpisuje z zaznaczeniem ich przyjęcia lub zajęciem stanowiska.</w:t>
      </w:r>
    </w:p>
    <w:p w14:paraId="63B04F79"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Wpis projektanta do Dziennika Budowy obliguje Inspektora Nadzoru do ustosunkowania się.</w:t>
      </w:r>
    </w:p>
    <w:p w14:paraId="7DE5CBB7"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3C527D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6.7.2. Rejestr obmiarów</w:t>
      </w:r>
    </w:p>
    <w:p w14:paraId="6D9710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Rejestr obmiarów stanowi dokument pozwalający na rozliczenie faktycznego postępu każdego z elementów robót. Forma rejestru musi być zatwierdzona przez Inspektora Nadzoru. Obmiary wykonanych robót przeprowadza się w sposób ciągły i wpisuje do rejestru obmiarów dokumentując narastająco postęp rzeczowy robót. Wpisów do Rejestru Obmiarów dokonuje Kierownik Budowy i są one potwierdzane przez Inspektora Nadzoru.</w:t>
      </w:r>
    </w:p>
    <w:p w14:paraId="576DF3E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b/>
          <w:spacing w:val="-3"/>
          <w:sz w:val="18"/>
          <w:szCs w:val="18"/>
        </w:rPr>
      </w:pPr>
    </w:p>
    <w:p w14:paraId="3033B3A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6.7.3. Dokumenty laboratoryjne</w:t>
      </w:r>
    </w:p>
    <w:p w14:paraId="4A7EC38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7C1F4FE1"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58485C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6.7.4. Pozostałe dokumenty budowy</w:t>
      </w:r>
    </w:p>
    <w:p w14:paraId="6AFF6A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 dokumentów budowy zalicza się, oprócz wymienionych powyżej, także następujące dokumenty:</w:t>
      </w:r>
    </w:p>
    <w:p w14:paraId="63B720DA"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pozwolenie na realizację zadania budowlanego,</w:t>
      </w:r>
    </w:p>
    <w:p w14:paraId="0374421C"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przekazania Placu Budowy,</w:t>
      </w:r>
    </w:p>
    <w:p w14:paraId="1E18E9C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umowy cywilno-prawne z osobami trzecimi i inne umowy cywilno-prawne,</w:t>
      </w:r>
    </w:p>
    <w:p w14:paraId="3CCCC385"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odbioru Robót,</w:t>
      </w:r>
    </w:p>
    <w:p w14:paraId="16758B74"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protokoły z narad i ustaleń,</w:t>
      </w:r>
    </w:p>
    <w:p w14:paraId="36739537" w14:textId="77777777" w:rsidR="003F49C8" w:rsidRDefault="008C2229">
      <w:pPr>
        <w:pStyle w:val="Akapitzlist"/>
        <w:numPr>
          <w:ilvl w:val="0"/>
          <w:numId w:val="20"/>
        </w:numPr>
        <w:tabs>
          <w:tab w:val="left" w:pos="-1725"/>
          <w:tab w:val="left" w:pos="-1005"/>
          <w:tab w:val="left" w:pos="-285"/>
          <w:tab w:val="left" w:pos="567"/>
          <w:tab w:val="left" w:pos="85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korespondencję na budowie.</w:t>
      </w:r>
    </w:p>
    <w:p w14:paraId="0B30420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5562320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6.7.5. Przechowywanie dokumentów budowy</w:t>
      </w:r>
    </w:p>
    <w:p w14:paraId="332714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Dokumenty budowy będą przechowywane na Placu Budowy w miejscu odpowiednio zabezpieczonym.</w:t>
      </w:r>
    </w:p>
    <w:p w14:paraId="7D42F0A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Zaginięcie któregokolwiek z dokumentów budowy wymagać będzie jego natychmiastowego odtworzenia w formie przewidzianej prawem</w:t>
      </w:r>
    </w:p>
    <w:p w14:paraId="0C16AA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Wszelkie dokumenty budowy będą zawsze dostępne dla Inspektora Nadzoru i przedstawiane do wglądu na życzenie Zamawiającego.</w:t>
      </w:r>
    </w:p>
    <w:p w14:paraId="5C98ED0F"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1CB477D"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E828DF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lastRenderedPageBreak/>
        <w:t>7.   OBMIAR ROBÓT</w:t>
      </w:r>
    </w:p>
    <w:p w14:paraId="118CBA1C" w14:textId="77777777" w:rsidR="003F49C8" w:rsidRDefault="008C2229">
      <w:pPr>
        <w:ind w:firstLine="567"/>
        <w:jc w:val="both"/>
        <w:rPr>
          <w:rFonts w:ascii="Arial" w:hAnsi="Arial" w:cs="Arial"/>
          <w:strike/>
          <w:sz w:val="18"/>
          <w:szCs w:val="18"/>
        </w:rPr>
      </w:pPr>
      <w:r>
        <w:rPr>
          <w:rFonts w:ascii="Arial" w:hAnsi="Arial" w:cs="Arial"/>
          <w:sz w:val="18"/>
          <w:szCs w:val="18"/>
        </w:rPr>
        <w:t>Kontrakt ryczałtowy – jednostkami obmiaru są wykonane i odebrane protokołem Odbioru Końcowego jednostki obmiarowe określone w poszczególnych STWiORB.</w:t>
      </w:r>
    </w:p>
    <w:p w14:paraId="5ECC904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Ilości wymienione w przedmiarze Robót są ilościami szacunkowymi i nie mogą być brane za rzeczywiście poprawne dla wypełnienia zobowiązań Wykonawcy wynikającymi z Kontraktu.</w:t>
      </w:r>
    </w:p>
    <w:p w14:paraId="68C8A26D" w14:textId="77777777" w:rsidR="003F49C8" w:rsidRDefault="008C2229">
      <w:pPr>
        <w:pStyle w:val="Default"/>
        <w:ind w:firstLine="567"/>
        <w:jc w:val="both"/>
        <w:rPr>
          <w:rFonts w:ascii="Arial" w:hAnsi="Arial" w:cs="Arial"/>
          <w:color w:val="auto"/>
          <w:sz w:val="18"/>
          <w:szCs w:val="18"/>
        </w:rPr>
      </w:pPr>
      <w:r>
        <w:rPr>
          <w:rFonts w:ascii="Arial" w:hAnsi="Arial" w:cs="Arial"/>
          <w:sz w:val="18"/>
          <w:szCs w:val="18"/>
        </w:rPr>
        <w:t xml:space="preserve">Z wyjątkiem, kiedy Kontrakt stanowi inaczej, </w:t>
      </w:r>
      <w:r>
        <w:rPr>
          <w:rFonts w:ascii="Arial" w:hAnsi="Arial" w:cs="Arial"/>
          <w:color w:val="auto"/>
          <w:sz w:val="18"/>
          <w:szCs w:val="18"/>
        </w:rPr>
        <w:t>Inspektor Nadzoru powinien poprzez pomiary potwierdzać ilość Robót. W przypadku konieczności pomierzenia części Robót przez Inspektora Nadzoru, powinien o tym fakcie powiadomić upoważnionego przedstawiciela Wykonawcy, który ma obowiązek:</w:t>
      </w:r>
    </w:p>
    <w:p w14:paraId="740C223C"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niezwłocznie stawić się lub zapewnić obecność kompetentnego przedstawiciela, aby pomóc w przeprowadzeniu takich pomiarów,</w:t>
      </w:r>
    </w:p>
    <w:p w14:paraId="108A548E" w14:textId="77777777" w:rsidR="003F49C8" w:rsidRDefault="008C2229">
      <w:pPr>
        <w:pStyle w:val="Default"/>
        <w:numPr>
          <w:ilvl w:val="0"/>
          <w:numId w:val="5"/>
        </w:numPr>
        <w:tabs>
          <w:tab w:val="left" w:pos="284"/>
        </w:tabs>
        <w:ind w:left="284" w:hanging="284"/>
        <w:jc w:val="both"/>
        <w:rPr>
          <w:rFonts w:ascii="Arial" w:hAnsi="Arial" w:cs="Arial"/>
          <w:color w:val="auto"/>
          <w:sz w:val="18"/>
          <w:szCs w:val="18"/>
        </w:rPr>
      </w:pPr>
      <w:r>
        <w:rPr>
          <w:rFonts w:ascii="Arial" w:hAnsi="Arial" w:cs="Arial"/>
          <w:color w:val="auto"/>
          <w:sz w:val="18"/>
          <w:szCs w:val="18"/>
        </w:rPr>
        <w:t>dostarczyć wszelkich informacji wymaganych przez Inspektora Nadzoru.</w:t>
      </w:r>
    </w:p>
    <w:p w14:paraId="25DA8FB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Jeżeli Wykonawca nie weźmie udziału, zaniedba lub zapomni zapewnić obecność przedstawiciela, to pomiary wykonane przez Inspektora Nadzoru lub przez niego zatwierdzone będą uznane za prawidłowe pomiary danej części Robót. Dla celów pomierzenia takich części Robót stałych, które są ustalane na podstawie zapisów i rysunków, Inspektor Nadzoru przygotuje zapisy i rysunki w trakcie postępu Robót, natomiast Wykonawca zawiadomiony pisemnie o sposobie i terminie powinien w terminie 14 dni dokonać sprawdzenia zapisów i rysunków w biurze Inspektora Nadzoru i podpisać je, po dokonaniu uzgodnień końcowych. Jeżeli Wykonawca nie stawi się w celu sprawdzenia zapisów i rysunków, będą one uznane za prawidłowe.</w:t>
      </w:r>
    </w:p>
    <w:p w14:paraId="4CC77DC6"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z w:val="18"/>
          <w:szCs w:val="18"/>
        </w:rPr>
      </w:pPr>
      <w:r>
        <w:rPr>
          <w:rFonts w:ascii="Arial" w:hAnsi="Arial" w:cs="Arial"/>
          <w:sz w:val="18"/>
          <w:szCs w:val="18"/>
        </w:rPr>
        <w:t>W przypadku, kiedy Wykonawca po sprawdzeniu nie zgodzi się z wynikami obmiarów albo ich nie podpisze jako uzgodnionych, mimo wszystko zostaną one uznane za prawidłowe z wyjątkiem przypadków, kiedy Wykonawca w terminie 14 dni po dokonaniu sprawdzenia przedłoży Inspektorowi Nadzoru protokół niezgodności (rozbieżności), uznający zapisy względnie rysunki za nieprawidłowe. W tym przypadku Inspektor Nadzoru powinien ponownie sprawdzić zapisy, rysunki i wyliczenia, po czym albo je potwierdzi albo skoryguje.</w:t>
      </w:r>
    </w:p>
    <w:p w14:paraId="1C30F42B"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D13C3EE"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z w:val="18"/>
          <w:szCs w:val="18"/>
        </w:rPr>
      </w:pPr>
    </w:p>
    <w:p w14:paraId="1A503EA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8. ODBIÓR ROBÓT</w:t>
      </w:r>
    </w:p>
    <w:p w14:paraId="13815C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8.1. Rodzaje odbiorów Robót</w:t>
      </w:r>
    </w:p>
    <w:p w14:paraId="64B5131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zależności od ustaleń odpowiednich STWiORB, Roboty podlegają następującym etapom odbioru:</w:t>
      </w:r>
    </w:p>
    <w:p w14:paraId="11AA7EA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Robót zanikających i ulegających zakryciu,</w:t>
      </w:r>
    </w:p>
    <w:p w14:paraId="54C9749B"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odbiorowi częściowemu,</w:t>
      </w:r>
    </w:p>
    <w:p w14:paraId="4F8B3107"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   odbiorowi </w:t>
      </w:r>
      <w:r>
        <w:rPr>
          <w:rFonts w:ascii="Arial" w:hAnsi="Arial" w:cs="Arial"/>
          <w:sz w:val="18"/>
          <w:szCs w:val="18"/>
        </w:rPr>
        <w:t>ostatecznemu</w:t>
      </w:r>
      <w:r>
        <w:rPr>
          <w:rFonts w:ascii="Arial" w:hAnsi="Arial" w:cs="Arial"/>
          <w:spacing w:val="-3"/>
          <w:sz w:val="18"/>
          <w:szCs w:val="18"/>
        </w:rPr>
        <w:t>,</w:t>
      </w:r>
    </w:p>
    <w:p w14:paraId="29E4C7C4" w14:textId="77777777" w:rsidR="003F49C8" w:rsidRDefault="008C2229">
      <w:pPr>
        <w:numPr>
          <w:ilvl w:val="0"/>
          <w:numId w:val="4"/>
        </w:numPr>
        <w:tabs>
          <w:tab w:val="left" w:pos="-1725"/>
          <w:tab w:val="left" w:pos="-1005"/>
          <w:tab w:val="left" w:pos="-285"/>
          <w:tab w:val="left" w:pos="147"/>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odbiorowi </w:t>
      </w:r>
      <w:r>
        <w:rPr>
          <w:rFonts w:ascii="Arial" w:hAnsi="Arial" w:cs="Arial"/>
          <w:sz w:val="18"/>
          <w:szCs w:val="18"/>
        </w:rPr>
        <w:t>pogwarancyjnemu</w:t>
      </w:r>
      <w:r>
        <w:rPr>
          <w:rFonts w:ascii="Arial" w:hAnsi="Arial" w:cs="Arial"/>
          <w:spacing w:val="-3"/>
          <w:sz w:val="18"/>
          <w:szCs w:val="18"/>
        </w:rPr>
        <w:t>.</w:t>
      </w:r>
    </w:p>
    <w:p w14:paraId="48D065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7DC341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8.2. Odbiór Robót zanikających i ulegających zakryciu</w:t>
      </w:r>
    </w:p>
    <w:p w14:paraId="46A483AB"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polega na finalnej ocenie jakości i kompletności wykonanych Robót, które w dalszym procesie realizacji ulegną zakryciu.</w:t>
      </w:r>
    </w:p>
    <w:p w14:paraId="305C041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Robót zanikających i ulegających zakryciu będzie dokonany w czasie umożliwiającym wykonanie ewentualnych korekt i poprawek bez hamowania ogólnego postępu Robót.</w:t>
      </w:r>
    </w:p>
    <w:p w14:paraId="551515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Odbioru Robót dokonuje Inspektor Nadzoru.</w:t>
      </w:r>
    </w:p>
    <w:p w14:paraId="24DE56D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00B5DD8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Jakość i zakres Robót ulegających zakryciu ocenia Inspektor Nadzoru na podstawie dokumentów zawierających komplet wyników badań laboratoryjnych i w oparciu o wykonane operaty powykonawcze, w konfrontacji z Dokumentacją Projektową, z STWiORB oraz innymi ustaleniami Inspektora Nadzoru.</w:t>
      </w:r>
    </w:p>
    <w:p w14:paraId="5C006E11" w14:textId="77777777" w:rsidR="003F49C8" w:rsidRDefault="008C2229">
      <w:pPr>
        <w:pStyle w:val="tekstost"/>
        <w:ind w:firstLine="567"/>
        <w:rPr>
          <w:rFonts w:ascii="Arial" w:hAnsi="Arial" w:cs="Arial"/>
          <w:sz w:val="18"/>
          <w:szCs w:val="18"/>
        </w:rPr>
      </w:pPr>
      <w:r>
        <w:rPr>
          <w:rFonts w:ascii="Arial" w:hAnsi="Arial" w:cs="Arial"/>
          <w:sz w:val="18"/>
          <w:szCs w:val="18"/>
        </w:rPr>
        <w:t>Wykonawca jest zobowiązany również do dokumentowania odbieranych Robót w postaci fotograficznej. Dokumentacja ta powinna być skatalogowana w sposób niebudzący wątpliwości co do dat wykonania fotografii oraz obiektów, które dokumentuje.</w:t>
      </w:r>
    </w:p>
    <w:p w14:paraId="178B5C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z w:val="18"/>
          <w:szCs w:val="18"/>
        </w:rPr>
        <w:t>Koszt przygotowania dokumentacji odbiorowej, w tym fotograficznej, nie podlega odrębnej zapłacie .</w:t>
      </w:r>
    </w:p>
    <w:p w14:paraId="5875812A"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2EE9190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8.3. Odbiór częściowy</w:t>
      </w:r>
    </w:p>
    <w:p w14:paraId="3F71E32E"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Odbiór częściowy polega na ocenie jakości i kompletności wykonanych Odcinków lub części Robót, w stanie nadającym się do użytkowania.</w:t>
      </w:r>
    </w:p>
    <w:p w14:paraId="0F253A0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częściowego Robót dokonuje się wg zasad jak przy odbiorze </w:t>
      </w:r>
      <w:r>
        <w:rPr>
          <w:rFonts w:ascii="Arial" w:hAnsi="Arial" w:cs="Arial"/>
          <w:sz w:val="18"/>
          <w:szCs w:val="18"/>
        </w:rPr>
        <w:t>końcowym</w:t>
      </w:r>
      <w:r>
        <w:rPr>
          <w:rFonts w:ascii="Arial" w:hAnsi="Arial" w:cs="Arial"/>
          <w:spacing w:val="-3"/>
          <w:sz w:val="18"/>
          <w:szCs w:val="18"/>
        </w:rPr>
        <w:t xml:space="preserve"> Robót oraz zgodnie z Warunkami Kontraktu.</w:t>
      </w:r>
    </w:p>
    <w:p w14:paraId="2230AC23"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trike/>
          <w:spacing w:val="-3"/>
          <w:sz w:val="18"/>
          <w:szCs w:val="18"/>
        </w:rPr>
      </w:pPr>
      <w:r>
        <w:rPr>
          <w:rFonts w:ascii="Arial" w:hAnsi="Arial" w:cs="Arial"/>
          <w:spacing w:val="-3"/>
          <w:sz w:val="18"/>
          <w:szCs w:val="18"/>
        </w:rPr>
        <w:t xml:space="preserve">Dokumentem potwierdzającym przyjęcie części Robót lub Odcinka, w następstwie dokonania wyżej wymienionych czynności odbiorowych, jest zgodnie z Warunkami Kontraktu – Świadectwo Przejęcia. </w:t>
      </w:r>
    </w:p>
    <w:p w14:paraId="40488305"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trike/>
          <w:spacing w:val="-3"/>
          <w:sz w:val="18"/>
          <w:szCs w:val="18"/>
        </w:rPr>
      </w:pPr>
    </w:p>
    <w:p w14:paraId="38D73B85"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 Odbiór końcowy Robót</w:t>
      </w:r>
    </w:p>
    <w:p w14:paraId="34133BF4" w14:textId="77777777" w:rsidR="003F49C8" w:rsidRDefault="008C2229">
      <w:pPr>
        <w:numPr>
          <w:ilvl w:val="2"/>
          <w:numId w:val="10"/>
        </w:numPr>
        <w:tabs>
          <w:tab w:val="left" w:pos="-1725"/>
          <w:tab w:val="left" w:pos="-1005"/>
          <w:tab w:val="left" w:pos="-285"/>
          <w:tab w:val="left" w:pos="3"/>
          <w:tab w:val="left" w:pos="142"/>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.Zasady odbioru ostatecznego robót</w:t>
      </w:r>
    </w:p>
    <w:p w14:paraId="60EFC2ED"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 xml:space="preserve">ostateczny </w:t>
      </w:r>
      <w:r>
        <w:rPr>
          <w:rFonts w:ascii="Arial" w:hAnsi="Arial" w:cs="Arial"/>
          <w:spacing w:val="-3"/>
          <w:sz w:val="18"/>
          <w:szCs w:val="18"/>
        </w:rPr>
        <w:t>polega na finalnej ocenie rzeczywistego wykonania robót w odniesieniu do ich jakości i kompletności.</w:t>
      </w:r>
    </w:p>
    <w:p w14:paraId="6915DC4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Całkowite zakończenie Robót oraz gotowość do odbioru </w:t>
      </w:r>
      <w:r>
        <w:rPr>
          <w:rFonts w:ascii="Arial" w:hAnsi="Arial" w:cs="Arial"/>
          <w:sz w:val="18"/>
          <w:szCs w:val="18"/>
        </w:rPr>
        <w:t>ostatecznego</w:t>
      </w:r>
      <w:r>
        <w:rPr>
          <w:rFonts w:ascii="Arial" w:hAnsi="Arial" w:cs="Arial"/>
          <w:spacing w:val="-3"/>
          <w:sz w:val="18"/>
          <w:szCs w:val="18"/>
        </w:rPr>
        <w:t xml:space="preserve"> będzie stwierdzona przez Wykonawcę wpisem do Dziennika Budowy z bezzwłocznym powiadomieniem na piśmie o tym fakcie Zamawiającego.</w:t>
      </w:r>
    </w:p>
    <w:p w14:paraId="06B09C5D" w14:textId="77777777" w:rsidR="003F49C8" w:rsidRDefault="008C2229">
      <w:pPr>
        <w:overflowPunct w:val="0"/>
        <w:autoSpaceDE w:val="0"/>
        <w:autoSpaceDN w:val="0"/>
        <w:adjustRightInd w:val="0"/>
        <w:ind w:firstLine="567"/>
        <w:jc w:val="both"/>
        <w:textAlignment w:val="baseline"/>
        <w:rPr>
          <w:rFonts w:ascii="Arial" w:hAnsi="Arial" w:cs="Arial"/>
          <w:sz w:val="18"/>
          <w:szCs w:val="18"/>
        </w:rPr>
      </w:pPr>
      <w:r>
        <w:rPr>
          <w:rFonts w:ascii="Arial" w:hAnsi="Arial" w:cs="Arial"/>
          <w:spacing w:val="-3"/>
          <w:sz w:val="18"/>
          <w:szCs w:val="18"/>
        </w:rPr>
        <w:t xml:space="preserve">Odbiór </w:t>
      </w:r>
      <w:r>
        <w:rPr>
          <w:rFonts w:ascii="Arial" w:hAnsi="Arial" w:cs="Arial"/>
          <w:sz w:val="18"/>
          <w:szCs w:val="18"/>
        </w:rPr>
        <w:t>ostateczny</w:t>
      </w:r>
      <w:r>
        <w:rPr>
          <w:rFonts w:ascii="Arial" w:hAnsi="Arial" w:cs="Arial"/>
          <w:spacing w:val="-3"/>
          <w:sz w:val="18"/>
          <w:szCs w:val="18"/>
        </w:rPr>
        <w:t xml:space="preserve"> Robót nastąpi w terminie ustalonym w Dokumentach Kontraktowych, licząc od dnia potwierdzenia przez Inspektora Nadzoru zakończenia Robót i przyjęcia dokumentów, o których mowa w p-pkcie 8.4.2. </w:t>
      </w:r>
      <w:r>
        <w:rPr>
          <w:rFonts w:ascii="Arial" w:hAnsi="Arial" w:cs="Arial"/>
          <w:sz w:val="18"/>
          <w:szCs w:val="18"/>
        </w:rPr>
        <w:lastRenderedPageBreak/>
        <w:t xml:space="preserve">Warunkiem dokonania odbioru ostatecznego jest uprzednie wystawienie przez Inspektora Nadzoru Świadectwa Przejęcia. </w:t>
      </w:r>
    </w:p>
    <w:p w14:paraId="406B45F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Odbioru </w:t>
      </w:r>
      <w:r>
        <w:rPr>
          <w:rFonts w:ascii="Arial" w:hAnsi="Arial" w:cs="Arial"/>
          <w:sz w:val="18"/>
          <w:szCs w:val="18"/>
        </w:rPr>
        <w:t>ostatecznego r</w:t>
      </w:r>
      <w:r>
        <w:rPr>
          <w:rFonts w:ascii="Arial" w:hAnsi="Arial" w:cs="Arial"/>
          <w:spacing w:val="-3"/>
          <w:sz w:val="18"/>
          <w:szCs w:val="18"/>
        </w:rPr>
        <w:t>obót dokona komisja wyznaczona przez Zamawiającego w obecności Inspektora Nadzoru i Wykonawcy. Komisja odbierająca roboty dokona ich oceny jakościowej na podstawie przedłożonych dokumentów w tym dokumentacji fotograficznej, wyników badań i pomiarów, ocenie wizualnej oraz zgodności wykonania robót z dokumentacją projektową i STWiORB.</w:t>
      </w:r>
    </w:p>
    <w:p w14:paraId="6E681F0C"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toku odbioru </w:t>
      </w:r>
      <w:r>
        <w:rPr>
          <w:rFonts w:ascii="Arial" w:hAnsi="Arial" w:cs="Arial"/>
          <w:sz w:val="18"/>
          <w:szCs w:val="18"/>
        </w:rPr>
        <w:t>ostatecznego</w:t>
      </w:r>
      <w:r>
        <w:rPr>
          <w:rFonts w:ascii="Arial" w:hAnsi="Arial" w:cs="Arial"/>
          <w:spacing w:val="-3"/>
          <w:sz w:val="18"/>
          <w:szCs w:val="18"/>
        </w:rPr>
        <w:t xml:space="preserve"> Robót komisja zapozna się z realizacją ustaleń przyjętych w trakcie odbiorów robót zanikających i ulegających zakryciu, zwłaszcza w zakresie wykonania robót uzupełniających i robót poprawkowych.</w:t>
      </w:r>
    </w:p>
    <w:p w14:paraId="2B7BF50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przypadkach niewykonania wyznaczonych Robót poprawkowych lub robót uzupełniających komisja będzie uprawniona do przerwania swoich czynności i ustalenia nowego terminu odbioru </w:t>
      </w:r>
      <w:r>
        <w:rPr>
          <w:rFonts w:ascii="Arial" w:hAnsi="Arial" w:cs="Arial"/>
          <w:sz w:val="18"/>
          <w:szCs w:val="18"/>
        </w:rPr>
        <w:t>ostatecznego</w:t>
      </w:r>
      <w:r>
        <w:rPr>
          <w:rFonts w:ascii="Arial" w:hAnsi="Arial" w:cs="Arial"/>
          <w:spacing w:val="-3"/>
          <w:sz w:val="18"/>
          <w:szCs w:val="18"/>
        </w:rPr>
        <w:t>.</w:t>
      </w:r>
    </w:p>
    <w:p w14:paraId="4D744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 przypadku stwierdzenia przez komisję, że jakość wykonywanych robót w poszczególnych asortymentach nieznacznie odbiega od wymaganej dokumentacją projektową oraz STWiORB z uwzględnieniem tolerancji ale nie ma większego wpływu na cechy eksploatacyjne obiektu i bezpieczeństwo ruchu, komisja dokona potrą</w:t>
      </w:r>
      <w:r>
        <w:rPr>
          <w:rFonts w:ascii="Arial" w:hAnsi="Arial" w:cs="Arial"/>
          <w:spacing w:val="-3"/>
          <w:sz w:val="18"/>
          <w:szCs w:val="18"/>
        </w:rPr>
        <w:softHyphen/>
        <w:t>ceń zgodnie z Instrukcją DP-T 14 przy wykorzystaniu cen średnich z biuletynu Sekocenbud, oceniając pomniejszoną wartość wykonywanych robót w stosunku do wymagań przyjętych w Dokumentach Umowy lub nakazać Wykonawcy wykonanie robót poprawkowych, wyznaczając jednocześnie nowy termin odbioru ostatecznego.</w:t>
      </w:r>
    </w:p>
    <w:p w14:paraId="00CE8784"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p>
    <w:p w14:paraId="0E318B8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b/>
          <w:spacing w:val="-3"/>
          <w:sz w:val="18"/>
          <w:szCs w:val="18"/>
        </w:rPr>
      </w:pPr>
      <w:r>
        <w:rPr>
          <w:rFonts w:ascii="Arial" w:hAnsi="Arial" w:cs="Arial"/>
          <w:b/>
          <w:spacing w:val="-3"/>
          <w:sz w:val="18"/>
          <w:szCs w:val="18"/>
        </w:rPr>
        <w:t>8.4.2.Dokumenty do odbioru ostatecznego</w:t>
      </w:r>
    </w:p>
    <w:p w14:paraId="1DC272D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Podstawowym dokumentem do dokonania odbioru </w:t>
      </w:r>
      <w:r>
        <w:rPr>
          <w:rFonts w:ascii="Arial" w:hAnsi="Arial" w:cs="Arial"/>
          <w:sz w:val="18"/>
          <w:szCs w:val="18"/>
        </w:rPr>
        <w:t>ostatecznego</w:t>
      </w:r>
      <w:r>
        <w:rPr>
          <w:rFonts w:ascii="Arial" w:hAnsi="Arial" w:cs="Arial"/>
          <w:spacing w:val="-3"/>
          <w:sz w:val="18"/>
          <w:szCs w:val="18"/>
        </w:rPr>
        <w:t xml:space="preserve"> Robót jest protokół odbioru </w:t>
      </w:r>
      <w:r>
        <w:rPr>
          <w:rFonts w:ascii="Arial" w:hAnsi="Arial" w:cs="Arial"/>
          <w:sz w:val="18"/>
          <w:szCs w:val="18"/>
        </w:rPr>
        <w:t>ostatecznego</w:t>
      </w:r>
      <w:r>
        <w:rPr>
          <w:rFonts w:ascii="Arial" w:hAnsi="Arial" w:cs="Arial"/>
          <w:spacing w:val="-3"/>
          <w:sz w:val="18"/>
          <w:szCs w:val="18"/>
        </w:rPr>
        <w:t xml:space="preserve"> Robót sporządzony wg wzoru ustalonego przez Zamawiającego.</w:t>
      </w:r>
    </w:p>
    <w:p w14:paraId="47BC7B4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Do odbioru </w:t>
      </w:r>
      <w:r>
        <w:rPr>
          <w:rFonts w:ascii="Arial" w:hAnsi="Arial" w:cs="Arial"/>
          <w:sz w:val="18"/>
          <w:szCs w:val="18"/>
        </w:rPr>
        <w:t>ostatecznego</w:t>
      </w:r>
      <w:r>
        <w:rPr>
          <w:rFonts w:ascii="Arial" w:hAnsi="Arial" w:cs="Arial"/>
          <w:spacing w:val="-3"/>
          <w:sz w:val="18"/>
          <w:szCs w:val="18"/>
        </w:rPr>
        <w:t xml:space="preserve"> Wykonawca jest zobowiązany przygotować następujące dokumenty wchodzące w skład operatu odbiorczego:</w:t>
      </w:r>
    </w:p>
    <w:p w14:paraId="24D355B0" w14:textId="77777777" w:rsidR="003F49C8" w:rsidRDefault="008C2229">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Dokumentację Projektową podstawową z naniesionymi zmianami oraz dodatkową, jeśli została sporządzona w trakcie realizacji Kontraktu (oryginały + 1 kopia).</w:t>
      </w:r>
    </w:p>
    <w:p w14:paraId="5A8B03C6" w14:textId="77777777" w:rsidR="003F49C8" w:rsidRDefault="008C2229">
      <w:pPr>
        <w:numPr>
          <w:ilvl w:val="0"/>
          <w:numId w:val="12"/>
        </w:numPr>
        <w:ind w:left="284" w:hanging="284"/>
        <w:jc w:val="both"/>
        <w:rPr>
          <w:rFonts w:ascii="Arial" w:hAnsi="Arial" w:cs="Arial"/>
          <w:spacing w:val="-3"/>
          <w:sz w:val="18"/>
          <w:szCs w:val="18"/>
        </w:rPr>
      </w:pPr>
      <w:r>
        <w:rPr>
          <w:rFonts w:ascii="Arial" w:hAnsi="Arial" w:cs="Arial"/>
          <w:spacing w:val="-3"/>
          <w:sz w:val="18"/>
          <w:szCs w:val="18"/>
        </w:rPr>
        <w:t>Specyfikacje Techniczne Wykonania i Odbioru Robót Budowlanych (podstawowe z Kontraktu i ew. uzupełniające lub zamienne).</w:t>
      </w:r>
    </w:p>
    <w:p w14:paraId="221C9DAC"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Recepty i ustalenia technologiczne (oryginały).</w:t>
      </w:r>
    </w:p>
    <w:p w14:paraId="3ED981B0" w14:textId="77777777" w:rsidR="003F49C8" w:rsidRDefault="008C2229">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Dzienniki Budowy i Rejestry Obmiarów (oryginały + 1 kopia).</w:t>
      </w:r>
    </w:p>
    <w:p w14:paraId="39510B3D" w14:textId="77777777" w:rsidR="003F49C8" w:rsidRDefault="008C2229">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Wyniki pomiarów kontrolnych oraz badań i oznaczeń laboratoryjnych, zgodnie z STWiORB i ew. PZJ (oryginały + 1 kopia).</w:t>
      </w:r>
    </w:p>
    <w:p w14:paraId="7528F5E1"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Informacje o znakach CE i budowlanym wbudowanych wyrobów dołączone do opakowań i dokumentów handlowych oraz deklaracje właściwości użytkowych wszystkich wbudowanych wyrobów z zapisami Wykonawcy o miejscu ich wbudowania.</w:t>
      </w:r>
    </w:p>
    <w:p w14:paraId="3F6DA6F5" w14:textId="77777777" w:rsidR="003F49C8" w:rsidRDefault="008C2229">
      <w:pPr>
        <w:numPr>
          <w:ilvl w:val="0"/>
          <w:numId w:val="14"/>
        </w:numPr>
        <w:tabs>
          <w:tab w:val="left" w:pos="-1725"/>
          <w:tab w:val="left" w:pos="-1005"/>
          <w:tab w:val="left" w:pos="-285"/>
          <w:tab w:val="left" w:pos="3"/>
          <w:tab w:val="left" w:pos="147"/>
          <w:tab w:val="left" w:pos="291"/>
          <w:tab w:val="left" w:pos="435"/>
          <w:tab w:val="left" w:pos="867"/>
          <w:tab w:val="left" w:pos="993"/>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r>
        <w:rPr>
          <w:rFonts w:ascii="Arial" w:hAnsi="Arial" w:cs="Arial"/>
          <w:spacing w:val="-3"/>
          <w:sz w:val="18"/>
          <w:szCs w:val="18"/>
        </w:rPr>
        <w:t>Opinię technologiczną (w wersji papierowej i elektronicznej-pliki w formacie edytowalnym, format PDF i zdigitalizowany) sporządzoną na podstawie wszystkich wyników badań i pomiarów załączonych do dokumentów odbioru, wykonanych zgodnie z STWiORB i PZJ, zawierającą poniższe zagadnienia:</w:t>
      </w:r>
    </w:p>
    <w:p w14:paraId="6CAAE65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określenie wymagań i ocena jakości poszczególnych asortymentów robót drogowych, mostowych i branżowych, dokonana przez Wykonawcę,</w:t>
      </w:r>
    </w:p>
    <w:p w14:paraId="73534935"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toku realizacji robót,</w:t>
      </w:r>
    </w:p>
    <w:p w14:paraId="5D2C59AF"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zestawienie badań i pomiarów Wykonawcy wykonanych w obecności Inspektora Nadzoru,</w:t>
      </w:r>
    </w:p>
    <w:p w14:paraId="097969E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zbiorcze zestawieniu badań rozjemczych, jeśli wystąpiły (wraz załączeniem ich kopi),</w:t>
      </w:r>
    </w:p>
    <w:p w14:paraId="11E0F99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odniesienie się do negatywnych wyników badań kontrolnych Zamawiającego, jeśli takowe będą miały miejsce (Monitoring Jakości Robót),</w:t>
      </w:r>
    </w:p>
    <w:p w14:paraId="7ED40FE9"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wskazanie problemów do rozstrzygnięcia przez komisję odbiorową, jeśli takie wystąpią</w:t>
      </w:r>
    </w:p>
    <w:p w14:paraId="287359B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certyfikatów i aprobat technicznych dostarczonych przez producentów materiałów i wyrobów,</w:t>
      </w:r>
    </w:p>
    <w:p w14:paraId="6C46069D"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Wykonawcy w sytuacji uznania ich przez Zamawiającego i Inspektora Nadzoru za badania kontrolne,</w:t>
      </w:r>
    </w:p>
    <w:p w14:paraId="5578B14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badań elementów prefabrykowanych dostarczonych przez producentów,</w:t>
      </w:r>
    </w:p>
    <w:p w14:paraId="12355DD7"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 xml:space="preserve">zestawieniu zatwierdzonych recept, materiałów, wytwórni, laboratoriów, PZJ, </w:t>
      </w:r>
    </w:p>
    <w:p w14:paraId="245DB64E"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plany liniowe wszystkich dróg (główna plus pozostałe) i schematy obiektów z zaznaczeniem rodzajów materiałów, recept w konkretnych miejscach wbudowania,</w:t>
      </w:r>
    </w:p>
    <w:p w14:paraId="3A27A6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procentowym wykonaniu badań Wykonawcy wg zatwierdzonego programu zakładanych sumarycznych ilości badań,</w:t>
      </w:r>
    </w:p>
    <w:p w14:paraId="1E37DA5A"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wykaz personelu w laboratoriach Wykonawcy, który realizował badania w trakcie trwania kontraktu</w:t>
      </w:r>
    </w:p>
    <w:p w14:paraId="5FC05F2C"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wykaz laboratoriów Wykonawcy, ze wskazaniem asortymentów robót, które realizowały badania w trakcie trwania kontraktu,</w:t>
      </w:r>
    </w:p>
    <w:p w14:paraId="721008D4" w14:textId="77777777" w:rsidR="003F49C8" w:rsidRDefault="008C2229">
      <w:pPr>
        <w:pStyle w:val="Default"/>
        <w:numPr>
          <w:ilvl w:val="0"/>
          <w:numId w:val="5"/>
        </w:numPr>
        <w:ind w:left="567" w:hanging="284"/>
        <w:jc w:val="both"/>
        <w:rPr>
          <w:rFonts w:ascii="Arial" w:hAnsi="Arial" w:cs="Arial"/>
          <w:color w:val="auto"/>
          <w:sz w:val="18"/>
          <w:szCs w:val="18"/>
        </w:rPr>
      </w:pPr>
      <w:r>
        <w:rPr>
          <w:rFonts w:ascii="Arial" w:hAnsi="Arial" w:cs="Arial"/>
          <w:color w:val="auto"/>
          <w:sz w:val="18"/>
          <w:szCs w:val="18"/>
        </w:rPr>
        <w:t>wszystkie inne elementy, zestawienia niezbędne w ocenie Wykonawcy do prawidłowej oceny jakości wykonanych robót.</w:t>
      </w:r>
    </w:p>
    <w:p w14:paraId="6C2F91CB" w14:textId="77777777" w:rsidR="003F49C8" w:rsidRDefault="008C2229">
      <w:pPr>
        <w:tabs>
          <w:tab w:val="left" w:pos="0"/>
          <w:tab w:val="left" w:pos="567"/>
          <w:tab w:val="left" w:pos="1299"/>
        </w:tabs>
        <w:ind w:left="288" w:hanging="4"/>
        <w:jc w:val="both"/>
        <w:rPr>
          <w:rFonts w:ascii="Arial" w:hAnsi="Arial" w:cs="Arial"/>
          <w:spacing w:val="-3"/>
          <w:sz w:val="18"/>
          <w:szCs w:val="18"/>
        </w:rPr>
      </w:pPr>
      <w:r>
        <w:rPr>
          <w:rFonts w:ascii="Arial" w:hAnsi="Arial" w:cs="Arial"/>
          <w:spacing w:val="-3"/>
          <w:sz w:val="18"/>
          <w:szCs w:val="18"/>
        </w:rPr>
        <w:t>Formę i treść opinii technologicznej obowiązkowo należy uzgodnić z Inspektorem Nadzoru.</w:t>
      </w:r>
    </w:p>
    <w:p w14:paraId="77F8FE6C" w14:textId="77777777" w:rsidR="003F49C8" w:rsidRDefault="008C2229">
      <w:pPr>
        <w:ind w:left="288" w:hanging="288"/>
        <w:jc w:val="both"/>
        <w:rPr>
          <w:rFonts w:ascii="Arial" w:hAnsi="Arial" w:cs="Arial"/>
          <w:spacing w:val="-3"/>
          <w:sz w:val="18"/>
          <w:szCs w:val="18"/>
        </w:rPr>
      </w:pPr>
      <w:r>
        <w:rPr>
          <w:rFonts w:ascii="Arial" w:hAnsi="Arial" w:cs="Arial"/>
          <w:spacing w:val="-3"/>
          <w:sz w:val="18"/>
          <w:szCs w:val="18"/>
        </w:rPr>
        <w:t>8. Rysunki (dokumentacje) na wykonanie robót towarzyszących (np. na przełożenie linii telefonicznej, energetycznej, gazowej, oświetlenia itp.) oraz protokoły odbioru i przekazania tych robót właścicielom urządzeń (oryginały + 1 kopia).</w:t>
      </w:r>
    </w:p>
    <w:p w14:paraId="264561CF"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t>9. Geodezyjną inwentaryzację powykonawczą Robót i sieci uzbrojenia terenu (oryginały + 1 kopia).</w:t>
      </w:r>
    </w:p>
    <w:p w14:paraId="4EC5FD51"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10. Kopię mapy zasadniczej powstałej w wyniku geodezyjnej inwentaryzacji powykonawczej </w:t>
      </w:r>
      <w:r>
        <w:rPr>
          <w:rFonts w:ascii="Arial" w:hAnsi="Arial" w:cs="Arial"/>
          <w:spacing w:val="-3"/>
          <w:sz w:val="18"/>
          <w:szCs w:val="18"/>
        </w:rPr>
        <w:br/>
        <w:t xml:space="preserve">(2 egzemplarze). </w:t>
      </w:r>
    </w:p>
    <w:p w14:paraId="1C93F255"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11. Wykonawca ma obowiązek dokumentację powykonawczą przygotować także w wersji elektronicznej i przekazać ją Zamawiającemu.</w:t>
      </w:r>
    </w:p>
    <w:p w14:paraId="72C45B8D"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12. Deklaracje właściwości użytkowych wyrobów zużytych na kontrakcie</w:t>
      </w:r>
    </w:p>
    <w:p w14:paraId="71F924A9" w14:textId="77777777" w:rsidR="003F49C8" w:rsidRDefault="008C2229">
      <w:pPr>
        <w:tabs>
          <w:tab w:val="left" w:pos="-172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jc w:val="both"/>
        <w:rPr>
          <w:rFonts w:ascii="Arial" w:hAnsi="Arial" w:cs="Arial"/>
          <w:spacing w:val="-3"/>
          <w:sz w:val="18"/>
          <w:szCs w:val="18"/>
        </w:rPr>
      </w:pPr>
      <w:r>
        <w:rPr>
          <w:rFonts w:ascii="Arial" w:hAnsi="Arial" w:cs="Arial"/>
          <w:spacing w:val="-3"/>
          <w:sz w:val="18"/>
          <w:szCs w:val="18"/>
        </w:rPr>
        <w:t xml:space="preserve">13. Powykonawczą ewidencję drogi należy opracować w formie zestawień i wykazów zgodnie </w:t>
      </w:r>
      <w:r>
        <w:rPr>
          <w:rFonts w:ascii="Arial" w:hAnsi="Arial" w:cs="Arial"/>
          <w:spacing w:val="-3"/>
          <w:sz w:val="18"/>
          <w:szCs w:val="18"/>
        </w:rPr>
        <w:br/>
        <w:t xml:space="preserve">z uzgodnionymi z Inspektorem Nadzoru. </w:t>
      </w:r>
    </w:p>
    <w:p w14:paraId="7E004BB8"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
        <w:jc w:val="both"/>
        <w:rPr>
          <w:rFonts w:ascii="Arial" w:hAnsi="Arial" w:cs="Arial"/>
          <w:spacing w:val="-3"/>
          <w:sz w:val="18"/>
          <w:szCs w:val="18"/>
        </w:rPr>
      </w:pPr>
      <w:r>
        <w:rPr>
          <w:rFonts w:ascii="Arial" w:hAnsi="Arial" w:cs="Arial"/>
          <w:spacing w:val="-3"/>
          <w:sz w:val="18"/>
          <w:szCs w:val="18"/>
        </w:rPr>
        <w:lastRenderedPageBreak/>
        <w:t>14. Zestawienie środków trwałych.</w:t>
      </w:r>
    </w:p>
    <w:p w14:paraId="6C65DA7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15. Wykonawca w ramach dokumentacji powykonawczej sporządzi karty wykonanych obiektów mostowych, których rozpiętość teoretyczna przynajmniej jednego przęsła jest większa niż 20 m lub całkowita długość obiektu jest większa lub równa 50 m. Karty należy sporządzić zgodnie z wzorem zamieszczonym w Rozporządzeniu Ministra Infrastruktury z dnia 16 lutego 2005 r w sprawie numeracji i ewidencji dróg publicznych, obiektów mostowych, tuneli, przepustów i promów oraz rejestru numerów nadanych drogom, obiektom mostowym i tunelom (Dz. Nr 67 z 2005 r poz. 582). Karty powinny być sporządzone w wersji papierowej i edytowalnej elektronicznej (format dwg).</w:t>
      </w:r>
    </w:p>
    <w:p w14:paraId="1A79D9A0"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r>
        <w:rPr>
          <w:rFonts w:ascii="Arial" w:hAnsi="Arial" w:cs="Arial"/>
          <w:spacing w:val="-3"/>
          <w:sz w:val="18"/>
          <w:szCs w:val="18"/>
        </w:rPr>
        <w:t>16. Wykonawca sporządzi, uzgodni, zatwierdzi i przekaże Zamawiającemu powykonawczy Projekt stałej organizacji ruchu uwzględniający wszystkie zmiany w stosunku do zatwierdzonego projektu stałej organizacji ruchu.</w:t>
      </w:r>
    </w:p>
    <w:p w14:paraId="4F9E87FF" w14:textId="77777777" w:rsidR="003F49C8" w:rsidRDefault="003F49C8">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1"/>
        <w:jc w:val="both"/>
        <w:rPr>
          <w:rFonts w:ascii="Arial" w:hAnsi="Arial" w:cs="Arial"/>
          <w:spacing w:val="-3"/>
          <w:sz w:val="18"/>
          <w:szCs w:val="18"/>
        </w:rPr>
      </w:pPr>
    </w:p>
    <w:p w14:paraId="0FD4164F" w14:textId="77777777" w:rsidR="003F49C8" w:rsidRDefault="008C2229">
      <w:pPr>
        <w:tabs>
          <w:tab w:val="left" w:pos="-1725"/>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firstLine="283"/>
        <w:jc w:val="both"/>
        <w:rPr>
          <w:rFonts w:ascii="Arial" w:hAnsi="Arial" w:cs="Arial"/>
          <w:spacing w:val="-3"/>
          <w:sz w:val="18"/>
          <w:szCs w:val="18"/>
        </w:rPr>
      </w:pPr>
      <w:r>
        <w:rPr>
          <w:rFonts w:ascii="Arial" w:hAnsi="Arial" w:cs="Arial"/>
          <w:spacing w:val="-3"/>
          <w:sz w:val="18"/>
          <w:szCs w:val="18"/>
        </w:rPr>
        <w:t>Inwentaryzacja powinna być sporządzona w wersji papierowej i edytowalnej elektronicznej (format dwg).</w:t>
      </w:r>
    </w:p>
    <w:p w14:paraId="566891EA" w14:textId="77777777" w:rsidR="003F49C8" w:rsidRDefault="008C2229">
      <w:pPr>
        <w:pStyle w:val="Bezodstpw"/>
        <w:ind w:firstLine="567"/>
        <w:jc w:val="both"/>
        <w:rPr>
          <w:rStyle w:val="Pogrubienie"/>
          <w:rFonts w:ascii="Arial" w:hAnsi="Arial" w:cs="Arial"/>
          <w:b w:val="0"/>
          <w:sz w:val="18"/>
          <w:szCs w:val="18"/>
        </w:rPr>
      </w:pPr>
      <w:r>
        <w:rPr>
          <w:rStyle w:val="Pogrubienie"/>
          <w:rFonts w:ascii="Arial" w:hAnsi="Arial" w:cs="Arial"/>
          <w:b w:val="0"/>
          <w:sz w:val="18"/>
          <w:szCs w:val="18"/>
        </w:rPr>
        <w:t xml:space="preserve">Powykonawcza ewidencja drogi - wykonanie pomiaru na podstawie faktycznego stanu elementów drogi w granicach pasa drogowego po zakończeniu jej budowy/ przebudowy/rozbudowy/, w zakresie niezbędnym do spełnienia wymogów Rozporządzenia Ministra Infrastruktury z dnia 16 lutego 2005 r. w sprawie sposobu numeracji ewidencji dróg publicznych, obiektów mostowych, tuneli, przepustów i promów oraz rejestru numerów nadanych drogom, obiektom mostowym i tunelom (Dz. U. z 2005 r, Nr 67, poz. 582). </w:t>
      </w:r>
    </w:p>
    <w:p w14:paraId="04B2A736" w14:textId="77777777" w:rsidR="003F49C8" w:rsidRDefault="008C2229">
      <w:pPr>
        <w:ind w:firstLine="567"/>
        <w:jc w:val="both"/>
        <w:rPr>
          <w:rFonts w:ascii="Arial" w:hAnsi="Arial" w:cs="Arial"/>
          <w:sz w:val="18"/>
          <w:szCs w:val="18"/>
        </w:rPr>
      </w:pPr>
      <w:r>
        <w:rPr>
          <w:rFonts w:ascii="Arial" w:hAnsi="Arial" w:cs="Arial"/>
          <w:sz w:val="18"/>
          <w:szCs w:val="18"/>
        </w:rPr>
        <w:t xml:space="preserve">Wykonawca opracuje operat kolaudacyjny w jednym oryginalnym egzemplarzu i dwóch kopiach. Dodatkowo Wykonawca zeskanuje wszystkie dokumenty wchodzące w skład operatu kolaudacyjnego, za wyjątkiem pozycji 10, w rozdzielczości umożliwiającej czytelny wydruk w formacie odpowiadającym oryginałowi i zapisze na nośniku danych w dwóch egzemplarzach w formacie zapisu danych uzgodnionym z Inspektorem Nadzoru. Pozycja 10 zostanie zapisana na nośniku danych w formacie *.dwg lub *.dgn. </w:t>
      </w:r>
    </w:p>
    <w:p w14:paraId="54C576FE" w14:textId="77777777" w:rsidR="003F49C8" w:rsidRDefault="008C2229">
      <w:pPr>
        <w:ind w:firstLine="567"/>
        <w:jc w:val="both"/>
        <w:rPr>
          <w:rFonts w:ascii="Arial" w:hAnsi="Arial" w:cs="Arial"/>
          <w:sz w:val="18"/>
          <w:szCs w:val="18"/>
        </w:rPr>
      </w:pPr>
      <w:r>
        <w:rPr>
          <w:rFonts w:ascii="Arial" w:hAnsi="Arial" w:cs="Arial"/>
          <w:sz w:val="18"/>
          <w:szCs w:val="18"/>
        </w:rPr>
        <w:t>Koszt przygotowania wszystkich egzemplarzy dokumentacji odbiorowej wraz z wersją elektroniczną jest zawarty w Cenie Oferty i nie podlega odrębnej zapłacie.</w:t>
      </w:r>
    </w:p>
    <w:p w14:paraId="3672C6D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W przypadku, gdy wg komisji, roboty pod względem przygotowania dokumentacyjnego nie będą gotowe do odbioru </w:t>
      </w:r>
      <w:r>
        <w:rPr>
          <w:rFonts w:ascii="Arial" w:hAnsi="Arial" w:cs="Arial"/>
          <w:sz w:val="18"/>
          <w:szCs w:val="18"/>
        </w:rPr>
        <w:t>ostatecznego</w:t>
      </w:r>
      <w:r>
        <w:rPr>
          <w:rFonts w:ascii="Arial" w:hAnsi="Arial" w:cs="Arial"/>
          <w:spacing w:val="-3"/>
          <w:sz w:val="18"/>
          <w:szCs w:val="18"/>
        </w:rPr>
        <w:t xml:space="preserve">, komisja w porozumieniu z Wykonawcą wyznaczy ponowny termin odbioru </w:t>
      </w:r>
      <w:r>
        <w:rPr>
          <w:rFonts w:ascii="Arial" w:hAnsi="Arial" w:cs="Arial"/>
          <w:sz w:val="18"/>
          <w:szCs w:val="18"/>
        </w:rPr>
        <w:t>ostatecznego</w:t>
      </w:r>
      <w:r>
        <w:rPr>
          <w:rFonts w:ascii="Arial" w:hAnsi="Arial" w:cs="Arial"/>
          <w:spacing w:val="-3"/>
          <w:sz w:val="18"/>
          <w:szCs w:val="18"/>
        </w:rPr>
        <w:t xml:space="preserve"> robót.</w:t>
      </w:r>
    </w:p>
    <w:p w14:paraId="6C42F46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Wszystkie zarządzone przez komisję roboty poprawkowe lub uzupełniające będą zestawione wg wzoru ustalonego przez Zamawiającego.</w:t>
      </w:r>
    </w:p>
    <w:p w14:paraId="5FA70C80"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Termin wykonania robót poprawkowych i robót uzupełniających wyznaczy komisja.</w:t>
      </w:r>
    </w:p>
    <w:p w14:paraId="269778B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1BFF0C1A"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60"/>
        <w:jc w:val="both"/>
        <w:rPr>
          <w:rFonts w:ascii="Arial" w:hAnsi="Arial" w:cs="Arial"/>
          <w:spacing w:val="-3"/>
          <w:sz w:val="18"/>
          <w:szCs w:val="18"/>
        </w:rPr>
      </w:pPr>
      <w:r>
        <w:rPr>
          <w:rFonts w:ascii="Arial" w:hAnsi="Arial" w:cs="Arial"/>
          <w:b/>
          <w:spacing w:val="-3"/>
          <w:sz w:val="18"/>
          <w:szCs w:val="18"/>
        </w:rPr>
        <w:t xml:space="preserve">8.5. Odbiór </w:t>
      </w:r>
      <w:r>
        <w:rPr>
          <w:rFonts w:ascii="Arial" w:hAnsi="Arial" w:cs="Arial"/>
          <w:b/>
          <w:sz w:val="18"/>
          <w:szCs w:val="18"/>
        </w:rPr>
        <w:t>pogwarancyjny</w:t>
      </w:r>
    </w:p>
    <w:p w14:paraId="228012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polega na ocenie wykonanych Robót związanych z usunięciem wad stwierdzonych przy odbiorze </w:t>
      </w:r>
      <w:r>
        <w:rPr>
          <w:rFonts w:ascii="Arial" w:hAnsi="Arial" w:cs="Arial"/>
          <w:sz w:val="18"/>
          <w:szCs w:val="18"/>
        </w:rPr>
        <w:t xml:space="preserve">ostatecznym oraz </w:t>
      </w:r>
      <w:r>
        <w:rPr>
          <w:rFonts w:ascii="Arial" w:hAnsi="Arial" w:cs="Arial"/>
          <w:spacing w:val="-3"/>
          <w:sz w:val="18"/>
          <w:szCs w:val="18"/>
        </w:rPr>
        <w:t>ujawnionych w okresie rękojmi i gwarancji jakości.</w:t>
      </w:r>
    </w:p>
    <w:p w14:paraId="26506074"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 xml:space="preserve">Odbiór </w:t>
      </w:r>
      <w:r>
        <w:rPr>
          <w:rFonts w:ascii="Arial" w:hAnsi="Arial" w:cs="Arial"/>
          <w:sz w:val="18"/>
          <w:szCs w:val="18"/>
        </w:rPr>
        <w:t>pogwarancyjny</w:t>
      </w:r>
      <w:r>
        <w:rPr>
          <w:rFonts w:ascii="Arial" w:hAnsi="Arial" w:cs="Arial"/>
          <w:spacing w:val="-3"/>
          <w:sz w:val="18"/>
          <w:szCs w:val="18"/>
        </w:rPr>
        <w:t xml:space="preserve"> będzie dokonany z uwzględnieniem zasad opisanych w punkcie 8.4. „Odbiór </w:t>
      </w:r>
      <w:r>
        <w:rPr>
          <w:rFonts w:ascii="Arial" w:hAnsi="Arial" w:cs="Arial"/>
          <w:sz w:val="18"/>
          <w:szCs w:val="18"/>
        </w:rPr>
        <w:t>ostateczny</w:t>
      </w:r>
      <w:r>
        <w:rPr>
          <w:rFonts w:ascii="Arial" w:hAnsi="Arial" w:cs="Arial"/>
          <w:spacing w:val="-3"/>
          <w:sz w:val="18"/>
          <w:szCs w:val="18"/>
        </w:rPr>
        <w:t xml:space="preserve"> Robót”.</w:t>
      </w:r>
    </w:p>
    <w:p w14:paraId="74910F17"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567"/>
        <w:jc w:val="both"/>
        <w:rPr>
          <w:rFonts w:ascii="Arial" w:hAnsi="Arial" w:cs="Arial"/>
          <w:spacing w:val="-3"/>
          <w:sz w:val="18"/>
          <w:szCs w:val="18"/>
        </w:rPr>
      </w:pPr>
      <w:r>
        <w:rPr>
          <w:rFonts w:ascii="Arial" w:hAnsi="Arial" w:cs="Arial"/>
          <w:spacing w:val="-3"/>
          <w:sz w:val="18"/>
          <w:szCs w:val="18"/>
        </w:rPr>
        <w:t>Uznaje się, że wszelkie koszty związane z wypełnieniem wymagań określonych powyżej w STWIORB nie podlegają odrębnej zapłacie i są uwzględnione w Cenie Oferty.</w:t>
      </w:r>
    </w:p>
    <w:p w14:paraId="7BFCD419"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rPr>
      </w:pPr>
    </w:p>
    <w:p w14:paraId="2D61AEE8" w14:textId="77777777" w:rsidR="003F49C8" w:rsidRDefault="003F49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spacing w:val="-3"/>
          <w:sz w:val="18"/>
          <w:szCs w:val="18"/>
          <w:highlight w:val="yellow"/>
        </w:rPr>
      </w:pPr>
    </w:p>
    <w:p w14:paraId="177FBC72"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9. PODSTAWA PŁATNOŚCI</w:t>
      </w:r>
    </w:p>
    <w:p w14:paraId="1A6D23CE" w14:textId="77777777" w:rsidR="003F49C8" w:rsidRDefault="008C2229">
      <w:pPr>
        <w:jc w:val="both"/>
        <w:rPr>
          <w:rFonts w:ascii="Arial" w:hAnsi="Arial" w:cs="Arial"/>
          <w:sz w:val="18"/>
          <w:szCs w:val="18"/>
        </w:rPr>
      </w:pPr>
      <w:r>
        <w:rPr>
          <w:rFonts w:ascii="Arial" w:hAnsi="Arial" w:cs="Arial"/>
          <w:sz w:val="18"/>
          <w:szCs w:val="18"/>
        </w:rPr>
        <w:t>Wynagrodzenie ryczałtowe: zasady płatności podano w Umowie pomiędzy Zamawiającym i Wykonawcą.</w:t>
      </w:r>
    </w:p>
    <w:p w14:paraId="680346C3" w14:textId="77777777" w:rsidR="003F49C8" w:rsidRDefault="008C2229">
      <w:pPr>
        <w:jc w:val="both"/>
        <w:rPr>
          <w:rFonts w:ascii="Arial" w:hAnsi="Arial" w:cs="Arial"/>
          <w:sz w:val="18"/>
          <w:szCs w:val="18"/>
        </w:rPr>
      </w:pPr>
      <w:r>
        <w:rPr>
          <w:rFonts w:ascii="Arial" w:hAnsi="Arial" w:cs="Arial"/>
          <w:sz w:val="18"/>
          <w:szCs w:val="18"/>
        </w:rPr>
        <w:t>Dla pozycji kosztorysowych wycenionych ryczałtowo podstawą płatności jest wartość (kwota) podana przez Wykonawcę w danej pozycji kosztorysu. Inspektor Nadzoru może wziąć pod uwagę podział kwoty ryczałtowej proponowany przez Wykonawcę. Kwota ryczałtowa pozycji kosztorysowej będzie uwzględniać wszystkie czynności, wymagania i badania składające się na jej wykonanie, określone dla tej Roboty w STWiORB i w Dokumentacji Projektowej.</w:t>
      </w:r>
    </w:p>
    <w:p w14:paraId="60BE9821" w14:textId="77777777" w:rsidR="003F49C8" w:rsidRDefault="008C2229">
      <w:pPr>
        <w:jc w:val="both"/>
        <w:rPr>
          <w:rFonts w:ascii="Arial" w:hAnsi="Arial" w:cs="Arial"/>
          <w:sz w:val="18"/>
          <w:szCs w:val="18"/>
        </w:rPr>
      </w:pPr>
      <w:r>
        <w:rPr>
          <w:rFonts w:ascii="Arial" w:hAnsi="Arial" w:cs="Arial"/>
          <w:sz w:val="18"/>
          <w:szCs w:val="18"/>
        </w:rPr>
        <w:t>Kwoty ryczałtowe Robót będą obejmować wszystkie koszty, w tym w szczególności:</w:t>
      </w:r>
    </w:p>
    <w:p w14:paraId="0ADF1C68"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robociznę bezpośrednią wraz z towarzyszącymi kosztami,</w:t>
      </w:r>
    </w:p>
    <w:p w14:paraId="2C51834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użytych Materiałów wraz z kosztami zakupu, magazynowania, normatywnych ubytków i transportu na Teren Budowy (a dla urządzeń technologicznych – wraz z kosztami ich montażu i właściwych prób) i innymi towarzyszącymi kosztami,</w:t>
      </w:r>
    </w:p>
    <w:p w14:paraId="4E25BE77"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wartość pracy Sprzętu wraz z towarzyszącymi kosztami,</w:t>
      </w:r>
    </w:p>
    <w:p w14:paraId="1908B140"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koszty pośrednie - składnik kalkulacyjny jednostkowej ceny kosztorysowej uwzględniający ujęte w kosztach bezpośrednich koszty zaliczane zgodnie z odrębnymi przepisami do kosztów uzyskania przychodów, w 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w:t>
      </w:r>
    </w:p>
    <w:p w14:paraId="7D84ABCE"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 uporządkowania placu budowy po zakończeniu robót,</w:t>
      </w:r>
    </w:p>
    <w:p w14:paraId="65BFE995"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zysk kalkulacyjny, zawierający też ewentualne ryzyka Wykonawcy z tytułu Kontraktu w całym okresie jego realizacji, łącznie z okresem gwarancyjnym, koszt ubezpieczenia Kontraktu, koszt gwarancji zwrotu zaliczki i gwarancji należytego wykonania, a także inne koszty i opłaty bankowe, finansowe i ubezpieczeniowe,</w:t>
      </w:r>
    </w:p>
    <w:p w14:paraId="0E70DAC4"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koszty uzyskania wymaganych uzgodnień, pozwoleń, decyzji administracyjnych i odszkodowań,</w:t>
      </w:r>
    </w:p>
    <w:p w14:paraId="1A853851"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wszystkie koszty unieszkodliwienia odpadów, w tym opłaty środowiskowe,</w:t>
      </w:r>
    </w:p>
    <w:p w14:paraId="03CE4E3A" w14:textId="77777777" w:rsidR="003F49C8" w:rsidRDefault="008C2229">
      <w:pPr>
        <w:pStyle w:val="tekstost"/>
        <w:numPr>
          <w:ilvl w:val="0"/>
          <w:numId w:val="8"/>
        </w:numPr>
        <w:tabs>
          <w:tab w:val="left" w:pos="426"/>
        </w:tabs>
        <w:ind w:left="426"/>
        <w:rPr>
          <w:rFonts w:ascii="Arial" w:hAnsi="Arial" w:cs="Arial"/>
          <w:sz w:val="18"/>
          <w:szCs w:val="18"/>
        </w:rPr>
      </w:pPr>
      <w:r>
        <w:rPr>
          <w:rFonts w:ascii="Arial" w:hAnsi="Arial" w:cs="Arial"/>
          <w:sz w:val="18"/>
          <w:szCs w:val="18"/>
        </w:rPr>
        <w:t xml:space="preserve">pozostałe koszty wymienione w pkt. 9 (Podstawa płatności) poszczególnych Szczegółowych Specyfikacji Technicznych. </w:t>
      </w:r>
    </w:p>
    <w:p w14:paraId="1C9BAF89"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ubezpieczenie, ochrona materiałów,</w:t>
      </w:r>
    </w:p>
    <w:p w14:paraId="1BA9D18B" w14:textId="77777777" w:rsidR="003F49C8" w:rsidRDefault="008C2229">
      <w:pPr>
        <w:numPr>
          <w:ilvl w:val="0"/>
          <w:numId w:val="8"/>
        </w:numPr>
        <w:tabs>
          <w:tab w:val="left" w:pos="426"/>
        </w:tabs>
        <w:ind w:left="426"/>
        <w:jc w:val="both"/>
        <w:rPr>
          <w:rFonts w:ascii="Arial" w:hAnsi="Arial" w:cs="Arial"/>
          <w:sz w:val="18"/>
          <w:szCs w:val="18"/>
        </w:rPr>
      </w:pPr>
      <w:r>
        <w:rPr>
          <w:rFonts w:ascii="Arial" w:hAnsi="Arial" w:cs="Arial"/>
          <w:sz w:val="18"/>
          <w:szCs w:val="18"/>
        </w:rPr>
        <w:t>podatki obliczone zgodnie z obowiązującymi przepisami.</w:t>
      </w:r>
    </w:p>
    <w:p w14:paraId="5CD892DE" w14:textId="77777777" w:rsidR="003F49C8" w:rsidRDefault="003F49C8">
      <w:pPr>
        <w:tabs>
          <w:tab w:val="left" w:pos="426"/>
        </w:tabs>
        <w:ind w:left="426"/>
        <w:jc w:val="both"/>
        <w:rPr>
          <w:rFonts w:ascii="Arial" w:hAnsi="Arial" w:cs="Arial"/>
          <w:sz w:val="18"/>
          <w:szCs w:val="18"/>
          <w:highlight w:val="yellow"/>
        </w:rPr>
      </w:pPr>
    </w:p>
    <w:p w14:paraId="7B873286" w14:textId="77777777" w:rsidR="003F49C8" w:rsidRDefault="003F49C8">
      <w:pPr>
        <w:tabs>
          <w:tab w:val="left" w:pos="426"/>
        </w:tabs>
        <w:ind w:left="426"/>
        <w:jc w:val="both"/>
        <w:rPr>
          <w:rFonts w:ascii="Arial" w:hAnsi="Arial" w:cs="Arial"/>
          <w:sz w:val="18"/>
          <w:szCs w:val="18"/>
          <w:highlight w:val="yellow"/>
        </w:rPr>
      </w:pPr>
    </w:p>
    <w:p w14:paraId="0CAA43C1" w14:textId="77777777" w:rsidR="003F49C8" w:rsidRDefault="008C222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jc w:val="both"/>
        <w:rPr>
          <w:rFonts w:ascii="Arial" w:hAnsi="Arial" w:cs="Arial"/>
          <w:b/>
          <w:spacing w:val="-3"/>
          <w:sz w:val="18"/>
          <w:szCs w:val="18"/>
        </w:rPr>
      </w:pPr>
      <w:r>
        <w:rPr>
          <w:rFonts w:ascii="Arial" w:hAnsi="Arial" w:cs="Arial"/>
          <w:b/>
          <w:spacing w:val="-3"/>
          <w:sz w:val="18"/>
          <w:szCs w:val="18"/>
        </w:rPr>
        <w:t>10. PRZEPISY ZWIĄZANE</w:t>
      </w:r>
    </w:p>
    <w:p w14:paraId="7AF60D5D" w14:textId="77777777" w:rsidR="003F49C8" w:rsidRDefault="008C2229">
      <w:pPr>
        <w:numPr>
          <w:ilvl w:val="0"/>
          <w:numId w:val="15"/>
        </w:numPr>
        <w:suppressAutoHyphens/>
        <w:ind w:left="426" w:hanging="426"/>
        <w:jc w:val="both"/>
        <w:rPr>
          <w:rFonts w:ascii="Arial" w:hAnsi="Arial" w:cs="Arial"/>
          <w:sz w:val="18"/>
          <w:szCs w:val="18"/>
          <w:lang w:eastAsia="ar-SA"/>
        </w:rPr>
      </w:pPr>
      <w:bookmarkStart w:id="0" w:name="_Ref485849953"/>
      <w:r>
        <w:rPr>
          <w:rFonts w:ascii="Arial" w:hAnsi="Arial" w:cs="Arial"/>
          <w:sz w:val="18"/>
          <w:szCs w:val="18"/>
          <w:lang w:eastAsia="ar-SA"/>
        </w:rPr>
        <w:t xml:space="preserve">Ustawa z dnia 10 kwietnia 2003 r. o </w:t>
      </w:r>
      <w:r>
        <w:rPr>
          <w:rFonts w:ascii="Arial" w:hAnsi="Arial" w:cs="Arial"/>
          <w:bCs/>
          <w:sz w:val="18"/>
          <w:szCs w:val="18"/>
          <w:lang w:eastAsia="ar-SA"/>
        </w:rPr>
        <w:t>szczególnych zasadach przygotowania i realizacji inwestycji w zakresie dróg publicznych</w:t>
      </w:r>
      <w:r>
        <w:rPr>
          <w:rFonts w:ascii="Arial" w:hAnsi="Arial" w:cs="Arial"/>
          <w:sz w:val="18"/>
          <w:szCs w:val="18"/>
          <w:lang w:eastAsia="ar-SA"/>
        </w:rPr>
        <w:t xml:space="preserve"> (t.j. Dz. U. z 2018 roku, poz. 1474)</w:t>
      </w:r>
      <w:bookmarkEnd w:id="0"/>
      <w:r>
        <w:rPr>
          <w:rFonts w:ascii="Arial" w:hAnsi="Arial" w:cs="Arial"/>
          <w:sz w:val="18"/>
          <w:szCs w:val="18"/>
          <w:lang w:eastAsia="ar-SA"/>
        </w:rPr>
        <w:t>.</w:t>
      </w:r>
    </w:p>
    <w:p w14:paraId="4C6BA936"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21 marca 1985 r. o drogach publicznych (t. j. Dz. U. z 2018 roku, poz. 2068).</w:t>
      </w:r>
    </w:p>
    <w:p w14:paraId="59476358" w14:textId="77777777" w:rsidR="003F49C8" w:rsidRDefault="008C2229">
      <w:pPr>
        <w:numPr>
          <w:ilvl w:val="0"/>
          <w:numId w:val="15"/>
        </w:numPr>
        <w:suppressAutoHyphens/>
        <w:ind w:left="426" w:hanging="426"/>
        <w:jc w:val="both"/>
        <w:rPr>
          <w:rFonts w:ascii="Arial" w:hAnsi="Arial" w:cs="Arial"/>
          <w:sz w:val="18"/>
          <w:szCs w:val="18"/>
          <w:lang w:eastAsia="ar-SA"/>
        </w:rPr>
      </w:pPr>
      <w:bookmarkStart w:id="1" w:name="_Ref485850846"/>
      <w:r>
        <w:rPr>
          <w:rFonts w:ascii="Arial" w:hAnsi="Arial" w:cs="Arial"/>
          <w:sz w:val="18"/>
          <w:szCs w:val="18"/>
          <w:lang w:eastAsia="ar-SA"/>
        </w:rPr>
        <w:t>Rozporządzenie Ministra Transportu i Gospodarki Morskiej z dnia 2 marca 1999 r. w sprawie warunków technicznych, jakim powinny odpowiadać drogi publiczne i ich usytuowanie (Dz. U. z 2016 r. poz. 124, z późn. zm.)</w:t>
      </w:r>
      <w:bookmarkEnd w:id="1"/>
      <w:r>
        <w:rPr>
          <w:rFonts w:ascii="Arial" w:hAnsi="Arial" w:cs="Arial"/>
          <w:sz w:val="18"/>
          <w:szCs w:val="18"/>
          <w:lang w:eastAsia="ar-SA"/>
        </w:rPr>
        <w:t>.</w:t>
      </w:r>
    </w:p>
    <w:p w14:paraId="22BB01EF" w14:textId="77777777" w:rsidR="003F49C8" w:rsidRDefault="008C2229">
      <w:pPr>
        <w:numPr>
          <w:ilvl w:val="0"/>
          <w:numId w:val="15"/>
        </w:numPr>
        <w:suppressAutoHyphens/>
        <w:ind w:left="426" w:hanging="426"/>
        <w:jc w:val="both"/>
        <w:rPr>
          <w:rFonts w:ascii="Arial" w:hAnsi="Arial" w:cs="Arial"/>
          <w:sz w:val="18"/>
          <w:szCs w:val="18"/>
          <w:lang w:eastAsia="ar-SA"/>
        </w:rPr>
      </w:pPr>
      <w:bookmarkStart w:id="2" w:name="_Ref485851342"/>
      <w:r>
        <w:rPr>
          <w:rFonts w:ascii="Arial" w:hAnsi="Arial" w:cs="Arial"/>
          <w:sz w:val="18"/>
          <w:szCs w:val="18"/>
          <w:lang w:eastAsia="ar-SA"/>
        </w:rPr>
        <w:t>Rozporządzenie Ministra Transportu i Gospodarki Morskiej w sprawie warunków technicznych, jakim powinny odpowiadać drogowe obiekty inżynierskie i ich usytuowanie (Dz. U. z 2000 r., Nr 63, poz. 735, z późn. zm.)</w:t>
      </w:r>
      <w:bookmarkEnd w:id="2"/>
      <w:r>
        <w:rPr>
          <w:rFonts w:ascii="Arial" w:hAnsi="Arial" w:cs="Arial"/>
          <w:sz w:val="18"/>
          <w:szCs w:val="18"/>
          <w:lang w:eastAsia="ar-SA"/>
        </w:rPr>
        <w:t>.</w:t>
      </w:r>
    </w:p>
    <w:p w14:paraId="7B45F4EE" w14:textId="77777777" w:rsidR="003F49C8" w:rsidRDefault="008C2229">
      <w:pPr>
        <w:numPr>
          <w:ilvl w:val="0"/>
          <w:numId w:val="15"/>
        </w:numPr>
        <w:suppressAutoHyphens/>
        <w:ind w:left="426" w:hanging="426"/>
        <w:jc w:val="both"/>
        <w:rPr>
          <w:rFonts w:ascii="Arial" w:hAnsi="Arial" w:cs="Arial"/>
          <w:sz w:val="18"/>
          <w:szCs w:val="18"/>
          <w:lang w:eastAsia="ar-SA"/>
        </w:rPr>
      </w:pPr>
      <w:bookmarkStart w:id="3" w:name="_Ref485850315"/>
      <w:r>
        <w:rPr>
          <w:rFonts w:ascii="Arial" w:hAnsi="Arial" w:cs="Arial"/>
          <w:sz w:val="18"/>
          <w:szCs w:val="18"/>
          <w:lang w:eastAsia="ar-SA"/>
        </w:rPr>
        <w:t xml:space="preserve">Ustawa z dnia 7 lipca 1994 r. - </w:t>
      </w:r>
      <w:r>
        <w:rPr>
          <w:rFonts w:ascii="Arial" w:hAnsi="Arial" w:cs="Arial"/>
          <w:bCs/>
          <w:sz w:val="18"/>
          <w:szCs w:val="18"/>
          <w:lang w:eastAsia="ar-SA"/>
        </w:rPr>
        <w:t>Prawo Budowlane</w:t>
      </w:r>
      <w:r>
        <w:rPr>
          <w:rFonts w:ascii="Arial" w:hAnsi="Arial" w:cs="Arial"/>
          <w:sz w:val="18"/>
          <w:szCs w:val="18"/>
          <w:lang w:eastAsia="ar-SA"/>
        </w:rPr>
        <w:t xml:space="preserve"> (t.j. Dz. U. z 2018 r., poz. 1202 z późn. zm.)</w:t>
      </w:r>
      <w:bookmarkEnd w:id="3"/>
      <w:r>
        <w:rPr>
          <w:rFonts w:ascii="Arial" w:hAnsi="Arial" w:cs="Arial"/>
          <w:sz w:val="18"/>
          <w:szCs w:val="18"/>
          <w:lang w:eastAsia="ar-SA"/>
        </w:rPr>
        <w:t>.</w:t>
      </w:r>
    </w:p>
    <w:p w14:paraId="45D236C3"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z dnia 6 lutego 2003 r. w sprawie bezpieczeństwa i higieny pracy podczas wykonywania robót budowlanych (Dz. U. z 2003 r.,</w:t>
      </w:r>
      <w:r>
        <w:rPr>
          <w:rFonts w:ascii="Arial" w:hAnsi="Arial" w:cs="Arial"/>
          <w:sz w:val="18"/>
          <w:szCs w:val="18"/>
          <w:lang w:eastAsia="ar-SA"/>
        </w:rPr>
        <w:t xml:space="preserve"> </w:t>
      </w:r>
      <w:r>
        <w:rPr>
          <w:rFonts w:ascii="Arial" w:hAnsi="Arial" w:cs="Arial"/>
          <w:spacing w:val="-3"/>
          <w:sz w:val="18"/>
          <w:szCs w:val="18"/>
          <w:lang w:eastAsia="ar-SA"/>
        </w:rPr>
        <w:t>Nr 47, poz. 401).</w:t>
      </w:r>
    </w:p>
    <w:p w14:paraId="2C8BAAB0" w14:textId="77777777" w:rsidR="003F49C8" w:rsidRDefault="008C2229">
      <w:pPr>
        <w:numPr>
          <w:ilvl w:val="0"/>
          <w:numId w:val="15"/>
        </w:numPr>
        <w:suppressAutoHyphens/>
        <w:ind w:left="426" w:hanging="426"/>
        <w:jc w:val="both"/>
        <w:rPr>
          <w:rFonts w:ascii="Arial" w:hAnsi="Arial" w:cs="Arial"/>
          <w:spacing w:val="-3"/>
          <w:sz w:val="18"/>
          <w:szCs w:val="18"/>
          <w:lang w:eastAsia="ar-SA"/>
        </w:rPr>
      </w:pPr>
      <w:bookmarkStart w:id="4" w:name="_Ref489891115"/>
      <w:r>
        <w:rPr>
          <w:rFonts w:ascii="Arial" w:hAnsi="Arial" w:cs="Arial"/>
          <w:spacing w:val="-3"/>
          <w:sz w:val="18"/>
          <w:szCs w:val="18"/>
          <w:lang w:eastAsia="ar-SA"/>
        </w:rPr>
        <w:t>Ustawa z dnia 16 kwietnia 2004 r. o wyrobach budowlanych (Dz. U. z 2016 r. poz. 1570, z późn zm.)</w:t>
      </w:r>
      <w:bookmarkEnd w:id="4"/>
      <w:r>
        <w:rPr>
          <w:rFonts w:ascii="Arial" w:hAnsi="Arial" w:cs="Arial"/>
          <w:spacing w:val="-3"/>
          <w:sz w:val="18"/>
          <w:szCs w:val="18"/>
          <w:lang w:eastAsia="ar-SA"/>
        </w:rPr>
        <w:t>.</w:t>
      </w:r>
    </w:p>
    <w:p w14:paraId="051FDF3C" w14:textId="77777777" w:rsidR="003F49C8" w:rsidRDefault="008C2229">
      <w:pPr>
        <w:numPr>
          <w:ilvl w:val="0"/>
          <w:numId w:val="15"/>
        </w:numPr>
        <w:suppressAutoHyphens/>
        <w:ind w:left="426" w:hanging="426"/>
        <w:jc w:val="both"/>
        <w:rPr>
          <w:rFonts w:ascii="Arial" w:hAnsi="Arial" w:cs="Arial"/>
          <w:spacing w:val="-3"/>
          <w:sz w:val="18"/>
          <w:szCs w:val="18"/>
          <w:lang w:eastAsia="ar-SA"/>
        </w:rPr>
      </w:pPr>
      <w:r>
        <w:rPr>
          <w:rFonts w:ascii="Arial" w:hAnsi="Arial" w:cs="Arial"/>
          <w:spacing w:val="-3"/>
          <w:sz w:val="18"/>
          <w:szCs w:val="18"/>
          <w:lang w:eastAsia="ar-SA"/>
        </w:rPr>
        <w:t>Rozporządzenie Ministra Infrastruktury i Budownictwa z dnia 17 listopada 2016 roku w sprawie sposobu deklarowania właściwości użytkowych wyrobów budowlanych oraz sposobu znakowania ich znakiem budowlanym (Dz. U. z 2016 roku, poz. 1966).</w:t>
      </w:r>
    </w:p>
    <w:p w14:paraId="32C3A43D"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27 kwietnia 2001 r. - </w:t>
      </w:r>
      <w:r>
        <w:rPr>
          <w:rFonts w:ascii="Arial" w:hAnsi="Arial" w:cs="Arial"/>
          <w:bCs/>
          <w:sz w:val="18"/>
          <w:szCs w:val="18"/>
          <w:lang w:eastAsia="ar-SA"/>
        </w:rPr>
        <w:t>Prawo ochrony środowiska</w:t>
      </w:r>
      <w:r>
        <w:rPr>
          <w:rFonts w:ascii="Arial" w:hAnsi="Arial" w:cs="Arial"/>
          <w:sz w:val="18"/>
          <w:szCs w:val="18"/>
          <w:lang w:eastAsia="ar-SA"/>
        </w:rPr>
        <w:t xml:space="preserve"> (t.j. Dz. U. z 2018 r.,</w:t>
      </w:r>
      <w:r>
        <w:rPr>
          <w:rFonts w:ascii="Arial" w:hAnsi="Arial" w:cs="Arial"/>
          <w:b/>
          <w:sz w:val="18"/>
          <w:szCs w:val="18"/>
          <w:lang w:eastAsia="ar-SA"/>
        </w:rPr>
        <w:t xml:space="preserve"> </w:t>
      </w:r>
      <w:r>
        <w:rPr>
          <w:rFonts w:ascii="Arial" w:hAnsi="Arial" w:cs="Arial"/>
          <w:sz w:val="18"/>
          <w:szCs w:val="18"/>
          <w:lang w:eastAsia="ar-SA"/>
        </w:rPr>
        <w:t>poz. 799, z późn. zm.).</w:t>
      </w:r>
    </w:p>
    <w:p w14:paraId="16808EC8" w14:textId="77777777" w:rsidR="003F49C8" w:rsidRDefault="008C2229">
      <w:pPr>
        <w:numPr>
          <w:ilvl w:val="0"/>
          <w:numId w:val="15"/>
        </w:numPr>
        <w:suppressAutoHyphens/>
        <w:ind w:left="426" w:hanging="426"/>
        <w:jc w:val="both"/>
        <w:rPr>
          <w:rFonts w:ascii="Arial" w:hAnsi="Arial" w:cs="Arial"/>
          <w:bCs/>
          <w:sz w:val="18"/>
          <w:szCs w:val="18"/>
          <w:lang w:eastAsia="ar-SA"/>
        </w:rPr>
      </w:pPr>
      <w:r>
        <w:rPr>
          <w:rFonts w:ascii="Arial" w:hAnsi="Arial" w:cs="Arial"/>
          <w:sz w:val="18"/>
          <w:szCs w:val="18"/>
          <w:lang w:eastAsia="ar-SA"/>
        </w:rPr>
        <w:t>Ustawa z dnia 27 lipca 2001 r. o wprowadzeniu ustawy – Prawo ochrony środowiska, ustawy o odpadach oraz o zmianie niektórych ustaw (Dz. U. z 2001 r., Nr 100, poz. 1085, z późn. zm.).</w:t>
      </w:r>
    </w:p>
    <w:p w14:paraId="5CF2413B" w14:textId="77777777" w:rsidR="003F49C8" w:rsidRDefault="008C2229">
      <w:pPr>
        <w:numPr>
          <w:ilvl w:val="0"/>
          <w:numId w:val="15"/>
        </w:numPr>
        <w:suppressAutoHyphens/>
        <w:ind w:left="426" w:hanging="426"/>
        <w:jc w:val="both"/>
        <w:rPr>
          <w:rFonts w:ascii="Arial" w:hAnsi="Arial" w:cs="Arial"/>
          <w:sz w:val="18"/>
          <w:szCs w:val="18"/>
          <w:lang w:eastAsia="ar-SA"/>
        </w:rPr>
      </w:pPr>
      <w:bookmarkStart w:id="5" w:name="_Ref489890215"/>
      <w:r>
        <w:rPr>
          <w:rFonts w:ascii="Arial" w:hAnsi="Arial" w:cs="Arial"/>
          <w:sz w:val="18"/>
          <w:szCs w:val="18"/>
          <w:lang w:eastAsia="ar-SA"/>
        </w:rPr>
        <w:t>Ustawa z dnia 14 grudnia 2012 r. o odpadach (t.j. Dz. U. z 2018 r., poz. 992 z późn. zm.)</w:t>
      </w:r>
      <w:bookmarkEnd w:id="5"/>
      <w:r>
        <w:rPr>
          <w:rFonts w:ascii="Arial" w:hAnsi="Arial" w:cs="Arial"/>
          <w:sz w:val="18"/>
          <w:szCs w:val="18"/>
          <w:lang w:eastAsia="ar-SA"/>
        </w:rPr>
        <w:t>.</w:t>
      </w:r>
    </w:p>
    <w:p w14:paraId="54BD6593"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 xml:space="preserve">Ustawa z dnia 20 czerwca 1997 r. - </w:t>
      </w:r>
      <w:r>
        <w:rPr>
          <w:rFonts w:ascii="Arial" w:hAnsi="Arial" w:cs="Arial"/>
          <w:bCs/>
          <w:sz w:val="18"/>
          <w:szCs w:val="18"/>
          <w:lang w:eastAsia="ar-SA"/>
        </w:rPr>
        <w:t>Prawo o ruchu drogowym</w:t>
      </w:r>
      <w:r>
        <w:rPr>
          <w:rFonts w:ascii="Arial" w:hAnsi="Arial" w:cs="Arial"/>
          <w:sz w:val="18"/>
          <w:szCs w:val="18"/>
          <w:lang w:eastAsia="ar-SA"/>
        </w:rPr>
        <w:t xml:space="preserve"> (t.j. Dz. U. z 2018 r.,</w:t>
      </w:r>
      <w:r>
        <w:rPr>
          <w:rFonts w:ascii="Arial" w:hAnsi="Arial" w:cs="Arial"/>
          <w:b/>
          <w:sz w:val="18"/>
          <w:szCs w:val="18"/>
          <w:u w:val="single"/>
          <w:lang w:eastAsia="ar-SA"/>
        </w:rPr>
        <w:t xml:space="preserve"> </w:t>
      </w:r>
      <w:r>
        <w:rPr>
          <w:rFonts w:ascii="Arial" w:hAnsi="Arial" w:cs="Arial"/>
          <w:sz w:val="18"/>
          <w:szCs w:val="18"/>
          <w:lang w:eastAsia="ar-SA"/>
        </w:rPr>
        <w:t>poz. 1990).</w:t>
      </w:r>
    </w:p>
    <w:p w14:paraId="00EE9CE3" w14:textId="77777777" w:rsidR="003F49C8" w:rsidRDefault="008C2229">
      <w:pPr>
        <w:numPr>
          <w:ilvl w:val="0"/>
          <w:numId w:val="15"/>
        </w:numPr>
        <w:suppressAutoHyphens/>
        <w:ind w:left="426" w:hanging="426"/>
        <w:jc w:val="both"/>
        <w:rPr>
          <w:rFonts w:ascii="Arial" w:hAnsi="Arial" w:cs="Arial"/>
          <w:bCs/>
          <w:sz w:val="18"/>
          <w:szCs w:val="18"/>
          <w:lang w:eastAsia="ar-SA"/>
        </w:rPr>
      </w:pPr>
      <w:bookmarkStart w:id="6" w:name="_Ref489889883"/>
      <w:r>
        <w:rPr>
          <w:rFonts w:ascii="Arial" w:hAnsi="Arial" w:cs="Arial"/>
          <w:bCs/>
          <w:sz w:val="18"/>
          <w:szCs w:val="18"/>
          <w:lang w:eastAsia="ar-SA"/>
        </w:rPr>
        <w:t>Ustawa z dnia 29 stycznia 2004 r. - Prawo zamówień publicznych (t.j. Dz. U. z 2018  r., poz. 1986 z późn. zm.)</w:t>
      </w:r>
      <w:bookmarkEnd w:id="6"/>
      <w:r>
        <w:rPr>
          <w:rFonts w:ascii="Arial" w:hAnsi="Arial" w:cs="Arial"/>
          <w:bCs/>
          <w:sz w:val="18"/>
          <w:szCs w:val="18"/>
          <w:lang w:eastAsia="ar-SA"/>
        </w:rPr>
        <w:t>.</w:t>
      </w:r>
    </w:p>
    <w:p w14:paraId="5D0553D4" w14:textId="77777777" w:rsidR="003F49C8" w:rsidRDefault="008C2229">
      <w:pPr>
        <w:numPr>
          <w:ilvl w:val="0"/>
          <w:numId w:val="15"/>
        </w:numPr>
        <w:suppressAutoHyphens/>
        <w:ind w:left="426" w:hanging="426"/>
        <w:jc w:val="both"/>
        <w:rPr>
          <w:rFonts w:ascii="Arial" w:hAnsi="Arial" w:cs="Arial"/>
          <w:sz w:val="18"/>
          <w:szCs w:val="18"/>
          <w:lang w:eastAsia="ar-SA"/>
        </w:rPr>
      </w:pPr>
      <w:r>
        <w:rPr>
          <w:rFonts w:ascii="Arial" w:hAnsi="Arial" w:cs="Arial"/>
          <w:sz w:val="18"/>
          <w:szCs w:val="18"/>
          <w:lang w:eastAsia="ar-SA"/>
        </w:rPr>
        <w:t>Ustawa z dnia 29 sierpnia 1997 r. o ochronie danych osobowych (Dz. U. z 2018 r. poz. 1000 z późn. zm.).</w:t>
      </w:r>
    </w:p>
    <w:p w14:paraId="306DE208" w14:textId="77777777" w:rsidR="003F49C8" w:rsidRDefault="008C2229">
      <w:pPr>
        <w:pStyle w:val="Akapitzlist"/>
        <w:numPr>
          <w:ilvl w:val="0"/>
          <w:numId w:val="15"/>
        </w:numPr>
        <w:suppressAutoHyphens/>
        <w:ind w:left="426" w:hanging="426"/>
        <w:jc w:val="both"/>
        <w:rPr>
          <w:rFonts w:ascii="Arial" w:hAnsi="Arial" w:cs="Arial"/>
          <w:sz w:val="18"/>
          <w:szCs w:val="18"/>
        </w:rPr>
      </w:pPr>
      <w:bookmarkStart w:id="7" w:name="_Toc470800432"/>
      <w:bookmarkStart w:id="8" w:name="_Toc470801282"/>
      <w:bookmarkStart w:id="9" w:name="_Toc470802130"/>
      <w:bookmarkStart w:id="10" w:name="_Toc471383062"/>
      <w:bookmarkStart w:id="11" w:name="_Toc471393354"/>
      <w:bookmarkStart w:id="12" w:name="_Toc470800433"/>
      <w:bookmarkStart w:id="13" w:name="_Toc470801283"/>
      <w:bookmarkStart w:id="14" w:name="_Toc470802131"/>
      <w:bookmarkStart w:id="15" w:name="_Toc471383063"/>
      <w:bookmarkStart w:id="16" w:name="_Toc471393355"/>
      <w:bookmarkStart w:id="17" w:name="_Toc470800434"/>
      <w:bookmarkStart w:id="18" w:name="_Toc470801284"/>
      <w:bookmarkStart w:id="19" w:name="_Toc470802132"/>
      <w:bookmarkStart w:id="20" w:name="_Toc471383064"/>
      <w:bookmarkStart w:id="21" w:name="_Toc471393356"/>
      <w:bookmarkStart w:id="22" w:name="_Toc470800435"/>
      <w:bookmarkStart w:id="23" w:name="_Toc470801285"/>
      <w:bookmarkStart w:id="24" w:name="_Toc470802133"/>
      <w:bookmarkStart w:id="25" w:name="_Toc471383065"/>
      <w:bookmarkStart w:id="26" w:name="_Toc471393357"/>
      <w:bookmarkStart w:id="27" w:name="_Toc470800436"/>
      <w:bookmarkStart w:id="28" w:name="_Toc470801286"/>
      <w:bookmarkStart w:id="29" w:name="_Toc470802134"/>
      <w:bookmarkStart w:id="30" w:name="_Toc471383066"/>
      <w:bookmarkStart w:id="31" w:name="_Toc471393358"/>
      <w:bookmarkStart w:id="32" w:name="_Toc470800437"/>
      <w:bookmarkStart w:id="33" w:name="_Toc470801287"/>
      <w:bookmarkStart w:id="34" w:name="_Toc470802135"/>
      <w:bookmarkStart w:id="35" w:name="_Toc471383067"/>
      <w:bookmarkStart w:id="36" w:name="_Toc471393359"/>
      <w:bookmarkStart w:id="37" w:name="_Toc470800438"/>
      <w:bookmarkStart w:id="38" w:name="_Toc470801288"/>
      <w:bookmarkStart w:id="39" w:name="_Toc470802136"/>
      <w:bookmarkStart w:id="40" w:name="_Toc471383068"/>
      <w:bookmarkStart w:id="41" w:name="_Toc471393360"/>
      <w:bookmarkStart w:id="42" w:name="_Toc470800439"/>
      <w:bookmarkStart w:id="43" w:name="_Toc470801289"/>
      <w:bookmarkStart w:id="44" w:name="_Toc470802137"/>
      <w:bookmarkStart w:id="45" w:name="_Toc471383069"/>
      <w:bookmarkStart w:id="46" w:name="_Toc471393361"/>
      <w:bookmarkStart w:id="47" w:name="_Toc470800440"/>
      <w:bookmarkStart w:id="48" w:name="_Toc470801290"/>
      <w:bookmarkStart w:id="49" w:name="_Toc470802138"/>
      <w:bookmarkStart w:id="50" w:name="_Toc471383070"/>
      <w:bookmarkStart w:id="51" w:name="_Toc471393362"/>
      <w:bookmarkStart w:id="52" w:name="_Toc470800441"/>
      <w:bookmarkStart w:id="53" w:name="_Toc470801291"/>
      <w:bookmarkStart w:id="54" w:name="_Toc470802139"/>
      <w:bookmarkStart w:id="55" w:name="_Toc471383071"/>
      <w:bookmarkStart w:id="56" w:name="_Toc471393363"/>
      <w:bookmarkStart w:id="57" w:name="_Toc470800442"/>
      <w:bookmarkStart w:id="58" w:name="_Toc470801292"/>
      <w:bookmarkStart w:id="59" w:name="_Toc470802140"/>
      <w:bookmarkStart w:id="60" w:name="_Toc471383072"/>
      <w:bookmarkStart w:id="61" w:name="_Toc471393364"/>
      <w:bookmarkStart w:id="62" w:name="_Toc470800443"/>
      <w:bookmarkStart w:id="63" w:name="_Toc470801293"/>
      <w:bookmarkStart w:id="64" w:name="_Toc470802141"/>
      <w:bookmarkStart w:id="65" w:name="_Toc471383073"/>
      <w:bookmarkStart w:id="66" w:name="_Toc471393365"/>
      <w:bookmarkStart w:id="67" w:name="_Toc470800444"/>
      <w:bookmarkStart w:id="68" w:name="_Toc470801294"/>
      <w:bookmarkStart w:id="69" w:name="_Toc470802142"/>
      <w:bookmarkStart w:id="70" w:name="_Toc471383074"/>
      <w:bookmarkStart w:id="71" w:name="_Toc471393366"/>
      <w:bookmarkStart w:id="72" w:name="_Toc470800445"/>
      <w:bookmarkStart w:id="73" w:name="_Toc470801295"/>
      <w:bookmarkStart w:id="74" w:name="_Toc470802143"/>
      <w:bookmarkStart w:id="75" w:name="_Toc471383075"/>
      <w:bookmarkStart w:id="76" w:name="_Toc471393367"/>
      <w:bookmarkStart w:id="77" w:name="_Toc470800446"/>
      <w:bookmarkStart w:id="78" w:name="_Toc470801296"/>
      <w:bookmarkStart w:id="79" w:name="_Toc470802144"/>
      <w:bookmarkStart w:id="80" w:name="_Toc471383076"/>
      <w:bookmarkStart w:id="81" w:name="_Toc471393368"/>
      <w:bookmarkStart w:id="82" w:name="_Toc470800447"/>
      <w:bookmarkStart w:id="83" w:name="_Toc470801297"/>
      <w:bookmarkStart w:id="84" w:name="_Toc470802145"/>
      <w:bookmarkStart w:id="85" w:name="_Toc471383077"/>
      <w:bookmarkStart w:id="86" w:name="_Toc471393369"/>
      <w:bookmarkStart w:id="87" w:name="_Toc470800448"/>
      <w:bookmarkStart w:id="88" w:name="_Toc470801298"/>
      <w:bookmarkStart w:id="89" w:name="_Toc470802146"/>
      <w:bookmarkStart w:id="90" w:name="_Toc471383078"/>
      <w:bookmarkStart w:id="91" w:name="_Toc471393370"/>
      <w:bookmarkStart w:id="92" w:name="_Toc470800449"/>
      <w:bookmarkStart w:id="93" w:name="_Toc470801299"/>
      <w:bookmarkStart w:id="94" w:name="_Toc470802147"/>
      <w:bookmarkStart w:id="95" w:name="_Toc471383079"/>
      <w:bookmarkStart w:id="96" w:name="_Toc471393371"/>
      <w:bookmarkStart w:id="97" w:name="_Toc470800450"/>
      <w:bookmarkStart w:id="98" w:name="_Toc470801300"/>
      <w:bookmarkStart w:id="99" w:name="_Toc470802148"/>
      <w:bookmarkStart w:id="100" w:name="_Toc471383080"/>
      <w:bookmarkStart w:id="101" w:name="_Toc471393372"/>
      <w:bookmarkStart w:id="102" w:name="_Toc470800451"/>
      <w:bookmarkStart w:id="103" w:name="_Toc470801301"/>
      <w:bookmarkStart w:id="104" w:name="_Toc470802149"/>
      <w:bookmarkStart w:id="105" w:name="_Toc471383081"/>
      <w:bookmarkStart w:id="106" w:name="_Toc471393373"/>
      <w:bookmarkStart w:id="107" w:name="_Toc470800452"/>
      <w:bookmarkStart w:id="108" w:name="_Toc470801302"/>
      <w:bookmarkStart w:id="109" w:name="_Toc470802150"/>
      <w:bookmarkStart w:id="110" w:name="_Toc471383082"/>
      <w:bookmarkStart w:id="111" w:name="_Toc471393374"/>
      <w:bookmarkStart w:id="112" w:name="_Toc470800453"/>
      <w:bookmarkStart w:id="113" w:name="_Toc470801303"/>
      <w:bookmarkStart w:id="114" w:name="_Toc470802151"/>
      <w:bookmarkStart w:id="115" w:name="_Toc471383083"/>
      <w:bookmarkStart w:id="116" w:name="_Toc471393375"/>
      <w:bookmarkStart w:id="117" w:name="_Toc470800454"/>
      <w:bookmarkStart w:id="118" w:name="_Toc470801304"/>
      <w:bookmarkStart w:id="119" w:name="_Toc470802152"/>
      <w:bookmarkStart w:id="120" w:name="_Toc471383084"/>
      <w:bookmarkStart w:id="121" w:name="_Toc471393376"/>
      <w:bookmarkStart w:id="122" w:name="_Toc470800455"/>
      <w:bookmarkStart w:id="123" w:name="_Toc470801305"/>
      <w:bookmarkStart w:id="124" w:name="_Toc470802153"/>
      <w:bookmarkStart w:id="125" w:name="_Toc471383085"/>
      <w:bookmarkStart w:id="126" w:name="_Toc471393377"/>
      <w:bookmarkStart w:id="127" w:name="_Toc470800456"/>
      <w:bookmarkStart w:id="128" w:name="_Toc470801306"/>
      <w:bookmarkStart w:id="129" w:name="_Toc470802154"/>
      <w:bookmarkStart w:id="130" w:name="_Toc471383086"/>
      <w:bookmarkStart w:id="131" w:name="_Toc471393378"/>
      <w:bookmarkStart w:id="132" w:name="_Toc470800457"/>
      <w:bookmarkStart w:id="133" w:name="_Toc470801307"/>
      <w:bookmarkStart w:id="134" w:name="_Toc470802155"/>
      <w:bookmarkStart w:id="135" w:name="_Toc471383087"/>
      <w:bookmarkStart w:id="136" w:name="_Toc471393379"/>
      <w:bookmarkStart w:id="137" w:name="_Toc470800458"/>
      <w:bookmarkStart w:id="138" w:name="_Toc470801308"/>
      <w:bookmarkStart w:id="139" w:name="_Toc470802156"/>
      <w:bookmarkStart w:id="140" w:name="_Toc471383088"/>
      <w:bookmarkStart w:id="141" w:name="_Toc471393380"/>
      <w:bookmarkStart w:id="142" w:name="_Toc470800459"/>
      <w:bookmarkStart w:id="143" w:name="_Toc470801309"/>
      <w:bookmarkStart w:id="144" w:name="_Toc470802157"/>
      <w:bookmarkStart w:id="145" w:name="_Toc471383089"/>
      <w:bookmarkStart w:id="146" w:name="_Toc471393381"/>
      <w:bookmarkStart w:id="147" w:name="_Toc470800460"/>
      <w:bookmarkStart w:id="148" w:name="_Toc470801310"/>
      <w:bookmarkStart w:id="149" w:name="_Toc470802158"/>
      <w:bookmarkStart w:id="150" w:name="_Toc471383090"/>
      <w:bookmarkStart w:id="151" w:name="_Toc471393382"/>
      <w:bookmarkStart w:id="152" w:name="_Toc470800461"/>
      <w:bookmarkStart w:id="153" w:name="_Toc470801311"/>
      <w:bookmarkStart w:id="154" w:name="_Toc470802159"/>
      <w:bookmarkStart w:id="155" w:name="_Toc471383091"/>
      <w:bookmarkStart w:id="156" w:name="_Toc471393383"/>
      <w:bookmarkStart w:id="157" w:name="_Toc470800462"/>
      <w:bookmarkStart w:id="158" w:name="_Toc470801312"/>
      <w:bookmarkStart w:id="159" w:name="_Toc470802160"/>
      <w:bookmarkStart w:id="160" w:name="_Toc471383092"/>
      <w:bookmarkStart w:id="161" w:name="_Toc471393384"/>
      <w:bookmarkStart w:id="162" w:name="_Toc470800463"/>
      <w:bookmarkStart w:id="163" w:name="_Toc470801313"/>
      <w:bookmarkStart w:id="164" w:name="_Toc470802161"/>
      <w:bookmarkStart w:id="165" w:name="_Toc471383093"/>
      <w:bookmarkStart w:id="166" w:name="_Toc471393385"/>
      <w:bookmarkStart w:id="167" w:name="_Toc470800464"/>
      <w:bookmarkStart w:id="168" w:name="_Toc470801314"/>
      <w:bookmarkStart w:id="169" w:name="_Toc470802162"/>
      <w:bookmarkStart w:id="170" w:name="_Toc471383094"/>
      <w:bookmarkStart w:id="171" w:name="_Toc471393386"/>
      <w:bookmarkStart w:id="172" w:name="_Toc470800465"/>
      <w:bookmarkStart w:id="173" w:name="_Toc470801315"/>
      <w:bookmarkStart w:id="174" w:name="_Toc470802163"/>
      <w:bookmarkStart w:id="175" w:name="_Toc471383095"/>
      <w:bookmarkStart w:id="176" w:name="_Toc471393387"/>
      <w:bookmarkStart w:id="177" w:name="_Toc470800466"/>
      <w:bookmarkStart w:id="178" w:name="_Toc470801316"/>
      <w:bookmarkStart w:id="179" w:name="_Toc470802164"/>
      <w:bookmarkStart w:id="180" w:name="_Toc471383096"/>
      <w:bookmarkStart w:id="181" w:name="_Toc471393388"/>
      <w:bookmarkStart w:id="182" w:name="_Toc470800467"/>
      <w:bookmarkStart w:id="183" w:name="_Toc470801317"/>
      <w:bookmarkStart w:id="184" w:name="_Toc470802165"/>
      <w:bookmarkStart w:id="185" w:name="_Toc471383097"/>
      <w:bookmarkStart w:id="186" w:name="_Toc471393389"/>
      <w:bookmarkStart w:id="187" w:name="_Toc470800468"/>
      <w:bookmarkStart w:id="188" w:name="_Toc470801318"/>
      <w:bookmarkStart w:id="189" w:name="_Toc470802166"/>
      <w:bookmarkStart w:id="190" w:name="_Toc471383098"/>
      <w:bookmarkStart w:id="191" w:name="_Toc471393390"/>
      <w:bookmarkStart w:id="192" w:name="_Toc470800469"/>
      <w:bookmarkStart w:id="193" w:name="_Toc470801319"/>
      <w:bookmarkStart w:id="194" w:name="_Toc470802167"/>
      <w:bookmarkStart w:id="195" w:name="_Toc471383099"/>
      <w:bookmarkStart w:id="196" w:name="_Toc471393391"/>
      <w:bookmarkStart w:id="197" w:name="_Toc470800470"/>
      <w:bookmarkStart w:id="198" w:name="_Toc470801320"/>
      <w:bookmarkStart w:id="199" w:name="_Toc470802168"/>
      <w:bookmarkStart w:id="200" w:name="_Toc471383100"/>
      <w:bookmarkStart w:id="201" w:name="_Toc471393392"/>
      <w:bookmarkStart w:id="202" w:name="_Toc470800471"/>
      <w:bookmarkStart w:id="203" w:name="_Toc470801321"/>
      <w:bookmarkStart w:id="204" w:name="_Toc470802169"/>
      <w:bookmarkStart w:id="205" w:name="_Toc471383101"/>
      <w:bookmarkStart w:id="206" w:name="_Toc471393393"/>
      <w:bookmarkStart w:id="207" w:name="_Toc470800472"/>
      <w:bookmarkStart w:id="208" w:name="_Toc470801322"/>
      <w:bookmarkStart w:id="209" w:name="_Toc470802170"/>
      <w:bookmarkStart w:id="210" w:name="_Toc471383102"/>
      <w:bookmarkStart w:id="211" w:name="_Toc471393394"/>
      <w:bookmarkStart w:id="212" w:name="_Toc470800473"/>
      <w:bookmarkStart w:id="213" w:name="_Toc470801323"/>
      <w:bookmarkStart w:id="214" w:name="_Toc470802171"/>
      <w:bookmarkStart w:id="215" w:name="_Toc471383103"/>
      <w:bookmarkStart w:id="216" w:name="_Toc471393395"/>
      <w:bookmarkStart w:id="217" w:name="_Toc470800474"/>
      <w:bookmarkStart w:id="218" w:name="_Toc470801324"/>
      <w:bookmarkStart w:id="219" w:name="_Toc470802172"/>
      <w:bookmarkStart w:id="220" w:name="_Toc471383104"/>
      <w:bookmarkStart w:id="221" w:name="_Toc471393396"/>
      <w:bookmarkStart w:id="222" w:name="_Toc470800475"/>
      <w:bookmarkStart w:id="223" w:name="_Toc470801325"/>
      <w:bookmarkStart w:id="224" w:name="_Toc470802173"/>
      <w:bookmarkStart w:id="225" w:name="_Toc471383105"/>
      <w:bookmarkStart w:id="226" w:name="_Toc471393397"/>
      <w:bookmarkStart w:id="227" w:name="_Toc470800476"/>
      <w:bookmarkStart w:id="228" w:name="_Toc470801326"/>
      <w:bookmarkStart w:id="229" w:name="_Toc470802174"/>
      <w:bookmarkStart w:id="230" w:name="_Toc471383106"/>
      <w:bookmarkStart w:id="231" w:name="_Toc471393398"/>
      <w:bookmarkStart w:id="232" w:name="_Toc470800477"/>
      <w:bookmarkStart w:id="233" w:name="_Toc470801327"/>
      <w:bookmarkStart w:id="234" w:name="_Toc470802175"/>
      <w:bookmarkStart w:id="235" w:name="_Toc471383107"/>
      <w:bookmarkStart w:id="236" w:name="_Toc471393399"/>
      <w:bookmarkStart w:id="237" w:name="_Toc470800478"/>
      <w:bookmarkStart w:id="238" w:name="_Toc470801328"/>
      <w:bookmarkStart w:id="239" w:name="_Toc470802176"/>
      <w:bookmarkStart w:id="240" w:name="_Toc471383108"/>
      <w:bookmarkStart w:id="241" w:name="_Toc471393400"/>
      <w:bookmarkStart w:id="242" w:name="_Toc470800479"/>
      <w:bookmarkStart w:id="243" w:name="_Toc470801329"/>
      <w:bookmarkStart w:id="244" w:name="_Toc470802177"/>
      <w:bookmarkStart w:id="245" w:name="_Toc471383109"/>
      <w:bookmarkStart w:id="246" w:name="_Toc471393401"/>
      <w:bookmarkStart w:id="247" w:name="_Toc470800480"/>
      <w:bookmarkStart w:id="248" w:name="_Toc470801330"/>
      <w:bookmarkStart w:id="249" w:name="_Toc470802178"/>
      <w:bookmarkStart w:id="250" w:name="_Toc471383110"/>
      <w:bookmarkStart w:id="251" w:name="_Toc471393402"/>
      <w:bookmarkStart w:id="252" w:name="_Toc470800481"/>
      <w:bookmarkStart w:id="253" w:name="_Toc470801331"/>
      <w:bookmarkStart w:id="254" w:name="_Toc470802179"/>
      <w:bookmarkStart w:id="255" w:name="_Toc471383111"/>
      <w:bookmarkStart w:id="256" w:name="_Toc471393403"/>
      <w:bookmarkStart w:id="257" w:name="_Toc470800482"/>
      <w:bookmarkStart w:id="258" w:name="_Toc470801332"/>
      <w:bookmarkStart w:id="259" w:name="_Toc470802180"/>
      <w:bookmarkStart w:id="260" w:name="_Toc471383112"/>
      <w:bookmarkStart w:id="261" w:name="_Toc471393404"/>
      <w:bookmarkStart w:id="262" w:name="_Toc470800483"/>
      <w:bookmarkStart w:id="263" w:name="_Toc470801333"/>
      <w:bookmarkStart w:id="264" w:name="_Toc470802181"/>
      <w:bookmarkStart w:id="265" w:name="_Toc471383113"/>
      <w:bookmarkStart w:id="266" w:name="_Toc471393405"/>
      <w:bookmarkStart w:id="267" w:name="_Toc470800484"/>
      <w:bookmarkStart w:id="268" w:name="_Toc470801334"/>
      <w:bookmarkStart w:id="269" w:name="_Toc470802182"/>
      <w:bookmarkStart w:id="270" w:name="_Toc471383114"/>
      <w:bookmarkStart w:id="271" w:name="_Toc471393406"/>
      <w:bookmarkStart w:id="272" w:name="_Toc470800485"/>
      <w:bookmarkStart w:id="273" w:name="_Toc470801335"/>
      <w:bookmarkStart w:id="274" w:name="_Toc470802183"/>
      <w:bookmarkStart w:id="275" w:name="_Toc471383115"/>
      <w:bookmarkStart w:id="276" w:name="_Toc471393407"/>
      <w:bookmarkStart w:id="277" w:name="_Toc470800486"/>
      <w:bookmarkStart w:id="278" w:name="_Toc470801336"/>
      <w:bookmarkStart w:id="279" w:name="_Toc470802184"/>
      <w:bookmarkStart w:id="280" w:name="_Toc471383116"/>
      <w:bookmarkStart w:id="281" w:name="_Toc471393408"/>
      <w:bookmarkStart w:id="282" w:name="_Toc470800487"/>
      <w:bookmarkStart w:id="283" w:name="_Toc470801337"/>
      <w:bookmarkStart w:id="284" w:name="_Toc470802185"/>
      <w:bookmarkStart w:id="285" w:name="_Toc471383117"/>
      <w:bookmarkStart w:id="286" w:name="_Toc471393409"/>
      <w:bookmarkStart w:id="287" w:name="_Toc470800488"/>
      <w:bookmarkStart w:id="288" w:name="_Toc470801338"/>
      <w:bookmarkStart w:id="289" w:name="_Toc470802186"/>
      <w:bookmarkStart w:id="290" w:name="_Toc471383118"/>
      <w:bookmarkStart w:id="291" w:name="_Toc471393410"/>
      <w:bookmarkStart w:id="292" w:name="_Toc470800489"/>
      <w:bookmarkStart w:id="293" w:name="_Toc470801339"/>
      <w:bookmarkStart w:id="294" w:name="_Toc470802187"/>
      <w:bookmarkStart w:id="295" w:name="_Toc471383119"/>
      <w:bookmarkStart w:id="296" w:name="_Toc471393411"/>
      <w:bookmarkStart w:id="297" w:name="_Toc470800490"/>
      <w:bookmarkStart w:id="298" w:name="_Toc470801340"/>
      <w:bookmarkStart w:id="299" w:name="_Toc470802188"/>
      <w:bookmarkStart w:id="300" w:name="_Toc471383120"/>
      <w:bookmarkStart w:id="301" w:name="_Toc471393412"/>
      <w:bookmarkStart w:id="302" w:name="_Toc470800491"/>
      <w:bookmarkStart w:id="303" w:name="_Toc470801341"/>
      <w:bookmarkStart w:id="304" w:name="_Toc470802189"/>
      <w:bookmarkStart w:id="305" w:name="_Toc471383121"/>
      <w:bookmarkStart w:id="306" w:name="_Toc471393413"/>
      <w:bookmarkStart w:id="307" w:name="_Toc470800492"/>
      <w:bookmarkStart w:id="308" w:name="_Toc470801342"/>
      <w:bookmarkStart w:id="309" w:name="_Toc470802190"/>
      <w:bookmarkStart w:id="310" w:name="_Toc471383122"/>
      <w:bookmarkStart w:id="311" w:name="_Toc471393414"/>
      <w:bookmarkStart w:id="312" w:name="_Toc470800493"/>
      <w:bookmarkStart w:id="313" w:name="_Toc470801343"/>
      <w:bookmarkStart w:id="314" w:name="_Toc470802191"/>
      <w:bookmarkStart w:id="315" w:name="_Toc471383123"/>
      <w:bookmarkStart w:id="316" w:name="_Toc471393415"/>
      <w:bookmarkStart w:id="317" w:name="_Toc470800494"/>
      <w:bookmarkStart w:id="318" w:name="_Toc470801344"/>
      <w:bookmarkStart w:id="319" w:name="_Toc470802192"/>
      <w:bookmarkStart w:id="320" w:name="_Toc471383124"/>
      <w:bookmarkStart w:id="321" w:name="_Toc471393416"/>
      <w:bookmarkStart w:id="322" w:name="_Toc470800495"/>
      <w:bookmarkStart w:id="323" w:name="_Toc470801345"/>
      <w:bookmarkStart w:id="324" w:name="_Toc470802193"/>
      <w:bookmarkStart w:id="325" w:name="_Toc471383125"/>
      <w:bookmarkStart w:id="326" w:name="_Toc471393417"/>
      <w:bookmarkStart w:id="327" w:name="_Toc470800496"/>
      <w:bookmarkStart w:id="328" w:name="_Toc470801346"/>
      <w:bookmarkStart w:id="329" w:name="_Toc470802194"/>
      <w:bookmarkStart w:id="330" w:name="_Toc471383126"/>
      <w:bookmarkStart w:id="331" w:name="_Toc471393418"/>
      <w:bookmarkStart w:id="332" w:name="_Toc470800497"/>
      <w:bookmarkStart w:id="333" w:name="_Toc470801347"/>
      <w:bookmarkStart w:id="334" w:name="_Toc470802195"/>
      <w:bookmarkStart w:id="335" w:name="_Toc471383127"/>
      <w:bookmarkStart w:id="336" w:name="_Toc471393419"/>
      <w:bookmarkStart w:id="337" w:name="_Toc470800498"/>
      <w:bookmarkStart w:id="338" w:name="_Toc470801348"/>
      <w:bookmarkStart w:id="339" w:name="_Toc470802196"/>
      <w:bookmarkStart w:id="340" w:name="_Toc471383128"/>
      <w:bookmarkStart w:id="341" w:name="_Toc471393420"/>
      <w:bookmarkStart w:id="342" w:name="_Toc470800499"/>
      <w:bookmarkStart w:id="343" w:name="_Toc470801349"/>
      <w:bookmarkStart w:id="344" w:name="_Toc470802197"/>
      <w:bookmarkStart w:id="345" w:name="_Toc471383129"/>
      <w:bookmarkStart w:id="346" w:name="_Toc471393421"/>
      <w:bookmarkStart w:id="347" w:name="_Toc470800500"/>
      <w:bookmarkStart w:id="348" w:name="_Toc470801350"/>
      <w:bookmarkStart w:id="349" w:name="_Toc470802198"/>
      <w:bookmarkStart w:id="350" w:name="_Toc471383130"/>
      <w:bookmarkStart w:id="351" w:name="_Toc471393422"/>
      <w:bookmarkStart w:id="352" w:name="_Toc470800501"/>
      <w:bookmarkStart w:id="353" w:name="_Toc470801351"/>
      <w:bookmarkStart w:id="354" w:name="_Toc470802199"/>
      <w:bookmarkStart w:id="355" w:name="_Toc471383131"/>
      <w:bookmarkStart w:id="356" w:name="_Toc471393423"/>
      <w:bookmarkStart w:id="357" w:name="_Toc470800502"/>
      <w:bookmarkStart w:id="358" w:name="_Toc470801352"/>
      <w:bookmarkStart w:id="359" w:name="_Toc470802200"/>
      <w:bookmarkStart w:id="360" w:name="_Toc471383132"/>
      <w:bookmarkStart w:id="361" w:name="_Toc471393424"/>
      <w:bookmarkStart w:id="362" w:name="_Toc470800503"/>
      <w:bookmarkStart w:id="363" w:name="_Toc470801353"/>
      <w:bookmarkStart w:id="364" w:name="_Toc470802201"/>
      <w:bookmarkStart w:id="365" w:name="_Toc471383133"/>
      <w:bookmarkStart w:id="366" w:name="_Toc471393425"/>
      <w:bookmarkStart w:id="367" w:name="_Toc470800504"/>
      <w:bookmarkStart w:id="368" w:name="_Toc470801354"/>
      <w:bookmarkStart w:id="369" w:name="_Toc470802202"/>
      <w:bookmarkStart w:id="370" w:name="_Toc471383134"/>
      <w:bookmarkStart w:id="371" w:name="_Toc471393426"/>
      <w:bookmarkStart w:id="372" w:name="_Toc470800505"/>
      <w:bookmarkStart w:id="373" w:name="_Toc470801355"/>
      <w:bookmarkStart w:id="374" w:name="_Toc470802203"/>
      <w:bookmarkStart w:id="375" w:name="_Toc471383135"/>
      <w:bookmarkStart w:id="376" w:name="_Toc471393427"/>
      <w:bookmarkStart w:id="377" w:name="_Toc470800506"/>
      <w:bookmarkStart w:id="378" w:name="_Toc470801356"/>
      <w:bookmarkStart w:id="379" w:name="_Toc470802204"/>
      <w:bookmarkStart w:id="380" w:name="_Toc471383136"/>
      <w:bookmarkStart w:id="381" w:name="_Toc471393428"/>
      <w:bookmarkStart w:id="382" w:name="_Toc470800507"/>
      <w:bookmarkStart w:id="383" w:name="_Toc470801357"/>
      <w:bookmarkStart w:id="384" w:name="_Toc470802205"/>
      <w:bookmarkStart w:id="385" w:name="_Toc471383137"/>
      <w:bookmarkStart w:id="386" w:name="_Toc471393429"/>
      <w:bookmarkStart w:id="387" w:name="_Toc470800508"/>
      <w:bookmarkStart w:id="388" w:name="_Toc470801358"/>
      <w:bookmarkStart w:id="389" w:name="_Toc470802206"/>
      <w:bookmarkStart w:id="390" w:name="_Toc471383138"/>
      <w:bookmarkStart w:id="391" w:name="_Toc471393430"/>
      <w:bookmarkStart w:id="392" w:name="_Toc470800509"/>
      <w:bookmarkStart w:id="393" w:name="_Toc470801359"/>
      <w:bookmarkStart w:id="394" w:name="_Toc470802207"/>
      <w:bookmarkStart w:id="395" w:name="_Toc471383139"/>
      <w:bookmarkStart w:id="396" w:name="_Toc471393431"/>
      <w:bookmarkStart w:id="397" w:name="_Toc470800510"/>
      <w:bookmarkStart w:id="398" w:name="_Toc470801360"/>
      <w:bookmarkStart w:id="399" w:name="_Toc470802208"/>
      <w:bookmarkStart w:id="400" w:name="_Toc471383140"/>
      <w:bookmarkStart w:id="401" w:name="_Toc471393432"/>
      <w:bookmarkStart w:id="402" w:name="_Toc470800511"/>
      <w:bookmarkStart w:id="403" w:name="_Toc470801361"/>
      <w:bookmarkStart w:id="404" w:name="_Toc470802209"/>
      <w:bookmarkStart w:id="405" w:name="_Toc471383141"/>
      <w:bookmarkStart w:id="406" w:name="_Toc471393433"/>
      <w:bookmarkStart w:id="407" w:name="_Toc470800512"/>
      <w:bookmarkStart w:id="408" w:name="_Toc470801362"/>
      <w:bookmarkStart w:id="409" w:name="_Toc470802210"/>
      <w:bookmarkStart w:id="410" w:name="_Toc471383142"/>
      <w:bookmarkStart w:id="411" w:name="_Toc471393434"/>
      <w:bookmarkStart w:id="412" w:name="_Toc470800513"/>
      <w:bookmarkStart w:id="413" w:name="_Toc470801363"/>
      <w:bookmarkStart w:id="414" w:name="_Toc470802211"/>
      <w:bookmarkStart w:id="415" w:name="_Toc471383143"/>
      <w:bookmarkStart w:id="416" w:name="_Toc471393435"/>
      <w:bookmarkStart w:id="417" w:name="_Toc470800514"/>
      <w:bookmarkStart w:id="418" w:name="_Toc470801364"/>
      <w:bookmarkStart w:id="419" w:name="_Toc470802212"/>
      <w:bookmarkStart w:id="420" w:name="_Toc471383144"/>
      <w:bookmarkStart w:id="421" w:name="_Toc471393436"/>
      <w:bookmarkStart w:id="422" w:name="_Toc470800515"/>
      <w:bookmarkStart w:id="423" w:name="_Toc470801365"/>
      <w:bookmarkStart w:id="424" w:name="_Toc470802213"/>
      <w:bookmarkStart w:id="425" w:name="_Toc471383145"/>
      <w:bookmarkStart w:id="426" w:name="_Toc471393437"/>
      <w:bookmarkStart w:id="427" w:name="_Toc470800516"/>
      <w:bookmarkStart w:id="428" w:name="_Toc470801366"/>
      <w:bookmarkStart w:id="429" w:name="_Toc470802214"/>
      <w:bookmarkStart w:id="430" w:name="_Toc471383146"/>
      <w:bookmarkStart w:id="431" w:name="_Toc471393438"/>
      <w:bookmarkStart w:id="432" w:name="_Toc470800517"/>
      <w:bookmarkStart w:id="433" w:name="_Toc470801367"/>
      <w:bookmarkStart w:id="434" w:name="_Toc470802215"/>
      <w:bookmarkStart w:id="435" w:name="_Toc471383147"/>
      <w:bookmarkStart w:id="436" w:name="_Toc471393439"/>
      <w:bookmarkStart w:id="437" w:name="_Toc470800518"/>
      <w:bookmarkStart w:id="438" w:name="_Toc470801368"/>
      <w:bookmarkStart w:id="439" w:name="_Toc470802216"/>
      <w:bookmarkStart w:id="440" w:name="_Toc471383148"/>
      <w:bookmarkStart w:id="441" w:name="_Toc471393440"/>
      <w:bookmarkStart w:id="442" w:name="_Toc470800519"/>
      <w:bookmarkStart w:id="443" w:name="_Toc470801369"/>
      <w:bookmarkStart w:id="444" w:name="_Toc470802217"/>
      <w:bookmarkStart w:id="445" w:name="_Toc471383149"/>
      <w:bookmarkStart w:id="446" w:name="_Toc471393441"/>
      <w:bookmarkStart w:id="447" w:name="_Toc470800520"/>
      <w:bookmarkStart w:id="448" w:name="_Toc470801370"/>
      <w:bookmarkStart w:id="449" w:name="_Toc470802218"/>
      <w:bookmarkStart w:id="450" w:name="_Toc471383150"/>
      <w:bookmarkStart w:id="451" w:name="_Toc471393442"/>
      <w:bookmarkStart w:id="452" w:name="_Toc470800521"/>
      <w:bookmarkStart w:id="453" w:name="_Toc470801371"/>
      <w:bookmarkStart w:id="454" w:name="_Toc470802219"/>
      <w:bookmarkStart w:id="455" w:name="_Toc471383151"/>
      <w:bookmarkStart w:id="456" w:name="_Toc471393443"/>
      <w:bookmarkStart w:id="457" w:name="_Toc470800522"/>
      <w:bookmarkStart w:id="458" w:name="_Toc470801372"/>
      <w:bookmarkStart w:id="459" w:name="_Toc470802220"/>
      <w:bookmarkStart w:id="460" w:name="_Toc471383152"/>
      <w:bookmarkStart w:id="461" w:name="_Toc471393444"/>
      <w:bookmarkStart w:id="462" w:name="_Toc470800523"/>
      <w:bookmarkStart w:id="463" w:name="_Toc470801373"/>
      <w:bookmarkStart w:id="464" w:name="_Toc470802221"/>
      <w:bookmarkStart w:id="465" w:name="_Toc471383153"/>
      <w:bookmarkStart w:id="466" w:name="_Toc471393445"/>
      <w:bookmarkStart w:id="467" w:name="_Toc470800524"/>
      <w:bookmarkStart w:id="468" w:name="_Toc470801374"/>
      <w:bookmarkStart w:id="469" w:name="_Toc470802222"/>
      <w:bookmarkStart w:id="470" w:name="_Toc471383154"/>
      <w:bookmarkStart w:id="471" w:name="_Toc471393446"/>
      <w:bookmarkStart w:id="472" w:name="_Toc470800525"/>
      <w:bookmarkStart w:id="473" w:name="_Toc470801375"/>
      <w:bookmarkStart w:id="474" w:name="_Toc470802223"/>
      <w:bookmarkStart w:id="475" w:name="_Toc471383155"/>
      <w:bookmarkStart w:id="476" w:name="_Toc471393447"/>
      <w:bookmarkStart w:id="477" w:name="_Toc470800526"/>
      <w:bookmarkStart w:id="478" w:name="_Toc470801376"/>
      <w:bookmarkStart w:id="479" w:name="_Toc470802224"/>
      <w:bookmarkStart w:id="480" w:name="_Toc471383156"/>
      <w:bookmarkStart w:id="481" w:name="_Toc471393448"/>
      <w:bookmarkStart w:id="482" w:name="_Toc470800527"/>
      <w:bookmarkStart w:id="483" w:name="_Toc470801377"/>
      <w:bookmarkStart w:id="484" w:name="_Toc470802225"/>
      <w:bookmarkStart w:id="485" w:name="_Toc471383157"/>
      <w:bookmarkStart w:id="486" w:name="_Toc471393449"/>
      <w:bookmarkStart w:id="487" w:name="_Toc470800528"/>
      <w:bookmarkStart w:id="488" w:name="_Toc470801378"/>
      <w:bookmarkStart w:id="489" w:name="_Toc470802226"/>
      <w:bookmarkStart w:id="490" w:name="_Toc471383158"/>
      <w:bookmarkStart w:id="491" w:name="_Toc471393450"/>
      <w:bookmarkStart w:id="492" w:name="_Toc470800529"/>
      <w:bookmarkStart w:id="493" w:name="_Toc470801379"/>
      <w:bookmarkStart w:id="494" w:name="_Toc470802227"/>
      <w:bookmarkStart w:id="495" w:name="_Toc471383159"/>
      <w:bookmarkStart w:id="496" w:name="_Toc471393451"/>
      <w:bookmarkStart w:id="497" w:name="_Toc470800530"/>
      <w:bookmarkStart w:id="498" w:name="_Toc470801380"/>
      <w:bookmarkStart w:id="499" w:name="_Toc470802228"/>
      <w:bookmarkStart w:id="500" w:name="_Toc471383160"/>
      <w:bookmarkStart w:id="501" w:name="_Toc471393452"/>
      <w:bookmarkStart w:id="502" w:name="_Toc470800531"/>
      <w:bookmarkStart w:id="503" w:name="_Toc470801381"/>
      <w:bookmarkStart w:id="504" w:name="_Toc470802229"/>
      <w:bookmarkStart w:id="505" w:name="_Toc471383161"/>
      <w:bookmarkStart w:id="506" w:name="_Toc471393453"/>
      <w:bookmarkStart w:id="507" w:name="_Toc470800532"/>
      <w:bookmarkStart w:id="508" w:name="_Toc470801382"/>
      <w:bookmarkStart w:id="509" w:name="_Toc470802230"/>
      <w:bookmarkStart w:id="510" w:name="_Toc471383162"/>
      <w:bookmarkStart w:id="511" w:name="_Toc471393454"/>
      <w:bookmarkStart w:id="512" w:name="_Toc470800533"/>
      <w:bookmarkStart w:id="513" w:name="_Toc470801383"/>
      <w:bookmarkStart w:id="514" w:name="_Toc470802231"/>
      <w:bookmarkStart w:id="515" w:name="_Toc471383163"/>
      <w:bookmarkStart w:id="516" w:name="_Toc471393455"/>
      <w:bookmarkStart w:id="517" w:name="_Toc470800534"/>
      <w:bookmarkStart w:id="518" w:name="_Toc470801384"/>
      <w:bookmarkStart w:id="519" w:name="_Toc470802232"/>
      <w:bookmarkStart w:id="520" w:name="_Toc471383164"/>
      <w:bookmarkStart w:id="521" w:name="_Toc471393456"/>
      <w:bookmarkStart w:id="522" w:name="_Toc470800535"/>
      <w:bookmarkStart w:id="523" w:name="_Toc470801385"/>
      <w:bookmarkStart w:id="524" w:name="_Toc470802233"/>
      <w:bookmarkStart w:id="525" w:name="_Toc471383165"/>
      <w:bookmarkStart w:id="526" w:name="_Toc471393457"/>
      <w:bookmarkStart w:id="527" w:name="_Toc470800536"/>
      <w:bookmarkStart w:id="528" w:name="_Toc470801386"/>
      <w:bookmarkStart w:id="529" w:name="_Toc470802234"/>
      <w:bookmarkStart w:id="530" w:name="_Toc471383166"/>
      <w:bookmarkStart w:id="531" w:name="_Toc471393458"/>
      <w:bookmarkStart w:id="532" w:name="_Toc470800537"/>
      <w:bookmarkStart w:id="533" w:name="_Toc470801387"/>
      <w:bookmarkStart w:id="534" w:name="_Toc470802235"/>
      <w:bookmarkStart w:id="535" w:name="_Toc471383167"/>
      <w:bookmarkStart w:id="536" w:name="_Toc471393459"/>
      <w:bookmarkStart w:id="537" w:name="_Toc470800538"/>
      <w:bookmarkStart w:id="538" w:name="_Toc470801388"/>
      <w:bookmarkStart w:id="539" w:name="_Toc470802236"/>
      <w:bookmarkStart w:id="540" w:name="_Toc471383168"/>
      <w:bookmarkStart w:id="541" w:name="_Toc471393460"/>
      <w:bookmarkStart w:id="542" w:name="_Toc470800539"/>
      <w:bookmarkStart w:id="543" w:name="_Toc470801389"/>
      <w:bookmarkStart w:id="544" w:name="_Toc470802237"/>
      <w:bookmarkStart w:id="545" w:name="_Toc471383169"/>
      <w:bookmarkStart w:id="546" w:name="_Toc471393461"/>
      <w:bookmarkStart w:id="547" w:name="_Toc470800540"/>
      <w:bookmarkStart w:id="548" w:name="_Toc470801390"/>
      <w:bookmarkStart w:id="549" w:name="_Toc470802238"/>
      <w:bookmarkStart w:id="550" w:name="_Toc471383170"/>
      <w:bookmarkStart w:id="551" w:name="_Toc471393462"/>
      <w:bookmarkStart w:id="552" w:name="_Toc470800541"/>
      <w:bookmarkStart w:id="553" w:name="_Toc470801391"/>
      <w:bookmarkStart w:id="554" w:name="_Toc470802239"/>
      <w:bookmarkStart w:id="555" w:name="_Toc471383171"/>
      <w:bookmarkStart w:id="556" w:name="_Toc471393463"/>
      <w:bookmarkStart w:id="557" w:name="_Toc470800542"/>
      <w:bookmarkStart w:id="558" w:name="_Toc470801392"/>
      <w:bookmarkStart w:id="559" w:name="_Toc470802240"/>
      <w:bookmarkStart w:id="560" w:name="_Toc471383172"/>
      <w:bookmarkStart w:id="561" w:name="_Toc471393464"/>
      <w:bookmarkStart w:id="562" w:name="_Toc470800543"/>
      <w:bookmarkStart w:id="563" w:name="_Toc470801393"/>
      <w:bookmarkStart w:id="564" w:name="_Toc470802241"/>
      <w:bookmarkStart w:id="565" w:name="_Toc471383173"/>
      <w:bookmarkStart w:id="566" w:name="_Toc471393465"/>
      <w:bookmarkStart w:id="567" w:name="_Toc470800544"/>
      <w:bookmarkStart w:id="568" w:name="_Toc470801394"/>
      <w:bookmarkStart w:id="569" w:name="_Toc470802242"/>
      <w:bookmarkStart w:id="570" w:name="_Toc471383174"/>
      <w:bookmarkStart w:id="571" w:name="_Toc471393466"/>
      <w:bookmarkStart w:id="572" w:name="_Toc470800545"/>
      <w:bookmarkStart w:id="573" w:name="_Toc470801395"/>
      <w:bookmarkStart w:id="574" w:name="_Toc470802243"/>
      <w:bookmarkStart w:id="575" w:name="_Toc471383175"/>
      <w:bookmarkStart w:id="576" w:name="_Toc471393467"/>
      <w:bookmarkStart w:id="577" w:name="_Toc470800546"/>
      <w:bookmarkStart w:id="578" w:name="_Toc470801396"/>
      <w:bookmarkStart w:id="579" w:name="_Toc470802244"/>
      <w:bookmarkStart w:id="580" w:name="_Toc471383176"/>
      <w:bookmarkStart w:id="581" w:name="_Toc471393468"/>
      <w:bookmarkStart w:id="582" w:name="_Toc470800547"/>
      <w:bookmarkStart w:id="583" w:name="_Toc470801397"/>
      <w:bookmarkStart w:id="584" w:name="_Toc470802245"/>
      <w:bookmarkStart w:id="585" w:name="_Toc471383177"/>
      <w:bookmarkStart w:id="586" w:name="_Toc471393469"/>
      <w:bookmarkStart w:id="587" w:name="_Toc470800548"/>
      <w:bookmarkStart w:id="588" w:name="_Toc470801398"/>
      <w:bookmarkStart w:id="589" w:name="_Toc470802246"/>
      <w:bookmarkStart w:id="590" w:name="_Toc471383178"/>
      <w:bookmarkStart w:id="591" w:name="_Toc471393470"/>
      <w:bookmarkStart w:id="592" w:name="_Toc470800549"/>
      <w:bookmarkStart w:id="593" w:name="_Toc470801399"/>
      <w:bookmarkStart w:id="594" w:name="_Toc470802247"/>
      <w:bookmarkStart w:id="595" w:name="_Toc471383179"/>
      <w:bookmarkStart w:id="596" w:name="_Toc471393471"/>
      <w:bookmarkStart w:id="597" w:name="_Toc470800550"/>
      <w:bookmarkStart w:id="598" w:name="_Toc470801400"/>
      <w:bookmarkStart w:id="599" w:name="_Toc470802248"/>
      <w:bookmarkStart w:id="600" w:name="_Toc471383180"/>
      <w:bookmarkStart w:id="601" w:name="_Toc471393472"/>
      <w:bookmarkStart w:id="602" w:name="_Toc470800551"/>
      <w:bookmarkStart w:id="603" w:name="_Toc470801401"/>
      <w:bookmarkStart w:id="604" w:name="_Toc470802249"/>
      <w:bookmarkStart w:id="605" w:name="_Toc471383181"/>
      <w:bookmarkStart w:id="606" w:name="_Toc471393473"/>
      <w:bookmarkStart w:id="607" w:name="_Toc470800552"/>
      <w:bookmarkStart w:id="608" w:name="_Toc470801402"/>
      <w:bookmarkStart w:id="609" w:name="_Toc470802250"/>
      <w:bookmarkStart w:id="610" w:name="_Toc471383182"/>
      <w:bookmarkStart w:id="611" w:name="_Toc471393474"/>
      <w:bookmarkStart w:id="612" w:name="_Toc470800553"/>
      <w:bookmarkStart w:id="613" w:name="_Toc470801403"/>
      <w:bookmarkStart w:id="614" w:name="_Toc470802251"/>
      <w:bookmarkStart w:id="615" w:name="_Toc471383183"/>
      <w:bookmarkStart w:id="616" w:name="_Toc471393475"/>
      <w:bookmarkStart w:id="617" w:name="_Toc470800554"/>
      <w:bookmarkStart w:id="618" w:name="_Toc470801404"/>
      <w:bookmarkStart w:id="619" w:name="_Toc470802252"/>
      <w:bookmarkStart w:id="620" w:name="_Toc471383184"/>
      <w:bookmarkStart w:id="621" w:name="_Toc471393476"/>
      <w:bookmarkStart w:id="622" w:name="_Toc470800555"/>
      <w:bookmarkStart w:id="623" w:name="_Toc470801405"/>
      <w:bookmarkStart w:id="624" w:name="_Toc470802253"/>
      <w:bookmarkStart w:id="625" w:name="_Toc471383185"/>
      <w:bookmarkStart w:id="626" w:name="_Toc471393477"/>
      <w:bookmarkStart w:id="627" w:name="_Toc470800556"/>
      <w:bookmarkStart w:id="628" w:name="_Toc470801406"/>
      <w:bookmarkStart w:id="629" w:name="_Toc470802254"/>
      <w:bookmarkStart w:id="630" w:name="_Toc471383186"/>
      <w:bookmarkStart w:id="631" w:name="_Toc471393478"/>
      <w:bookmarkStart w:id="632" w:name="_Toc470800557"/>
      <w:bookmarkStart w:id="633" w:name="_Toc470801407"/>
      <w:bookmarkStart w:id="634" w:name="_Toc470802255"/>
      <w:bookmarkStart w:id="635" w:name="_Toc471383187"/>
      <w:bookmarkStart w:id="636" w:name="_Toc471393479"/>
      <w:bookmarkStart w:id="637" w:name="_Toc470800558"/>
      <w:bookmarkStart w:id="638" w:name="_Toc470801408"/>
      <w:bookmarkStart w:id="639" w:name="_Toc470802256"/>
      <w:bookmarkStart w:id="640" w:name="_Toc471383188"/>
      <w:bookmarkStart w:id="641" w:name="_Toc471393480"/>
      <w:bookmarkStart w:id="642" w:name="_Toc470800559"/>
      <w:bookmarkStart w:id="643" w:name="_Toc470801409"/>
      <w:bookmarkStart w:id="644" w:name="_Toc470802257"/>
      <w:bookmarkStart w:id="645" w:name="_Toc471383189"/>
      <w:bookmarkStart w:id="646" w:name="_Toc471393481"/>
      <w:bookmarkStart w:id="647" w:name="_Toc470800560"/>
      <w:bookmarkStart w:id="648" w:name="_Toc470801410"/>
      <w:bookmarkStart w:id="649" w:name="_Toc470802258"/>
      <w:bookmarkStart w:id="650" w:name="_Toc471383190"/>
      <w:bookmarkStart w:id="651" w:name="_Toc471393482"/>
      <w:bookmarkStart w:id="652" w:name="_Toc470800561"/>
      <w:bookmarkStart w:id="653" w:name="_Toc470801411"/>
      <w:bookmarkStart w:id="654" w:name="_Toc470802259"/>
      <w:bookmarkStart w:id="655" w:name="_Toc471383191"/>
      <w:bookmarkStart w:id="656" w:name="_Toc471393483"/>
      <w:bookmarkStart w:id="657" w:name="_Toc470800562"/>
      <w:bookmarkStart w:id="658" w:name="_Toc470801412"/>
      <w:bookmarkStart w:id="659" w:name="_Toc470802260"/>
      <w:bookmarkStart w:id="660" w:name="_Toc471383192"/>
      <w:bookmarkStart w:id="661" w:name="_Toc471393484"/>
      <w:bookmarkStart w:id="662" w:name="_Toc470800563"/>
      <w:bookmarkStart w:id="663" w:name="_Toc470801413"/>
      <w:bookmarkStart w:id="664" w:name="_Toc470802261"/>
      <w:bookmarkStart w:id="665" w:name="_Toc471383193"/>
      <w:bookmarkStart w:id="666" w:name="_Toc471393485"/>
      <w:bookmarkStart w:id="667" w:name="_Toc470800564"/>
      <w:bookmarkStart w:id="668" w:name="_Toc470801414"/>
      <w:bookmarkStart w:id="669" w:name="_Toc470802262"/>
      <w:bookmarkStart w:id="670" w:name="_Toc471383194"/>
      <w:bookmarkStart w:id="671" w:name="_Toc471393486"/>
      <w:bookmarkStart w:id="672" w:name="_Toc470800565"/>
      <w:bookmarkStart w:id="673" w:name="_Toc470801415"/>
      <w:bookmarkStart w:id="674" w:name="_Toc470802263"/>
      <w:bookmarkStart w:id="675" w:name="_Toc471383195"/>
      <w:bookmarkStart w:id="676" w:name="_Toc471393487"/>
      <w:bookmarkStart w:id="677" w:name="_Toc470800566"/>
      <w:bookmarkStart w:id="678" w:name="_Toc470801416"/>
      <w:bookmarkStart w:id="679" w:name="_Toc470802264"/>
      <w:bookmarkStart w:id="680" w:name="_Toc471383196"/>
      <w:bookmarkStart w:id="681" w:name="_Toc471393488"/>
      <w:bookmarkStart w:id="682" w:name="_Toc470800567"/>
      <w:bookmarkStart w:id="683" w:name="_Toc470801417"/>
      <w:bookmarkStart w:id="684" w:name="_Toc470802265"/>
      <w:bookmarkStart w:id="685" w:name="_Toc471383197"/>
      <w:bookmarkStart w:id="686" w:name="_Toc471393489"/>
      <w:bookmarkStart w:id="687" w:name="_Toc470800568"/>
      <w:bookmarkStart w:id="688" w:name="_Toc470801418"/>
      <w:bookmarkStart w:id="689" w:name="_Toc470802266"/>
      <w:bookmarkStart w:id="690" w:name="_Toc471383198"/>
      <w:bookmarkStart w:id="691" w:name="_Toc471393490"/>
      <w:bookmarkStart w:id="692" w:name="_Toc470800569"/>
      <w:bookmarkStart w:id="693" w:name="_Toc470801419"/>
      <w:bookmarkStart w:id="694" w:name="_Toc470802267"/>
      <w:bookmarkStart w:id="695" w:name="_Toc471383199"/>
      <w:bookmarkStart w:id="696" w:name="_Toc47139349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r>
        <w:rPr>
          <w:rFonts w:ascii="Arial" w:hAnsi="Arial" w:cs="Arial"/>
          <w:sz w:val="18"/>
          <w:szCs w:val="18"/>
        </w:rPr>
        <w:t>Instrukcja DP-T 14.</w:t>
      </w:r>
    </w:p>
    <w:p w14:paraId="02850F12" w14:textId="77777777" w:rsidR="003F49C8" w:rsidRDefault="003F49C8">
      <w:pPr>
        <w:jc w:val="both"/>
        <w:rPr>
          <w:rFonts w:ascii="Arial" w:hAnsi="Arial" w:cs="Arial"/>
          <w:sz w:val="18"/>
          <w:szCs w:val="18"/>
        </w:rPr>
      </w:pPr>
    </w:p>
    <w:sectPr w:rsidR="003F49C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161" w:right="1134" w:bottom="1418" w:left="1418" w:header="570" w:footer="25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D3A7" w14:textId="77777777" w:rsidR="00014575" w:rsidRDefault="00014575">
      <w:pPr>
        <w:spacing w:line="20" w:lineRule="exact"/>
      </w:pPr>
    </w:p>
  </w:endnote>
  <w:endnote w:type="continuationSeparator" w:id="0">
    <w:p w14:paraId="0D777911" w14:textId="77777777" w:rsidR="00014575" w:rsidRDefault="00014575">
      <w:r>
        <w:t xml:space="preserve"> </w:t>
      </w:r>
    </w:p>
  </w:endnote>
  <w:endnote w:type="continuationNotice" w:id="1">
    <w:p w14:paraId="40EA9F51" w14:textId="77777777" w:rsidR="00014575" w:rsidRDefault="0001457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8FB06" w14:textId="77777777" w:rsidR="008C2229" w:rsidRDefault="008C22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2FD2E" w14:textId="77777777" w:rsidR="008C2229" w:rsidRDefault="008C2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659162"/>
      <w:docPartObj>
        <w:docPartGallery w:val="Page Numbers (Bottom of Page)"/>
        <w:docPartUnique/>
      </w:docPartObj>
    </w:sdtPr>
    <w:sdtEndPr>
      <w:rPr>
        <w:rFonts w:ascii="Arial" w:hAnsi="Arial" w:cs="Arial"/>
        <w:sz w:val="18"/>
        <w:szCs w:val="18"/>
      </w:rPr>
    </w:sdtEndPr>
    <w:sdtContent>
      <w:sdt>
        <w:sdtPr>
          <w:id w:val="-764843481"/>
          <w:docPartObj>
            <w:docPartGallery w:val="Page Numbers (Bottom of Page)"/>
            <w:docPartUnique/>
          </w:docPartObj>
        </w:sdtPr>
        <w:sdtEndPr>
          <w:rPr>
            <w:rFonts w:ascii="Arial" w:hAnsi="Arial" w:cs="Arial"/>
            <w:sz w:val="18"/>
            <w:szCs w:val="18"/>
          </w:rPr>
        </w:sdtEndPr>
        <w:sdtContent>
          <w:sdt>
            <w:sdtPr>
              <w:id w:val="1117643435"/>
              <w:docPartObj>
                <w:docPartGallery w:val="Page Numbers (Bottom of Page)"/>
                <w:docPartUnique/>
              </w:docPartObj>
            </w:sdtPr>
            <w:sdtEndPr>
              <w:rPr>
                <w:rFonts w:ascii="Arial" w:hAnsi="Arial" w:cs="Arial"/>
              </w:rPr>
            </w:sdtEndPr>
            <w:sdtContent>
              <w:sdt>
                <w:sdtPr>
                  <w:rPr>
                    <w:rFonts w:ascii="Arial" w:hAnsi="Arial" w:cs="Arial"/>
                  </w:rPr>
                  <w:id w:val="686715303"/>
                  <w:docPartObj>
                    <w:docPartGallery w:val="Page Numbers (Top of Page)"/>
                    <w:docPartUnique/>
                  </w:docPartObj>
                </w:sdtPr>
                <w:sdtContent>
                  <w:p w14:paraId="5E501622" w14:textId="64F2F54A" w:rsidR="008C2229" w:rsidRDefault="00000000" w:rsidP="00BF7CC9">
                    <w:pPr>
                      <w:jc w:val="center"/>
                      <w:rPr>
                        <w:rFonts w:ascii="Arial" w:eastAsia="Calibri" w:hAnsi="Arial" w:cs="Arial"/>
                        <w:sz w:val="16"/>
                        <w:szCs w:val="16"/>
                      </w:rPr>
                    </w:pPr>
                  </w:p>
                </w:sdtContent>
              </w:sdt>
            </w:sdtContent>
          </w:sdt>
          <w:p w14:paraId="416E0505" w14:textId="77777777" w:rsidR="008C2229" w:rsidRDefault="008C2229">
            <w:pPr>
              <w:autoSpaceDE w:val="0"/>
              <w:adjustRightInd w:val="0"/>
              <w:jc w:val="right"/>
              <w:rPr>
                <w:rFonts w:ascii="Arial" w:eastAsia="Calibri" w:hAnsi="Arial" w:cs="Arial"/>
                <w:sz w:val="16"/>
                <w:szCs w:val="16"/>
              </w:rPr>
            </w:pPr>
            <w:r w:rsidRPr="00BF7CC9">
              <w:rPr>
                <w:rFonts w:ascii="Arial" w:hAnsi="Arial" w:cs="Arial"/>
                <w:sz w:val="16"/>
                <w:szCs w:val="16"/>
              </w:rPr>
              <w:t xml:space="preserve"> I - </w:t>
            </w:r>
            <w:sdt>
              <w:sdtPr>
                <w:rPr>
                  <w:rFonts w:ascii="Arial" w:hAnsi="Arial" w:cs="Arial"/>
                  <w:sz w:val="16"/>
                  <w:szCs w:val="16"/>
                </w:rPr>
                <w:id w:val="-1769616900"/>
                <w:docPartObj>
                  <w:docPartGallery w:val="Page Numbers (Top of Page)"/>
                  <w:docPartUnique/>
                </w:docPartObj>
              </w:sdtPr>
              <w:sdtEndPr>
                <w:rPr>
                  <w:rFonts w:ascii="Verdana" w:hAnsi="Verdana" w:cs="Times New Roman"/>
                  <w:sz w:val="18"/>
                  <w:szCs w:val="18"/>
                </w:rPr>
              </w:sdtEndPr>
              <w:sdtContent>
                <w:r w:rsidRPr="00BF7CC9">
                  <w:rPr>
                    <w:rFonts w:ascii="Arial" w:hAnsi="Arial" w:cs="Arial"/>
                    <w:sz w:val="16"/>
                    <w:szCs w:val="16"/>
                  </w:rPr>
                  <w:t xml:space="preserve">Strona </w:t>
                </w:r>
                <w:r w:rsidRPr="00BF7CC9">
                  <w:rPr>
                    <w:rFonts w:ascii="Arial" w:hAnsi="Arial" w:cs="Arial"/>
                    <w:sz w:val="16"/>
                    <w:szCs w:val="16"/>
                  </w:rPr>
                  <w:fldChar w:fldCharType="begin"/>
                </w:r>
                <w:r w:rsidRPr="00BF7CC9">
                  <w:rPr>
                    <w:rFonts w:ascii="Arial" w:hAnsi="Arial" w:cs="Arial"/>
                    <w:sz w:val="16"/>
                    <w:szCs w:val="16"/>
                  </w:rPr>
                  <w:instrText>PAGE</w:instrText>
                </w:r>
                <w:r w:rsidRPr="00BF7CC9">
                  <w:rPr>
                    <w:rFonts w:ascii="Arial" w:hAnsi="Arial" w:cs="Arial"/>
                    <w:sz w:val="16"/>
                    <w:szCs w:val="16"/>
                  </w:rPr>
                  <w:fldChar w:fldCharType="separate"/>
                </w:r>
                <w:r w:rsidR="00494944">
                  <w:rPr>
                    <w:rFonts w:ascii="Arial" w:hAnsi="Arial" w:cs="Arial"/>
                    <w:noProof/>
                    <w:sz w:val="16"/>
                    <w:szCs w:val="16"/>
                  </w:rPr>
                  <w:t>29</w:t>
                </w:r>
                <w:r w:rsidRPr="00BF7CC9">
                  <w:rPr>
                    <w:rFonts w:ascii="Arial" w:hAnsi="Arial" w:cs="Arial"/>
                    <w:sz w:val="16"/>
                    <w:szCs w:val="16"/>
                  </w:rPr>
                  <w:fldChar w:fldCharType="end"/>
                </w:r>
                <w:r w:rsidRPr="00BF7CC9">
                  <w:rPr>
                    <w:rFonts w:ascii="Arial" w:hAnsi="Arial" w:cs="Arial"/>
                    <w:sz w:val="16"/>
                    <w:szCs w:val="16"/>
                  </w:rPr>
                  <w:t xml:space="preserve"> z </w:t>
                </w:r>
                <w:r w:rsidRPr="00BF7CC9">
                  <w:rPr>
                    <w:rFonts w:ascii="Arial" w:hAnsi="Arial" w:cs="Arial"/>
                    <w:sz w:val="16"/>
                    <w:szCs w:val="16"/>
                  </w:rPr>
                  <w:fldChar w:fldCharType="begin"/>
                </w:r>
                <w:r w:rsidRPr="00BF7CC9">
                  <w:rPr>
                    <w:rFonts w:ascii="Arial" w:hAnsi="Arial" w:cs="Arial"/>
                    <w:sz w:val="16"/>
                    <w:szCs w:val="16"/>
                  </w:rPr>
                  <w:instrText>NUMPAGES</w:instrText>
                </w:r>
                <w:r w:rsidRPr="00BF7CC9">
                  <w:rPr>
                    <w:rFonts w:ascii="Arial" w:hAnsi="Arial" w:cs="Arial"/>
                    <w:sz w:val="16"/>
                    <w:szCs w:val="16"/>
                  </w:rPr>
                  <w:fldChar w:fldCharType="separate"/>
                </w:r>
                <w:r w:rsidR="00494944">
                  <w:rPr>
                    <w:rFonts w:ascii="Arial" w:hAnsi="Arial" w:cs="Arial"/>
                    <w:noProof/>
                    <w:sz w:val="16"/>
                    <w:szCs w:val="16"/>
                  </w:rPr>
                  <w:t>30</w:t>
                </w:r>
                <w:r w:rsidRPr="00BF7CC9">
                  <w:rPr>
                    <w:rFonts w:ascii="Arial" w:hAnsi="Arial" w:cs="Arial"/>
                    <w:sz w:val="16"/>
                    <w:szCs w:val="16"/>
                  </w:rPr>
                  <w:fldChar w:fldCharType="end"/>
                </w:r>
              </w:sdtContent>
            </w:sdt>
          </w:p>
        </w:sdtContent>
      </w:sdt>
      <w:p w14:paraId="34C37585" w14:textId="77777777" w:rsidR="008C2229" w:rsidRDefault="00000000">
        <w:pPr>
          <w:pStyle w:val="Stopka"/>
          <w:rPr>
            <w:rStyle w:val="Numerstrony"/>
            <w:rFonts w:ascii="Arial" w:hAnsi="Arial" w:cs="Arial"/>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97100" w14:textId="77777777" w:rsidR="00801C8C" w:rsidRDefault="00801C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1A0A1" w14:textId="77777777" w:rsidR="00014575" w:rsidRDefault="00014575">
      <w:r>
        <w:separator/>
      </w:r>
    </w:p>
  </w:footnote>
  <w:footnote w:type="continuationSeparator" w:id="0">
    <w:p w14:paraId="0E9DCA9D" w14:textId="77777777" w:rsidR="00014575" w:rsidRDefault="00014575">
      <w:r>
        <w:continuationSeparator/>
      </w:r>
    </w:p>
  </w:footnote>
  <w:footnote w:type="continuationNotice" w:id="1">
    <w:p w14:paraId="098B957E" w14:textId="77777777" w:rsidR="00014575" w:rsidRDefault="000145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88C6" w14:textId="77777777" w:rsidR="00801C8C" w:rsidRDefault="00801C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66E5" w14:textId="77777777" w:rsidR="008C2229" w:rsidRPr="00BF7CC9" w:rsidRDefault="008C2229">
    <w:pPr>
      <w:pBdr>
        <w:bottom w:val="single" w:sz="4" w:space="1" w:color="auto"/>
      </w:pBdr>
      <w:tabs>
        <w:tab w:val="right" w:pos="9072"/>
      </w:tabs>
      <w:jc w:val="right"/>
      <w:rPr>
        <w:rFonts w:ascii="Verdana" w:hAnsi="Verdana"/>
        <w:kern w:val="3"/>
        <w:sz w:val="16"/>
        <w:szCs w:val="16"/>
      </w:rPr>
    </w:pPr>
    <w:r w:rsidRPr="00BF7CC9">
      <w:rPr>
        <w:rFonts w:ascii="Verdana" w:hAnsi="Verdana"/>
        <w:kern w:val="3"/>
        <w:sz w:val="16"/>
        <w:szCs w:val="16"/>
      </w:rPr>
      <w:t xml:space="preserve"> D-M</w:t>
    </w:r>
    <w:r>
      <w:rPr>
        <w:rFonts w:ascii="Verdana" w:hAnsi="Verdana"/>
        <w:kern w:val="3"/>
        <w:sz w:val="16"/>
        <w:szCs w:val="16"/>
      </w:rPr>
      <w:t>.</w:t>
    </w:r>
    <w:r w:rsidRPr="00BF7CC9">
      <w:rPr>
        <w:rFonts w:ascii="Verdana" w:hAnsi="Verdana"/>
        <w:kern w:val="3"/>
        <w:sz w:val="16"/>
        <w:szCs w:val="16"/>
      </w:rPr>
      <w:t>00.00.00 Wymagania ogólne</w:t>
    </w:r>
    <w:r>
      <w:rPr>
        <w:rFonts w:ascii="Verdana" w:hAnsi="Verdana"/>
        <w:kern w:val="3"/>
        <w:sz w:val="16"/>
        <w:szCs w:val="16"/>
      </w:rPr>
      <w:t>.</w:t>
    </w:r>
  </w:p>
  <w:p w14:paraId="11A52ED8" w14:textId="77777777" w:rsidR="008C2229" w:rsidRDefault="008C2229">
    <w:pPr>
      <w:pStyle w:val="Nagwek"/>
      <w:tabs>
        <w:tab w:val="clear" w:pos="4536"/>
        <w:tab w:val="clear" w:pos="9072"/>
      </w:tabs>
      <w:rPr>
        <w:rFonts w:ascii="Calibri" w:hAnsi="Calibri" w:cs="Calibr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5660" w14:textId="77777777" w:rsidR="00801C8C" w:rsidRDefault="00801C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1A4"/>
    <w:multiLevelType w:val="hybridMultilevel"/>
    <w:tmpl w:val="1506C3A8"/>
    <w:lvl w:ilvl="0" w:tplc="61404AEE">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66FA1"/>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B046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12EC260D"/>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F467B"/>
    <w:multiLevelType w:val="hybridMultilevel"/>
    <w:tmpl w:val="239A5390"/>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83A2C"/>
    <w:multiLevelType w:val="hybridMultilevel"/>
    <w:tmpl w:val="CED2C4DE"/>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8A00F4"/>
    <w:multiLevelType w:val="hybridMultilevel"/>
    <w:tmpl w:val="94C4BDA6"/>
    <w:lvl w:ilvl="0" w:tplc="04150001">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951707"/>
    <w:multiLevelType w:val="hybridMultilevel"/>
    <w:tmpl w:val="4C40B28C"/>
    <w:lvl w:ilvl="0" w:tplc="93C4407A">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3616EF"/>
    <w:multiLevelType w:val="hybridMultilevel"/>
    <w:tmpl w:val="150E088E"/>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7004A9"/>
    <w:multiLevelType w:val="hybridMultilevel"/>
    <w:tmpl w:val="F7C4AD8A"/>
    <w:lvl w:ilvl="0" w:tplc="61404AEE">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D34966"/>
    <w:multiLevelType w:val="hybridMultilevel"/>
    <w:tmpl w:val="42922C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32A058D2"/>
    <w:multiLevelType w:val="hybridMultilevel"/>
    <w:tmpl w:val="8F34667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4C79A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167C2"/>
    <w:multiLevelType w:val="hybridMultilevel"/>
    <w:tmpl w:val="8842CF44"/>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D423DD"/>
    <w:multiLevelType w:val="hybridMultilevel"/>
    <w:tmpl w:val="172EA7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C61245"/>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8D2C0D"/>
    <w:multiLevelType w:val="singleLevel"/>
    <w:tmpl w:val="C8C26120"/>
    <w:lvl w:ilvl="0">
      <w:start w:val="1"/>
      <w:numFmt w:val="decimal"/>
      <w:lvlText w:val="%1."/>
      <w:legacy w:legacy="1" w:legacySpace="0" w:legacyIndent="288"/>
      <w:lvlJc w:val="left"/>
      <w:pPr>
        <w:ind w:left="288" w:hanging="288"/>
      </w:pPr>
    </w:lvl>
  </w:abstractNum>
  <w:abstractNum w:abstractNumId="17" w15:restartNumberingAfterBreak="0">
    <w:nsid w:val="58395B50"/>
    <w:multiLevelType w:val="hybridMultilevel"/>
    <w:tmpl w:val="91BC583A"/>
    <w:lvl w:ilvl="0" w:tplc="04150013">
      <w:start w:val="1"/>
      <w:numFmt w:val="upperRoman"/>
      <w:lvlText w:val="%1."/>
      <w:lvlJc w:val="righ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D6208D"/>
    <w:multiLevelType w:val="hybridMultilevel"/>
    <w:tmpl w:val="DEF853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EDE231C"/>
    <w:multiLevelType w:val="hybridMultilevel"/>
    <w:tmpl w:val="47560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91159B"/>
    <w:multiLevelType w:val="hybridMultilevel"/>
    <w:tmpl w:val="848C8E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A145F9"/>
    <w:multiLevelType w:val="hybridMultilevel"/>
    <w:tmpl w:val="500658A4"/>
    <w:lvl w:ilvl="0" w:tplc="0415000F">
      <w:start w:val="1"/>
      <w:numFmt w:val="decimal"/>
      <w:lvlText w:val="%1."/>
      <w:lvlJc w:val="left"/>
      <w:pPr>
        <w:ind w:left="603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453545"/>
    <w:multiLevelType w:val="hybridMultilevel"/>
    <w:tmpl w:val="923ED844"/>
    <w:lvl w:ilvl="0" w:tplc="04150017">
      <w:start w:val="1"/>
      <w:numFmt w:val="lowerLetter"/>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65280C50"/>
    <w:multiLevelType w:val="hybridMultilevel"/>
    <w:tmpl w:val="F8A67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1E72BD"/>
    <w:multiLevelType w:val="hybridMultilevel"/>
    <w:tmpl w:val="B9D81A6A"/>
    <w:lvl w:ilvl="0" w:tplc="AC06E5E2">
      <w:numFmt w:val="bullet"/>
      <w:pStyle w:val="Styl2"/>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EB461B"/>
    <w:multiLevelType w:val="hybridMultilevel"/>
    <w:tmpl w:val="83607F38"/>
    <w:lvl w:ilvl="0" w:tplc="04150017">
      <w:start w:val="1"/>
      <w:numFmt w:val="lowerLetter"/>
      <w:lvlText w:val="%1)"/>
      <w:lvlJc w:val="left"/>
      <w:pPr>
        <w:ind w:left="720" w:hanging="360"/>
      </w:pPr>
    </w:lvl>
    <w:lvl w:ilvl="1" w:tplc="7A0809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B32BB7"/>
    <w:multiLevelType w:val="multilevel"/>
    <w:tmpl w:val="A4A28690"/>
    <w:lvl w:ilvl="0">
      <w:start w:val="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2A32E29"/>
    <w:multiLevelType w:val="hybridMultilevel"/>
    <w:tmpl w:val="A6B27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72DA2"/>
    <w:multiLevelType w:val="hybridMultilevel"/>
    <w:tmpl w:val="D67E16D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DFA3AFA"/>
    <w:multiLevelType w:val="hybridMultilevel"/>
    <w:tmpl w:val="B4BAC4A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213175">
    <w:abstractNumId w:val="11"/>
  </w:num>
  <w:num w:numId="2" w16cid:durableId="871186544">
    <w:abstractNumId w:val="0"/>
  </w:num>
  <w:num w:numId="3" w16cid:durableId="1713531885">
    <w:abstractNumId w:val="5"/>
  </w:num>
  <w:num w:numId="4" w16cid:durableId="803237303">
    <w:abstractNumId w:val="22"/>
  </w:num>
  <w:num w:numId="5" w16cid:durableId="472454557">
    <w:abstractNumId w:val="9"/>
  </w:num>
  <w:num w:numId="6" w16cid:durableId="1347901346">
    <w:abstractNumId w:val="2"/>
  </w:num>
  <w:num w:numId="7" w16cid:durableId="1026298771">
    <w:abstractNumId w:val="27"/>
  </w:num>
  <w:num w:numId="8" w16cid:durableId="1966544219">
    <w:abstractNumId w:val="4"/>
  </w:num>
  <w:num w:numId="9" w16cid:durableId="1060594182">
    <w:abstractNumId w:val="24"/>
  </w:num>
  <w:num w:numId="10" w16cid:durableId="413165632">
    <w:abstractNumId w:val="26"/>
  </w:num>
  <w:num w:numId="11" w16cid:durableId="2130662502">
    <w:abstractNumId w:val="16"/>
  </w:num>
  <w:num w:numId="12" w16cid:durableId="869413568">
    <w:abstractNumId w:val="16"/>
    <w:lvlOverride w:ilvl="0">
      <w:lvl w:ilvl="0">
        <w:start w:val="1"/>
        <w:numFmt w:val="decimal"/>
        <w:lvlText w:val="%1."/>
        <w:legacy w:legacy="1" w:legacySpace="0" w:legacyIndent="288"/>
        <w:lvlJc w:val="left"/>
        <w:pPr>
          <w:ind w:left="288" w:hanging="288"/>
        </w:pPr>
      </w:lvl>
    </w:lvlOverride>
  </w:num>
  <w:num w:numId="13" w16cid:durableId="2055616394">
    <w:abstractNumId w:val="16"/>
    <w:lvlOverride w:ilvl="0">
      <w:lvl w:ilvl="0">
        <w:start w:val="1"/>
        <w:numFmt w:val="decimal"/>
        <w:lvlText w:val="%1."/>
        <w:legacy w:legacy="1" w:legacySpace="0" w:legacyIndent="288"/>
        <w:lvlJc w:val="left"/>
        <w:pPr>
          <w:ind w:left="288" w:hanging="288"/>
        </w:pPr>
      </w:lvl>
    </w:lvlOverride>
  </w:num>
  <w:num w:numId="14" w16cid:durableId="1211921103">
    <w:abstractNumId w:val="16"/>
    <w:lvlOverride w:ilvl="0">
      <w:lvl w:ilvl="0">
        <w:start w:val="1"/>
        <w:numFmt w:val="decimal"/>
        <w:lvlText w:val="%1."/>
        <w:legacy w:legacy="1" w:legacySpace="0" w:legacyIndent="288"/>
        <w:lvlJc w:val="left"/>
        <w:pPr>
          <w:ind w:left="288" w:hanging="288"/>
        </w:pPr>
      </w:lvl>
    </w:lvlOverride>
  </w:num>
  <w:num w:numId="15" w16cid:durableId="62140546">
    <w:abstractNumId w:val="21"/>
  </w:num>
  <w:num w:numId="16" w16cid:durableId="528685646">
    <w:abstractNumId w:val="29"/>
  </w:num>
  <w:num w:numId="17" w16cid:durableId="894271460">
    <w:abstractNumId w:val="14"/>
  </w:num>
  <w:num w:numId="18" w16cid:durableId="38867888">
    <w:abstractNumId w:val="25"/>
  </w:num>
  <w:num w:numId="19" w16cid:durableId="453795416">
    <w:abstractNumId w:val="23"/>
  </w:num>
  <w:num w:numId="20" w16cid:durableId="225727448">
    <w:abstractNumId w:val="18"/>
  </w:num>
  <w:num w:numId="21" w16cid:durableId="1437290124">
    <w:abstractNumId w:val="1"/>
  </w:num>
  <w:num w:numId="22" w16cid:durableId="1824076443">
    <w:abstractNumId w:val="19"/>
  </w:num>
  <w:num w:numId="23" w16cid:durableId="1637566574">
    <w:abstractNumId w:val="28"/>
  </w:num>
  <w:num w:numId="24" w16cid:durableId="569770285">
    <w:abstractNumId w:val="6"/>
  </w:num>
  <w:num w:numId="25" w16cid:durableId="937493426">
    <w:abstractNumId w:val="3"/>
  </w:num>
  <w:num w:numId="26" w16cid:durableId="1904372410">
    <w:abstractNumId w:val="20"/>
  </w:num>
  <w:num w:numId="27" w16cid:durableId="51468301">
    <w:abstractNumId w:val="7"/>
  </w:num>
  <w:num w:numId="28" w16cid:durableId="1895241399">
    <w:abstractNumId w:val="10"/>
  </w:num>
  <w:num w:numId="29" w16cid:durableId="1412461889">
    <w:abstractNumId w:val="13"/>
  </w:num>
  <w:num w:numId="30" w16cid:durableId="1382553273">
    <w:abstractNumId w:val="8"/>
  </w:num>
  <w:num w:numId="31" w16cid:durableId="1058671011">
    <w:abstractNumId w:val="12"/>
  </w:num>
  <w:num w:numId="32" w16cid:durableId="960652073">
    <w:abstractNumId w:val="15"/>
  </w:num>
  <w:num w:numId="33" w16cid:durableId="1419792797">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9C8"/>
    <w:rsid w:val="000015DA"/>
    <w:rsid w:val="00014575"/>
    <w:rsid w:val="000D33A3"/>
    <w:rsid w:val="000E1094"/>
    <w:rsid w:val="001D1990"/>
    <w:rsid w:val="00285FF2"/>
    <w:rsid w:val="00395F75"/>
    <w:rsid w:val="003B7EAC"/>
    <w:rsid w:val="003F49C8"/>
    <w:rsid w:val="0041733B"/>
    <w:rsid w:val="004574CF"/>
    <w:rsid w:val="00486DB3"/>
    <w:rsid w:val="00493A96"/>
    <w:rsid w:val="00494944"/>
    <w:rsid w:val="004B54FB"/>
    <w:rsid w:val="00530218"/>
    <w:rsid w:val="00585069"/>
    <w:rsid w:val="006E67FE"/>
    <w:rsid w:val="006E740D"/>
    <w:rsid w:val="006E7CEA"/>
    <w:rsid w:val="00801C8C"/>
    <w:rsid w:val="00831B57"/>
    <w:rsid w:val="00887F38"/>
    <w:rsid w:val="008C2229"/>
    <w:rsid w:val="009907EA"/>
    <w:rsid w:val="00AF4EF7"/>
    <w:rsid w:val="00B069C6"/>
    <w:rsid w:val="00B50EAC"/>
    <w:rsid w:val="00BF7CC9"/>
    <w:rsid w:val="00E47F8B"/>
    <w:rsid w:val="00E54142"/>
    <w:rsid w:val="00E67C46"/>
    <w:rsid w:val="00EA5F81"/>
    <w:rsid w:val="00EB7AF1"/>
    <w:rsid w:val="00ED4634"/>
    <w:rsid w:val="00F13BFD"/>
    <w:rsid w:val="00F56C8D"/>
    <w:rsid w:val="00F875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E049D8"/>
  <w15:docId w15:val="{2A70096F-95D2-4CB5-9245-74529F04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Courier" w:hAnsi="Courier"/>
      <w:sz w:val="24"/>
    </w:rPr>
  </w:style>
  <w:style w:type="paragraph" w:styleId="Nagwek1">
    <w:name w:val="heading 1"/>
    <w:basedOn w:val="Normalny"/>
    <w:next w:val="Normalny"/>
    <w:link w:val="Nagwek1Znak"/>
    <w:uiPriority w:val="9"/>
    <w:qFormat/>
    <w:pPr>
      <w:keepNext/>
      <w:numPr>
        <w:numId w:val="6"/>
      </w:numPr>
      <w:tabs>
        <w:tab w:val="left" w:pos="-720"/>
      </w:tabs>
      <w:spacing w:line="312" w:lineRule="auto"/>
      <w:jc w:val="both"/>
      <w:outlineLvl w:val="0"/>
    </w:pPr>
    <w:rPr>
      <w:rFonts w:ascii="Times New Roman" w:hAnsi="Times New Roman"/>
      <w:i/>
      <w:sz w:val="20"/>
    </w:rPr>
  </w:style>
  <w:style w:type="paragraph" w:styleId="Nagwek2">
    <w:name w:val="heading 2"/>
    <w:basedOn w:val="Normalny"/>
    <w:next w:val="Normalny"/>
    <w:link w:val="Nagwek2Znak"/>
    <w:uiPriority w:val="9"/>
    <w:qFormat/>
    <w:pPr>
      <w:keepNext/>
      <w:numPr>
        <w:ilvl w:val="1"/>
        <w:numId w:val="6"/>
      </w:numPr>
      <w:tabs>
        <w:tab w:val="center" w:pos="4703"/>
      </w:tabs>
      <w:spacing w:line="312" w:lineRule="auto"/>
      <w:jc w:val="both"/>
      <w:outlineLvl w:val="1"/>
    </w:pPr>
    <w:rPr>
      <w:rFonts w:ascii="Times New Roman" w:hAnsi="Times New Roman"/>
      <w:b/>
      <w:spacing w:val="-3"/>
      <w:sz w:val="36"/>
    </w:rPr>
  </w:style>
  <w:style w:type="paragraph" w:styleId="Nagwek3">
    <w:name w:val="heading 3"/>
    <w:basedOn w:val="Normalny"/>
    <w:next w:val="Normalny"/>
    <w:link w:val="Nagwek3Znak"/>
    <w:uiPriority w:val="9"/>
    <w:qFormat/>
    <w:pPr>
      <w:keepNext/>
      <w:numPr>
        <w:ilvl w:val="2"/>
        <w:numId w:val="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outlineLvl w:val="2"/>
    </w:pPr>
    <w:rPr>
      <w:rFonts w:ascii="Times New Roman" w:hAnsi="Times New Roman"/>
      <w:b/>
      <w:spacing w:val="-3"/>
    </w:rPr>
  </w:style>
  <w:style w:type="paragraph" w:styleId="Nagwek4">
    <w:name w:val="heading 4"/>
    <w:basedOn w:val="Normalny"/>
    <w:next w:val="Normalny"/>
    <w:link w:val="Nagwek4Znak"/>
    <w:uiPriority w:val="9"/>
    <w:qFormat/>
    <w:pPr>
      <w:keepNext/>
      <w:numPr>
        <w:ilvl w:val="3"/>
        <w:numId w:val="6"/>
      </w:numPr>
      <w:spacing w:line="360" w:lineRule="auto"/>
      <w:outlineLvl w:val="3"/>
    </w:pPr>
    <w:rPr>
      <w:rFonts w:ascii="Times New Roman" w:hAnsi="Times New Roman"/>
      <w:u w:val="single"/>
    </w:rPr>
  </w:style>
  <w:style w:type="paragraph" w:styleId="Nagwek5">
    <w:name w:val="heading 5"/>
    <w:basedOn w:val="Normalny"/>
    <w:next w:val="Normalny"/>
    <w:link w:val="Nagwek5Znak"/>
    <w:uiPriority w:val="9"/>
    <w:qFormat/>
    <w:pPr>
      <w:keepNext/>
      <w:numPr>
        <w:ilvl w:val="4"/>
        <w:numId w:val="6"/>
      </w:numPr>
      <w:spacing w:line="360" w:lineRule="auto"/>
      <w:jc w:val="both"/>
      <w:outlineLvl w:val="4"/>
    </w:pPr>
    <w:rPr>
      <w:rFonts w:ascii="Times New Roman" w:hAnsi="Times New Roman"/>
      <w:b/>
    </w:rPr>
  </w:style>
  <w:style w:type="paragraph" w:styleId="Nagwek6">
    <w:name w:val="heading 6"/>
    <w:basedOn w:val="Normalny"/>
    <w:next w:val="Normalny"/>
    <w:link w:val="Nagwek6Znak"/>
    <w:uiPriority w:val="9"/>
    <w:qFormat/>
    <w:pPr>
      <w:keepNext/>
      <w:numPr>
        <w:ilvl w:val="5"/>
        <w:numId w:val="6"/>
      </w:numPr>
      <w:jc w:val="center"/>
      <w:outlineLvl w:val="5"/>
    </w:pPr>
    <w:rPr>
      <w:rFonts w:ascii="Times New Roman" w:hAnsi="Times New Roman"/>
      <w:b/>
    </w:rPr>
  </w:style>
  <w:style w:type="paragraph" w:styleId="Nagwek7">
    <w:name w:val="heading 7"/>
    <w:basedOn w:val="Normalny"/>
    <w:next w:val="Normalny"/>
    <w:link w:val="Nagwek7Znak"/>
    <w:uiPriority w:val="9"/>
    <w:qFormat/>
    <w:pPr>
      <w:keepNext/>
      <w:numPr>
        <w:ilvl w:val="6"/>
        <w:numId w:val="6"/>
      </w:numPr>
      <w:tabs>
        <w:tab w:val="left" w:pos="284"/>
      </w:tabs>
      <w:jc w:val="both"/>
      <w:outlineLvl w:val="6"/>
    </w:pPr>
    <w:rPr>
      <w:rFonts w:ascii="Times New Roman" w:hAnsi="Times New Roman"/>
      <w:i/>
    </w:rPr>
  </w:style>
  <w:style w:type="paragraph" w:styleId="Nagwek8">
    <w:name w:val="heading 8"/>
    <w:basedOn w:val="Normalny"/>
    <w:next w:val="Normalny"/>
    <w:link w:val="Nagwek8Znak"/>
    <w:uiPriority w:val="9"/>
    <w:qFormat/>
    <w:pPr>
      <w:keepNext/>
      <w:numPr>
        <w:ilvl w:val="7"/>
        <w:numId w:val="6"/>
      </w:numPr>
      <w:tabs>
        <w:tab w:val="left" w:pos="284"/>
      </w:tabs>
      <w:jc w:val="both"/>
      <w:outlineLvl w:val="7"/>
    </w:pPr>
    <w:rPr>
      <w:rFonts w:ascii="Times New Roman" w:hAnsi="Times New Roman"/>
      <w:b/>
    </w:rPr>
  </w:style>
  <w:style w:type="paragraph" w:styleId="Nagwek9">
    <w:name w:val="heading 9"/>
    <w:basedOn w:val="Normalny"/>
    <w:next w:val="Normalny"/>
    <w:link w:val="Nagwek9Znak"/>
    <w:uiPriority w:val="9"/>
    <w:qFormat/>
    <w:pPr>
      <w:keepNext/>
      <w:numPr>
        <w:ilvl w:val="8"/>
        <w:numId w:val="6"/>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auto"/>
      <w:jc w:val="center"/>
      <w:outlineLvl w:val="8"/>
    </w:pPr>
    <w:rPr>
      <w:rFonts w:ascii="Times New Roman" w:hAnsi="Times New Roman"/>
      <w:b/>
      <w:spacing w:val="-3"/>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DocInit">
    <w:name w:val="Doc Init"/>
    <w:basedOn w:val="Domylnaczcionkaakapitu"/>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paragraph" w:customStyle="1" w:styleId="Pleading">
    <w:name w:val="Pleading"/>
    <w:pPr>
      <w:tabs>
        <w:tab w:val="left" w:pos="-720"/>
      </w:tabs>
      <w:suppressAutoHyphens/>
      <w:spacing w:line="240" w:lineRule="exact"/>
    </w:pPr>
    <w:rPr>
      <w:rFonts w:ascii="Courier" w:hAnsi="Courier"/>
      <w:sz w:val="24"/>
      <w:lang w:val="en-US"/>
    </w:rPr>
  </w:style>
  <w:style w:type="paragraph" w:styleId="Spistreci1">
    <w:name w:val="toc 1"/>
    <w:basedOn w:val="Normalny"/>
    <w:next w:val="Normalny"/>
    <w:semiHidden/>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pPr>
      <w:tabs>
        <w:tab w:val="left" w:pos="9000"/>
        <w:tab w:val="right" w:pos="9360"/>
      </w:tabs>
      <w:suppressAutoHyphens/>
      <w:ind w:left="720" w:hanging="720"/>
    </w:pPr>
    <w:rPr>
      <w:lang w:val="en-US"/>
    </w:rPr>
  </w:style>
  <w:style w:type="paragraph" w:styleId="Spistreci7">
    <w:name w:val="toc 7"/>
    <w:basedOn w:val="Normalny"/>
    <w:next w:val="Normalny"/>
    <w:semiHidden/>
    <w:pPr>
      <w:suppressAutoHyphens/>
      <w:ind w:left="720" w:hanging="720"/>
    </w:pPr>
    <w:rPr>
      <w:lang w:val="en-US"/>
    </w:rPr>
  </w:style>
  <w:style w:type="paragraph" w:styleId="Spistreci8">
    <w:name w:val="toc 8"/>
    <w:basedOn w:val="Normalny"/>
    <w:next w:val="Normalny"/>
    <w:semiHidden/>
    <w:pPr>
      <w:tabs>
        <w:tab w:val="left" w:pos="9000"/>
        <w:tab w:val="right" w:pos="9360"/>
      </w:tabs>
      <w:suppressAutoHyphens/>
      <w:ind w:left="720" w:hanging="720"/>
    </w:pPr>
    <w:rPr>
      <w:lang w:val="en-US"/>
    </w:rPr>
  </w:style>
  <w:style w:type="paragraph" w:styleId="Spistreci9">
    <w:name w:val="toc 9"/>
    <w:basedOn w:val="Normalny"/>
    <w:next w:val="Normalny"/>
    <w:semiHidden/>
    <w:pPr>
      <w:tabs>
        <w:tab w:val="left" w:leader="dot" w:pos="9000"/>
        <w:tab w:val="right" w:pos="9360"/>
      </w:tabs>
      <w:suppressAutoHyphens/>
      <w:ind w:left="720" w:hanging="720"/>
    </w:pPr>
    <w:rPr>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lang w:val="en-US"/>
    </w:rPr>
  </w:style>
  <w:style w:type="paragraph" w:customStyle="1" w:styleId="NA">
    <w:name w:val="N/A"/>
    <w:basedOn w:val="Normalny"/>
    <w:pPr>
      <w:tabs>
        <w:tab w:val="left" w:pos="9000"/>
        <w:tab w:val="right" w:pos="9360"/>
      </w:tabs>
      <w:suppressAutoHyphens/>
    </w:pPr>
    <w:rPr>
      <w:lang w:val="en-US"/>
    </w:rPr>
  </w:style>
  <w:style w:type="paragraph" w:styleId="Legenda">
    <w:name w:val="caption"/>
    <w:basedOn w:val="Normalny"/>
    <w:next w:val="Normalny"/>
    <w:uiPriority w:val="35"/>
    <w:qFormat/>
  </w:style>
  <w:style w:type="character" w:customStyle="1" w:styleId="EquationCaption">
    <w:name w:val="_Equation Caption"/>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360" w:lineRule="auto"/>
      <w:ind w:left="709" w:hanging="709"/>
      <w:jc w:val="both"/>
    </w:pPr>
    <w:rPr>
      <w:rFonts w:ascii="Times New Roman" w:hAnsi="Times New Roman"/>
    </w:rPr>
  </w:style>
  <w:style w:type="paragraph" w:styleId="Tekstpodstawowywcity2">
    <w:name w:val="Body Text Indent 2"/>
    <w:basedOn w:val="Normalny"/>
    <w:pPr>
      <w:ind w:left="284" w:hanging="284"/>
    </w:pPr>
    <w:rPr>
      <w:rFonts w:ascii="Times New Roman" w:hAnsi="Times New Roman"/>
    </w:rPr>
  </w:style>
  <w:style w:type="paragraph" w:styleId="Tekstpodstawowywcity3">
    <w:name w:val="Body Text Indent 3"/>
    <w:basedOn w:val="Normalny"/>
    <w:pPr>
      <w:spacing w:line="360" w:lineRule="auto"/>
      <w:ind w:left="709" w:hanging="709"/>
    </w:pPr>
    <w:rPr>
      <w:rFonts w:ascii="Times New Roman" w:hAnsi="Times New Roman"/>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styleId="Tekstpodstawowy">
    <w:name w:val="Body Text"/>
    <w:basedOn w:val="Normalny"/>
    <w:pPr>
      <w:jc w:val="both"/>
    </w:pPr>
    <w:rPr>
      <w:rFonts w:ascii="Times New Roman" w:hAnsi="Times New Roman"/>
    </w:rPr>
  </w:style>
  <w:style w:type="character" w:styleId="Odwoaniedokomentarza">
    <w:name w:val="annotation reference"/>
    <w:rPr>
      <w:sz w:val="16"/>
    </w:rPr>
  </w:style>
  <w:style w:type="paragraph" w:styleId="Tekstkomentarza">
    <w:name w:val="annotation text"/>
    <w:basedOn w:val="Normalny"/>
    <w:link w:val="TekstkomentarzaZnak"/>
    <w:uiPriority w:val="99"/>
    <w:semiHidden/>
    <w:rPr>
      <w:sz w:val="20"/>
    </w:rPr>
  </w:style>
  <w:style w:type="character" w:styleId="Hipercze">
    <w:name w:val="Hyperlink"/>
    <w:rPr>
      <w:color w:val="0000FF"/>
      <w:u w:val="single"/>
    </w:rPr>
  </w:style>
  <w:style w:type="character" w:customStyle="1" w:styleId="header1">
    <w:name w:val="header1"/>
    <w:rPr>
      <w:rFonts w:ascii="Times New" w:hAnsi="Times New"/>
      <w:b/>
      <w:sz w:val="36"/>
    </w:rPr>
  </w:style>
  <w:style w:type="paragraph" w:styleId="Tekstpodstawowy2">
    <w:name w:val="Body Text 2"/>
    <w:basedOn w:val="Normalny"/>
    <w:link w:val="Tekstpodstawowy2Znak"/>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Times New Roman" w:hAnsi="Times New Roman"/>
      <w:b/>
      <w:bCs/>
      <w:spacing w:val="-3"/>
    </w:rPr>
  </w:style>
  <w:style w:type="paragraph" w:styleId="Tekstpodstawowy3">
    <w:name w:val="Body Text 3"/>
    <w:basedOn w:val="Normalny"/>
    <w:pPr>
      <w:tabs>
        <w:tab w:val="left" w:pos="284"/>
      </w:tabs>
      <w:jc w:val="both"/>
    </w:pPr>
    <w:rPr>
      <w:rFonts w:ascii="Times New Roman" w:hAnsi="Times New Roman"/>
      <w:b/>
      <w:i/>
    </w:rPr>
  </w:style>
  <w:style w:type="paragraph" w:styleId="Tematkomentarza">
    <w:name w:val="annotation subject"/>
    <w:basedOn w:val="Tekstkomentarza"/>
    <w:next w:val="Tekstkomentarza"/>
    <w:link w:val="TematkomentarzaZnak"/>
    <w:semiHidden/>
    <w:unhideWhenUsed/>
    <w:rPr>
      <w:b/>
      <w:bCs/>
    </w:rPr>
  </w:style>
  <w:style w:type="character" w:customStyle="1" w:styleId="TekstkomentarzaZnak">
    <w:name w:val="Tekst komentarza Znak"/>
    <w:link w:val="Tekstkomentarza"/>
    <w:uiPriority w:val="99"/>
    <w:semiHidden/>
    <w:rPr>
      <w:rFonts w:ascii="Courier" w:hAnsi="Courier"/>
    </w:rPr>
  </w:style>
  <w:style w:type="character" w:customStyle="1" w:styleId="TematkomentarzaZnak">
    <w:name w:val="Temat komentarza Znak"/>
    <w:basedOn w:val="TekstkomentarzaZnak"/>
    <w:link w:val="Tematkomentarza"/>
    <w:semiHidden/>
    <w:rPr>
      <w:rFonts w:ascii="Courier" w:hAnsi="Courier"/>
      <w:b/>
      <w:bCs/>
    </w:rPr>
  </w:style>
  <w:style w:type="paragraph" w:styleId="Tekstdymka">
    <w:name w:val="Balloon Text"/>
    <w:basedOn w:val="Normalny"/>
    <w:link w:val="TekstdymkaZnak"/>
    <w:rPr>
      <w:rFonts w:ascii="Verdana" w:hAnsi="Verdana" w:cs="Tahoma"/>
      <w:sz w:val="16"/>
      <w:szCs w:val="16"/>
    </w:rPr>
  </w:style>
  <w:style w:type="character" w:customStyle="1" w:styleId="TekstdymkaZnak">
    <w:name w:val="Tekst dymka Znak"/>
    <w:link w:val="Tekstdymka"/>
    <w:rPr>
      <w:rFonts w:ascii="Verdana" w:hAnsi="Verdana" w:cs="Tahoma"/>
      <w:sz w:val="16"/>
      <w:szCs w:val="16"/>
    </w:rPr>
  </w:style>
  <w:style w:type="paragraph" w:styleId="Tekstprzypisukocowego">
    <w:name w:val="endnote text"/>
    <w:basedOn w:val="Normalny"/>
    <w:link w:val="TekstprzypisukocowegoZnak"/>
    <w:rPr>
      <w:sz w:val="20"/>
    </w:rPr>
  </w:style>
  <w:style w:type="character" w:customStyle="1" w:styleId="TekstprzypisukocowegoZnak">
    <w:name w:val="Tekst przypisu końcowego Znak"/>
    <w:link w:val="Tekstprzypisukocowego"/>
    <w:rPr>
      <w:rFonts w:ascii="Courier" w:hAnsi="Courier"/>
    </w:rPr>
  </w:style>
  <w:style w:type="character" w:styleId="Odwoanieprzypisukocowego">
    <w:name w:val="endnote reference"/>
    <w:rPr>
      <w:vertAlign w:val="superscript"/>
    </w:rPr>
  </w:style>
  <w:style w:type="paragraph" w:customStyle="1" w:styleId="tekstost">
    <w:name w:val="tekst ost"/>
    <w:basedOn w:val="Normalny"/>
    <w:pPr>
      <w:overflowPunct w:val="0"/>
      <w:autoSpaceDE w:val="0"/>
      <w:autoSpaceDN w:val="0"/>
      <w:adjustRightInd w:val="0"/>
      <w:jc w:val="both"/>
      <w:textAlignment w:val="baseline"/>
    </w:pPr>
    <w:rPr>
      <w:rFonts w:ascii="Times New Roman" w:hAnsi="Times New Roman"/>
      <w:sz w:val="20"/>
    </w:rPr>
  </w:style>
  <w:style w:type="character" w:customStyle="1" w:styleId="rvts6">
    <w:name w:val="rvts6"/>
    <w:rPr>
      <w:rFonts w:ascii="Arial" w:hAnsi="Arial" w:cs="Arial" w:hint="default"/>
    </w:rPr>
  </w:style>
  <w:style w:type="paragraph" w:customStyle="1" w:styleId="Default">
    <w:name w:val="Default"/>
    <w:pPr>
      <w:autoSpaceDE w:val="0"/>
      <w:autoSpaceDN w:val="0"/>
      <w:adjustRightInd w:val="0"/>
    </w:pPr>
    <w:rPr>
      <w:rFonts w:ascii="Verdana" w:hAnsi="Verdana" w:cs="Verdana"/>
      <w:color w:val="000000"/>
      <w:sz w:val="24"/>
      <w:szCs w:val="24"/>
    </w:rPr>
  </w:style>
  <w:style w:type="character" w:customStyle="1" w:styleId="Tekstpodstawowy2Znak">
    <w:name w:val="Tekst podstawowy 2 Znak"/>
    <w:link w:val="Tekstpodstawowy2"/>
    <w:rPr>
      <w:b/>
      <w:bCs/>
      <w:spacing w:val="-3"/>
      <w:sz w:val="24"/>
    </w:rPr>
  </w:style>
  <w:style w:type="paragraph" w:styleId="Poprawka">
    <w:name w:val="Revision"/>
    <w:hidden/>
    <w:uiPriority w:val="99"/>
    <w:semiHidden/>
    <w:rPr>
      <w:rFonts w:ascii="Courier" w:hAnsi="Courier"/>
      <w:sz w:val="24"/>
    </w:rPr>
  </w:style>
  <w:style w:type="paragraph" w:styleId="Akapitzlist">
    <w:name w:val="List Paragraph"/>
    <w:aliases w:val="Akapit z numeracją,normalny tekst,Obiekt,List Paragraph1"/>
    <w:basedOn w:val="Normalny"/>
    <w:link w:val="AkapitzlistZnak"/>
    <w:uiPriority w:val="34"/>
    <w:qFormat/>
    <w:pPr>
      <w:ind w:left="720"/>
      <w:contextualSpacing/>
    </w:pPr>
  </w:style>
  <w:style w:type="character" w:customStyle="1" w:styleId="StopkaZnak">
    <w:name w:val="Stopka Znak"/>
    <w:link w:val="Stopka"/>
    <w:uiPriority w:val="99"/>
    <w:rPr>
      <w:rFonts w:ascii="Courier" w:hAnsi="Courier"/>
      <w:sz w:val="24"/>
    </w:rPr>
  </w:style>
  <w:style w:type="paragraph" w:customStyle="1" w:styleId="Specyfikacja">
    <w:name w:val="Specyfikacja"/>
    <w:basedOn w:val="Normalny"/>
    <w:pPr>
      <w:spacing w:before="60" w:after="240"/>
      <w:ind w:left="1418" w:hanging="1418"/>
      <w:jc w:val="both"/>
    </w:pPr>
    <w:rPr>
      <w:rFonts w:ascii="Times New Roman" w:hAnsi="Times New Roman"/>
      <w:smallCaps/>
      <w:sz w:val="28"/>
    </w:rPr>
  </w:style>
  <w:style w:type="paragraph" w:styleId="Tytu">
    <w:name w:val="Title"/>
    <w:basedOn w:val="Normalny"/>
    <w:link w:val="TytuZnak"/>
    <w:uiPriority w:val="10"/>
    <w:qFormat/>
    <w:pPr>
      <w:overflowPunct w:val="0"/>
      <w:autoSpaceDE w:val="0"/>
      <w:autoSpaceDN w:val="0"/>
      <w:adjustRightInd w:val="0"/>
      <w:spacing w:line="360" w:lineRule="auto"/>
      <w:jc w:val="center"/>
      <w:textAlignment w:val="baseline"/>
    </w:pPr>
    <w:rPr>
      <w:rFonts w:ascii="Times New Roman" w:hAnsi="Times New Roman"/>
      <w:b/>
    </w:rPr>
  </w:style>
  <w:style w:type="character" w:customStyle="1" w:styleId="TytuZnak">
    <w:name w:val="Tytuł Znak"/>
    <w:basedOn w:val="Domylnaczcionkaakapitu"/>
    <w:link w:val="Tytu"/>
    <w:uiPriority w:val="10"/>
    <w:rPr>
      <w:b/>
      <w:sz w:val="24"/>
    </w:rPr>
  </w:style>
  <w:style w:type="paragraph" w:customStyle="1" w:styleId="rozdzia">
    <w:name w:val="rozdział"/>
    <w:basedOn w:val="Normalny"/>
    <w:autoRedefine/>
    <w:pPr>
      <w:tabs>
        <w:tab w:val="left" w:pos="31680"/>
        <w:tab w:val="left" w:pos="-31680"/>
        <w:tab w:val="left" w:pos="-31336"/>
        <w:tab w:val="left" w:pos="-30436"/>
      </w:tabs>
    </w:pPr>
    <w:rPr>
      <w:rFonts w:ascii="Verdana" w:hAnsi="Verdana" w:cs="Arial"/>
      <w:b/>
      <w:caps/>
      <w:sz w:val="32"/>
      <w:szCs w:val="32"/>
    </w:rPr>
  </w:style>
  <w:style w:type="character" w:customStyle="1" w:styleId="header2">
    <w:name w:val="header2"/>
    <w:rPr>
      <w:rFonts w:ascii="Times New Roman" w:hAnsi="Times New Roman"/>
      <w:b/>
      <w:sz w:val="36"/>
    </w:rPr>
  </w:style>
  <w:style w:type="character" w:customStyle="1" w:styleId="header3">
    <w:name w:val="header3"/>
    <w:rPr>
      <w:rFonts w:ascii="Times New Roman" w:hAnsi="Times New Roman"/>
      <w:b/>
      <w:sz w:val="36"/>
    </w:rPr>
  </w:style>
  <w:style w:type="paragraph" w:customStyle="1" w:styleId="Tytuspec">
    <w:name w:val="Tytuł_spec"/>
    <w:basedOn w:val="Nagwek1"/>
    <w:next w:val="Nagwek1"/>
    <w:pPr>
      <w:keepNext w:val="0"/>
      <w:numPr>
        <w:numId w:val="0"/>
      </w:numPr>
      <w:tabs>
        <w:tab w:val="clear" w:pos="-720"/>
      </w:tabs>
      <w:spacing w:line="240" w:lineRule="auto"/>
      <w:jc w:val="left"/>
    </w:pPr>
    <w:rPr>
      <w:rFonts w:ascii="Arial" w:hAnsi="Arial"/>
      <w:b/>
      <w:i w:val="0"/>
      <w:sz w:val="22"/>
    </w:rPr>
  </w:style>
  <w:style w:type="paragraph" w:styleId="Podtytu">
    <w:name w:val="Subtitle"/>
    <w:basedOn w:val="Normalny"/>
    <w:link w:val="PodtytuZnak"/>
    <w:uiPriority w:val="11"/>
    <w:qFormat/>
    <w:pPr>
      <w:spacing w:after="60"/>
      <w:jc w:val="center"/>
    </w:pPr>
    <w:rPr>
      <w:rFonts w:ascii="Times New Roman" w:hAnsi="Times New Roman"/>
      <w:b/>
      <w:caps/>
    </w:rPr>
  </w:style>
  <w:style w:type="character" w:customStyle="1" w:styleId="PodtytuZnak">
    <w:name w:val="Podtytuł Znak"/>
    <w:basedOn w:val="Domylnaczcionkaakapitu"/>
    <w:link w:val="Podtytu"/>
    <w:uiPriority w:val="11"/>
    <w:rPr>
      <w:b/>
      <w:caps/>
      <w:sz w:val="24"/>
    </w:rPr>
  </w:style>
  <w:style w:type="character" w:styleId="Tekstzastpczy">
    <w:name w:val="Placeholder Text"/>
    <w:basedOn w:val="Domylnaczcionkaakapitu"/>
    <w:uiPriority w:val="99"/>
    <w:semiHidden/>
    <w:rPr>
      <w:color w:val="808080"/>
    </w:rPr>
  </w:style>
  <w:style w:type="paragraph" w:customStyle="1" w:styleId="Standard">
    <w:name w:val="Standard"/>
    <w:uiPriority w:val="99"/>
    <w:pPr>
      <w:suppressAutoHyphens/>
      <w:autoSpaceDN w:val="0"/>
      <w:textAlignment w:val="baseline"/>
    </w:pPr>
    <w:rPr>
      <w:rFonts w:ascii="Calibri" w:hAnsi="Calibri" w:cs="Calibri"/>
      <w:kern w:val="3"/>
      <w:sz w:val="22"/>
      <w:szCs w:val="22"/>
      <w:lang w:eastAsia="ar-SA"/>
    </w:rPr>
  </w:style>
  <w:style w:type="paragraph" w:customStyle="1" w:styleId="Styl2">
    <w:name w:val="Styl2"/>
    <w:basedOn w:val="Normalny"/>
    <w:qFormat/>
    <w:pPr>
      <w:numPr>
        <w:numId w:val="9"/>
      </w:numPr>
      <w:spacing w:line="260" w:lineRule="atLeast"/>
      <w:jc w:val="both"/>
    </w:pPr>
    <w:rPr>
      <w:rFonts w:ascii="Times New Roman" w:hAnsi="Times New Roman"/>
      <w:spacing w:val="-3"/>
      <w:sz w:val="22"/>
      <w:szCs w:val="22"/>
    </w:rPr>
  </w:style>
  <w:style w:type="character" w:customStyle="1" w:styleId="Nagwek1Znak">
    <w:name w:val="Nagłówek 1 Znak"/>
    <w:basedOn w:val="Domylnaczcionkaakapitu"/>
    <w:link w:val="Nagwek1"/>
    <w:uiPriority w:val="9"/>
    <w:rPr>
      <w:i/>
    </w:rPr>
  </w:style>
  <w:style w:type="character" w:customStyle="1" w:styleId="Nagwek2Znak">
    <w:name w:val="Nagłówek 2 Znak"/>
    <w:basedOn w:val="Domylnaczcionkaakapitu"/>
    <w:link w:val="Nagwek2"/>
    <w:uiPriority w:val="9"/>
    <w:rPr>
      <w:b/>
      <w:spacing w:val="-3"/>
      <w:sz w:val="36"/>
    </w:rPr>
  </w:style>
  <w:style w:type="character" w:customStyle="1" w:styleId="Nagwek3Znak">
    <w:name w:val="Nagłówek 3 Znak"/>
    <w:basedOn w:val="Domylnaczcionkaakapitu"/>
    <w:link w:val="Nagwek3"/>
    <w:uiPriority w:val="9"/>
    <w:rPr>
      <w:b/>
      <w:spacing w:val="-3"/>
      <w:sz w:val="24"/>
    </w:rPr>
  </w:style>
  <w:style w:type="character" w:customStyle="1" w:styleId="Nagwek4Znak">
    <w:name w:val="Nagłówek 4 Znak"/>
    <w:basedOn w:val="Domylnaczcionkaakapitu"/>
    <w:link w:val="Nagwek4"/>
    <w:uiPriority w:val="9"/>
    <w:rPr>
      <w:sz w:val="24"/>
      <w:u w:val="single"/>
    </w:rPr>
  </w:style>
  <w:style w:type="character" w:customStyle="1" w:styleId="Nagwek5Znak">
    <w:name w:val="Nagłówek 5 Znak"/>
    <w:basedOn w:val="Domylnaczcionkaakapitu"/>
    <w:link w:val="Nagwek5"/>
    <w:uiPriority w:val="9"/>
    <w:rPr>
      <w:b/>
      <w:sz w:val="24"/>
    </w:rPr>
  </w:style>
  <w:style w:type="character" w:customStyle="1" w:styleId="Nagwek6Znak">
    <w:name w:val="Nagłówek 6 Znak"/>
    <w:basedOn w:val="Domylnaczcionkaakapitu"/>
    <w:link w:val="Nagwek6"/>
    <w:uiPriority w:val="9"/>
    <w:rPr>
      <w:b/>
      <w:sz w:val="24"/>
    </w:rPr>
  </w:style>
  <w:style w:type="character" w:customStyle="1" w:styleId="Nagwek7Znak">
    <w:name w:val="Nagłówek 7 Znak"/>
    <w:basedOn w:val="Domylnaczcionkaakapitu"/>
    <w:link w:val="Nagwek7"/>
    <w:uiPriority w:val="9"/>
    <w:rPr>
      <w:i/>
      <w:sz w:val="24"/>
    </w:rPr>
  </w:style>
  <w:style w:type="character" w:customStyle="1" w:styleId="Nagwek8Znak">
    <w:name w:val="Nagłówek 8 Znak"/>
    <w:basedOn w:val="Domylnaczcionkaakapitu"/>
    <w:link w:val="Nagwek8"/>
    <w:uiPriority w:val="9"/>
    <w:rPr>
      <w:b/>
      <w:sz w:val="24"/>
    </w:rPr>
  </w:style>
  <w:style w:type="character" w:customStyle="1" w:styleId="Nagwek9Znak">
    <w:name w:val="Nagłówek 9 Znak"/>
    <w:basedOn w:val="Domylnaczcionkaakapitu"/>
    <w:link w:val="Nagwek9"/>
    <w:uiPriority w:val="9"/>
    <w:rPr>
      <w:b/>
      <w:spacing w:val="-3"/>
      <w:sz w:val="28"/>
    </w:rPr>
  </w:style>
  <w:style w:type="character" w:styleId="Pogrubienie">
    <w:name w:val="Strong"/>
    <w:basedOn w:val="Domylnaczcionkaakapitu"/>
    <w:qFormat/>
    <w:rPr>
      <w:b/>
      <w:bCs/>
      <w:color w:val="000000" w:themeColor="text1"/>
    </w:rPr>
  </w:style>
  <w:style w:type="character" w:styleId="Uwydatnienie">
    <w:name w:val="Emphasis"/>
    <w:basedOn w:val="Domylnaczcionkaakapitu"/>
    <w:uiPriority w:val="20"/>
    <w:qFormat/>
    <w:rPr>
      <w:i/>
      <w:iCs/>
      <w:color w:val="auto"/>
    </w:rPr>
  </w:style>
  <w:style w:type="paragraph" w:styleId="Bezodstpw">
    <w:name w:val="No Spacing"/>
    <w:qFormat/>
    <w:rPr>
      <w:rFonts w:asciiTheme="minorHAnsi" w:eastAsiaTheme="minorEastAsia" w:hAnsiTheme="minorHAnsi" w:cstheme="minorBidi"/>
      <w:sz w:val="22"/>
      <w:szCs w:val="22"/>
    </w:rPr>
  </w:style>
  <w:style w:type="paragraph" w:styleId="Cytat">
    <w:name w:val="Quote"/>
    <w:basedOn w:val="Normalny"/>
    <w:next w:val="Normalny"/>
    <w:link w:val="CytatZnak"/>
    <w:uiPriority w:val="29"/>
    <w:qFormat/>
    <w:pPr>
      <w:spacing w:before="160" w:after="160" w:line="259" w:lineRule="auto"/>
      <w:ind w:left="720" w:right="720"/>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CytatintensywnyZnak">
    <w:name w:val="Cytat intensywny Znak"/>
    <w:basedOn w:val="Domylnaczcionkaakapitu"/>
    <w:link w:val="Cytatintensywny"/>
    <w:uiPriority w:val="30"/>
    <w:rPr>
      <w:rFonts w:asciiTheme="minorHAnsi" w:eastAsiaTheme="minorEastAsia" w:hAnsiTheme="minorHAnsi" w:cstheme="minorBidi"/>
      <w:color w:val="000000" w:themeColor="text1"/>
      <w:sz w:val="22"/>
      <w:szCs w:val="22"/>
      <w:shd w:val="clear" w:color="auto" w:fill="F2F2F2" w:themeFill="background1" w:themeFillShade="F2"/>
    </w:rPr>
  </w:style>
  <w:style w:type="character" w:styleId="Wyrnieniedelikatne">
    <w:name w:val="Subtle Emphasis"/>
    <w:basedOn w:val="Domylnaczcionkaakapitu"/>
    <w:uiPriority w:val="19"/>
    <w:qFormat/>
    <w:rPr>
      <w:i/>
      <w:iCs/>
      <w:color w:val="404040" w:themeColor="text1" w:themeTint="BF"/>
    </w:rPr>
  </w:style>
  <w:style w:type="character" w:styleId="Wyrnienieintensywne">
    <w:name w:val="Intense Emphasis"/>
    <w:basedOn w:val="Domylnaczcionkaakapitu"/>
    <w:uiPriority w:val="21"/>
    <w:qFormat/>
    <w:rPr>
      <w:b/>
      <w:bCs/>
      <w:i/>
      <w:iCs/>
      <w:caps/>
    </w:rPr>
  </w:style>
  <w:style w:type="character" w:styleId="Odwoaniedelikatne">
    <w:name w:val="Subtle Reference"/>
    <w:basedOn w:val="Domylnaczcionkaakapitu"/>
    <w:uiPriority w:val="31"/>
    <w:qFormat/>
    <w:rPr>
      <w:smallCaps/>
      <w:color w:val="404040" w:themeColor="text1" w:themeTint="BF"/>
      <w:u w:val="single" w:color="7F7F7F" w:themeColor="text1" w:themeTint="80"/>
    </w:rPr>
  </w:style>
  <w:style w:type="character" w:styleId="Odwoanieintensywne">
    <w:name w:val="Intense Reference"/>
    <w:basedOn w:val="Domylnaczcionkaakapitu"/>
    <w:uiPriority w:val="32"/>
    <w:qFormat/>
    <w:rPr>
      <w:b/>
      <w:bCs/>
      <w:smallCaps/>
      <w:u w:val="single"/>
    </w:rPr>
  </w:style>
  <w:style w:type="character" w:styleId="Tytuksiki">
    <w:name w:val="Book Title"/>
    <w:basedOn w:val="Domylnaczcionkaakapitu"/>
    <w:uiPriority w:val="33"/>
    <w:qFormat/>
    <w:rPr>
      <w:b w:val="0"/>
      <w:bCs w:val="0"/>
      <w:smallCaps/>
      <w:spacing w:val="5"/>
    </w:rPr>
  </w:style>
  <w:style w:type="character" w:customStyle="1" w:styleId="AkapitzlistZnak">
    <w:name w:val="Akapit z listą Znak"/>
    <w:aliases w:val="Akapit z numeracją Znak,normalny tekst Znak,Obiekt Znak,List Paragraph1 Znak"/>
    <w:link w:val="Akapitzlist"/>
    <w:uiPriority w:val="34"/>
    <w:locked/>
    <w:rPr>
      <w:rFonts w:ascii="Courier" w:hAnsi="Courier"/>
      <w:sz w:val="24"/>
    </w:rPr>
  </w:style>
  <w:style w:type="table" w:styleId="Tabela-Siatka">
    <w:name w:val="Table Grid"/>
    <w:basedOn w:val="Standardowy"/>
    <w:uiPriority w:val="59"/>
    <w:rPr>
      <w:rFonts w:ascii="Courier New" w:hAnsi="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Pr>
      <w:rFonts w:ascii="Arial Narrow" w:hAnsi="Arial Narrow" w:cs="Arial Narrow"/>
      <w:sz w:val="26"/>
      <w:szCs w:val="26"/>
      <w:shd w:val="clear" w:color="auto" w:fill="FFFFFF"/>
    </w:rPr>
  </w:style>
  <w:style w:type="paragraph" w:customStyle="1" w:styleId="Bodytext20">
    <w:name w:val="Body text (2)"/>
    <w:basedOn w:val="Normalny"/>
    <w:link w:val="Bodytext2"/>
    <w:pPr>
      <w:widowControl w:val="0"/>
      <w:shd w:val="clear" w:color="auto" w:fill="FFFFFF"/>
      <w:spacing w:after="2160" w:line="322" w:lineRule="exact"/>
      <w:jc w:val="center"/>
    </w:pPr>
    <w:rPr>
      <w:rFonts w:ascii="Arial Narrow" w:hAnsi="Arial Narrow" w:cs="Arial Narrow"/>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54600">
      <w:bodyDiv w:val="1"/>
      <w:marLeft w:val="0"/>
      <w:marRight w:val="0"/>
      <w:marTop w:val="0"/>
      <w:marBottom w:val="0"/>
      <w:divBdr>
        <w:top w:val="none" w:sz="0" w:space="0" w:color="auto"/>
        <w:left w:val="none" w:sz="0" w:space="0" w:color="auto"/>
        <w:bottom w:val="none" w:sz="0" w:space="0" w:color="auto"/>
        <w:right w:val="none" w:sz="0" w:space="0" w:color="auto"/>
      </w:divBdr>
    </w:div>
    <w:div w:id="402681249">
      <w:bodyDiv w:val="1"/>
      <w:marLeft w:val="0"/>
      <w:marRight w:val="0"/>
      <w:marTop w:val="0"/>
      <w:marBottom w:val="0"/>
      <w:divBdr>
        <w:top w:val="none" w:sz="0" w:space="0" w:color="auto"/>
        <w:left w:val="none" w:sz="0" w:space="0" w:color="auto"/>
        <w:bottom w:val="none" w:sz="0" w:space="0" w:color="auto"/>
        <w:right w:val="none" w:sz="0" w:space="0" w:color="auto"/>
      </w:divBdr>
    </w:div>
    <w:div w:id="466632722">
      <w:bodyDiv w:val="1"/>
      <w:marLeft w:val="0"/>
      <w:marRight w:val="0"/>
      <w:marTop w:val="0"/>
      <w:marBottom w:val="0"/>
      <w:divBdr>
        <w:top w:val="none" w:sz="0" w:space="0" w:color="auto"/>
        <w:left w:val="none" w:sz="0" w:space="0" w:color="auto"/>
        <w:bottom w:val="none" w:sz="0" w:space="0" w:color="auto"/>
        <w:right w:val="none" w:sz="0" w:space="0" w:color="auto"/>
      </w:divBdr>
    </w:div>
    <w:div w:id="952055250">
      <w:bodyDiv w:val="1"/>
      <w:marLeft w:val="0"/>
      <w:marRight w:val="0"/>
      <w:marTop w:val="0"/>
      <w:marBottom w:val="0"/>
      <w:divBdr>
        <w:top w:val="none" w:sz="0" w:space="0" w:color="auto"/>
        <w:left w:val="none" w:sz="0" w:space="0" w:color="auto"/>
        <w:bottom w:val="none" w:sz="0" w:space="0" w:color="auto"/>
        <w:right w:val="none" w:sz="0" w:space="0" w:color="auto"/>
      </w:divBdr>
      <w:divsChild>
        <w:div w:id="1168867318">
          <w:marLeft w:val="0"/>
          <w:marRight w:val="0"/>
          <w:marTop w:val="0"/>
          <w:marBottom w:val="0"/>
          <w:divBdr>
            <w:top w:val="none" w:sz="0" w:space="0" w:color="auto"/>
            <w:left w:val="none" w:sz="0" w:space="0" w:color="auto"/>
            <w:bottom w:val="none" w:sz="0" w:space="0" w:color="auto"/>
            <w:right w:val="none" w:sz="0" w:space="0" w:color="auto"/>
          </w:divBdr>
          <w:divsChild>
            <w:div w:id="1747410212">
              <w:marLeft w:val="0"/>
              <w:marRight w:val="0"/>
              <w:marTop w:val="0"/>
              <w:marBottom w:val="0"/>
              <w:divBdr>
                <w:top w:val="none" w:sz="0" w:space="0" w:color="auto"/>
                <w:left w:val="none" w:sz="0" w:space="0" w:color="auto"/>
                <w:bottom w:val="none" w:sz="0" w:space="0" w:color="auto"/>
                <w:right w:val="none" w:sz="0" w:space="0" w:color="auto"/>
              </w:divBdr>
              <w:divsChild>
                <w:div w:id="1573276286">
                  <w:marLeft w:val="0"/>
                  <w:marRight w:val="0"/>
                  <w:marTop w:val="0"/>
                  <w:marBottom w:val="0"/>
                  <w:divBdr>
                    <w:top w:val="none" w:sz="0" w:space="0" w:color="auto"/>
                    <w:left w:val="none" w:sz="0" w:space="0" w:color="auto"/>
                    <w:bottom w:val="none" w:sz="0" w:space="0" w:color="auto"/>
                    <w:right w:val="none" w:sz="0" w:space="0" w:color="auto"/>
                  </w:divBdr>
                  <w:divsChild>
                    <w:div w:id="19385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559168">
      <w:bodyDiv w:val="1"/>
      <w:marLeft w:val="0"/>
      <w:marRight w:val="0"/>
      <w:marTop w:val="0"/>
      <w:marBottom w:val="0"/>
      <w:divBdr>
        <w:top w:val="none" w:sz="0" w:space="0" w:color="auto"/>
        <w:left w:val="none" w:sz="0" w:space="0" w:color="auto"/>
        <w:bottom w:val="none" w:sz="0" w:space="0" w:color="auto"/>
        <w:right w:val="none" w:sz="0" w:space="0" w:color="auto"/>
      </w:divBdr>
    </w:div>
    <w:div w:id="1152482324">
      <w:bodyDiv w:val="1"/>
      <w:marLeft w:val="0"/>
      <w:marRight w:val="0"/>
      <w:marTop w:val="0"/>
      <w:marBottom w:val="0"/>
      <w:divBdr>
        <w:top w:val="none" w:sz="0" w:space="0" w:color="auto"/>
        <w:left w:val="none" w:sz="0" w:space="0" w:color="auto"/>
        <w:bottom w:val="none" w:sz="0" w:space="0" w:color="auto"/>
        <w:right w:val="none" w:sz="0" w:space="0" w:color="auto"/>
      </w:divBdr>
    </w:div>
    <w:div w:id="1208687352">
      <w:bodyDiv w:val="1"/>
      <w:marLeft w:val="0"/>
      <w:marRight w:val="0"/>
      <w:marTop w:val="0"/>
      <w:marBottom w:val="0"/>
      <w:divBdr>
        <w:top w:val="none" w:sz="0" w:space="0" w:color="auto"/>
        <w:left w:val="none" w:sz="0" w:space="0" w:color="auto"/>
        <w:bottom w:val="none" w:sz="0" w:space="0" w:color="auto"/>
        <w:right w:val="none" w:sz="0" w:space="0" w:color="auto"/>
      </w:divBdr>
    </w:div>
    <w:div w:id="1251506380">
      <w:bodyDiv w:val="1"/>
      <w:marLeft w:val="0"/>
      <w:marRight w:val="0"/>
      <w:marTop w:val="0"/>
      <w:marBottom w:val="0"/>
      <w:divBdr>
        <w:top w:val="none" w:sz="0" w:space="0" w:color="auto"/>
        <w:left w:val="none" w:sz="0" w:space="0" w:color="auto"/>
        <w:bottom w:val="none" w:sz="0" w:space="0" w:color="auto"/>
        <w:right w:val="none" w:sz="0" w:space="0" w:color="auto"/>
      </w:divBdr>
    </w:div>
    <w:div w:id="15121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EF74D-9EEE-474B-8564-B1C54E01DC0C}">
  <ds:schemaRefs>
    <ds:schemaRef ds:uri="http://schemas.microsoft.com/sharepoint/v3/contenttype/forms"/>
  </ds:schemaRefs>
</ds:datastoreItem>
</file>

<file path=customXml/itemProps2.xml><?xml version="1.0" encoding="utf-8"?>
<ds:datastoreItem xmlns:ds="http://schemas.openxmlformats.org/officeDocument/2006/customXml" ds:itemID="{FF564822-32F4-4345-9400-B58493624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465AA6-B9B7-47D3-917C-DF380AD1DA64}">
  <ds:schemaRefs>
    <ds:schemaRef ds:uri="http://schemas.openxmlformats.org/officeDocument/2006/bibliography"/>
  </ds:schemaRefs>
</ds:datastoreItem>
</file>

<file path=customXml/itemProps4.xml><?xml version="1.0" encoding="utf-8"?>
<ds:datastoreItem xmlns:ds="http://schemas.openxmlformats.org/officeDocument/2006/customXml" ds:itemID="{1FE6127E-DB86-42B7-95FB-7A8F0D16F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20391</Words>
  <Characters>122352</Characters>
  <Application>Microsoft Office Word</Application>
  <DocSecurity>0</DocSecurity>
  <Lines>1019</Lines>
  <Paragraphs>284</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BPRSD</Company>
  <LinksUpToDate>false</LinksUpToDate>
  <CharactersWithSpaces>142459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Stanisław Cieszyński</cp:lastModifiedBy>
  <cp:revision>30</cp:revision>
  <cp:lastPrinted>2023-06-13T18:20:00Z</cp:lastPrinted>
  <dcterms:created xsi:type="dcterms:W3CDTF">2020-11-13T13:17:00Z</dcterms:created>
  <dcterms:modified xsi:type="dcterms:W3CDTF">2023-12-07T08:36:00Z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