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FE10BD" w:rsidRPr="00413935">
        <w:rPr>
          <w:rFonts w:ascii="Times New Roman" w:hAnsi="Times New Roman" w:cs="Times New Roman"/>
          <w:sz w:val="24"/>
          <w:szCs w:val="24"/>
        </w:rPr>
        <w:t xml:space="preserve">zgodnie z przepisami ustawy z dnia </w:t>
      </w:r>
      <w:bookmarkStart w:id="0" w:name="_GoBack"/>
      <w:bookmarkEnd w:id="0"/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0BD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57D8-EB47-4D60-8019-BE9E1132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15</cp:revision>
  <cp:lastPrinted>2018-06-11T07:59:00Z</cp:lastPrinted>
  <dcterms:created xsi:type="dcterms:W3CDTF">2021-01-08T10:05:00Z</dcterms:created>
  <dcterms:modified xsi:type="dcterms:W3CDTF">2024-07-08T12:54:00Z</dcterms:modified>
</cp:coreProperties>
</file>