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37E0F4BD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B6611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17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75048009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bookmarkStart w:id="0" w:name="_GoBack"/>
      <w:bookmarkEnd w:id="0"/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93032A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6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48B0D31A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(wzór dla Pakietu I</w:t>
      </w:r>
      <w:r w:rsidR="0093032A">
        <w:rPr>
          <w:rFonts w:asciiTheme="minorHAnsi" w:hAnsiTheme="minorHAnsi" w:cstheme="minorHAnsi"/>
          <w:b/>
          <w:iCs/>
          <w:color w:val="auto"/>
          <w:sz w:val="24"/>
          <w:szCs w:val="24"/>
        </w:rPr>
        <w:t>I</w:t>
      </w:r>
      <w:r w:rsidR="007D26AF">
        <w:rPr>
          <w:rFonts w:asciiTheme="minorHAnsi" w:hAnsiTheme="minorHAnsi" w:cstheme="minorHAnsi"/>
          <w:b/>
          <w:iCs/>
          <w:color w:val="auto"/>
          <w:sz w:val="24"/>
          <w:szCs w:val="24"/>
        </w:rPr>
        <w:t>I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54360F81" w:rsidR="002C1E25" w:rsidRPr="004F4DA6" w:rsidRDefault="002C1E25" w:rsidP="004F4DA6">
      <w:pPr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032A">
        <w:rPr>
          <w:rFonts w:asciiTheme="minorHAnsi" w:hAnsiTheme="minorHAnsi" w:cstheme="minorHAnsi"/>
          <w:iCs/>
          <w:color w:val="auto"/>
          <w:sz w:val="24"/>
          <w:szCs w:val="24"/>
        </w:rPr>
        <w:t>krzeseł, foteli i sof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</w:t>
      </w:r>
      <w:r w:rsidR="0093032A">
        <w:rPr>
          <w:rFonts w:asciiTheme="minorHAnsi" w:hAnsiTheme="minorHAnsi" w:cstheme="minorHAnsi"/>
          <w:iCs/>
          <w:color w:val="auto"/>
          <w:sz w:val="24"/>
          <w:szCs w:val="24"/>
        </w:rPr>
        <w:t>krzeseł, foteli i sof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93032A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93032A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0CAC3D9B" w:rsidR="002C1E25" w:rsidRPr="004F4DA6" w:rsidRDefault="00277DB2" w:rsidP="007D26AF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w szczególności załącznik</w:t>
      </w:r>
      <w:r w:rsidR="00402F19">
        <w:rPr>
          <w:rFonts w:asciiTheme="minorHAnsi" w:hAnsiTheme="minorHAnsi" w:cstheme="minorHAnsi"/>
          <w:iCs/>
          <w:color w:val="auto"/>
          <w:sz w:val="24"/>
          <w:szCs w:val="24"/>
        </w:rPr>
        <w:t>ów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pn.</w:t>
      </w:r>
      <w:r w:rsidR="00402F19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02F19" w:rsidRPr="00402F1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„Ogólna specyfikacja techniczna”,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„</w:t>
      </w:r>
      <w:r w:rsidR="0093032A" w:rsidRPr="0093032A">
        <w:rPr>
          <w:rFonts w:asciiTheme="minorHAnsi" w:hAnsiTheme="minorHAnsi" w:cstheme="minorHAnsi"/>
          <w:iCs/>
          <w:color w:val="auto"/>
          <w:sz w:val="24"/>
          <w:szCs w:val="24"/>
        </w:rPr>
        <w:t>Część IV - Szczegółowa specyfikacja techniczna – krzesła, fotele i sofy”</w:t>
      </w:r>
      <w:r w:rsidR="007D26A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7D26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autorstw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4B6AE145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64508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645089" w:rsidRPr="0064508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20A6837B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proofErr w:type="spellStart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proofErr w:type="spellEnd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6FF67EF2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281714D5" w14:textId="19D4CBA0" w:rsidR="00FC345E" w:rsidRPr="004F4DA6" w:rsidRDefault="00731224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zawarciu umowy Wykonawca niezwłocznie, nie później jednak niż w terminie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roboczych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uzgodni z Zamawiającym 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wszystkie istotne elementy i detale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Wyposażenia.</w:t>
      </w:r>
      <w:r w:rsidR="0003685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powyższych czynności sporządz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ony zostanie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protok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ół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uzgodnień podpis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any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przedstawicieli Stron.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 zgodą Zamawiającego dokonanie uzgodnie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ń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nastąpić w formie korespondencji elektronicznej, na następujące adresy Stron: </w:t>
      </w:r>
    </w:p>
    <w:p w14:paraId="1886F8BD" w14:textId="77777777" w:rsidR="00FC345E" w:rsidRPr="004F4DA6" w:rsidRDefault="00FC345E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Zamawiający: jacek.adamski@babinski.pl </w:t>
      </w:r>
    </w:p>
    <w:p w14:paraId="0D011779" w14:textId="77777777" w:rsidR="00FC345E" w:rsidRPr="004F4DA6" w:rsidRDefault="00FC345E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Wykonawca: ……………………………………..</w:t>
      </w:r>
    </w:p>
    <w:p w14:paraId="56AFD195" w14:textId="3F267B74" w:rsidR="00FC345E" w:rsidRPr="004F4DA6" w:rsidRDefault="0003685C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0735B025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1C4C4D">
        <w:rPr>
          <w:rFonts w:asciiTheme="minorHAnsi" w:hAnsiTheme="minorHAnsi" w:cstheme="minorHAnsi"/>
          <w:iCs/>
          <w:color w:val="auto"/>
          <w:sz w:val="24"/>
          <w:szCs w:val="24"/>
        </w:rPr>
        <w:t>60</w:t>
      </w:r>
      <w:r w:rsidR="00D62F9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772D18" w:rsidRPr="00772D1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 tym zastrzeżeniem, że Zamawiający wymaga by </w:t>
      </w:r>
      <w:r w:rsidR="0093032A">
        <w:rPr>
          <w:rFonts w:asciiTheme="minorHAnsi" w:hAnsiTheme="minorHAnsi" w:cstheme="minorHAnsi"/>
          <w:iCs/>
          <w:color w:val="auto"/>
          <w:sz w:val="24"/>
          <w:szCs w:val="24"/>
        </w:rPr>
        <w:t>dostawa</w:t>
      </w:r>
      <w:r w:rsidR="00772D18" w:rsidRPr="00772D1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 trwał</w:t>
      </w:r>
      <w:r w:rsidR="0093032A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772D18" w:rsidRPr="00772D1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772D18">
        <w:rPr>
          <w:rFonts w:asciiTheme="minorHAnsi" w:hAnsiTheme="minorHAnsi" w:cstheme="minorHAnsi"/>
          <w:iCs/>
          <w:color w:val="auto"/>
          <w:sz w:val="24"/>
          <w:szCs w:val="24"/>
        </w:rPr>
        <w:t>sukcesywnie i rozpocz</w:t>
      </w:r>
      <w:r w:rsidR="0093032A">
        <w:rPr>
          <w:rFonts w:asciiTheme="minorHAnsi" w:hAnsiTheme="minorHAnsi" w:cstheme="minorHAnsi"/>
          <w:iCs/>
          <w:color w:val="auto"/>
          <w:sz w:val="24"/>
          <w:szCs w:val="24"/>
        </w:rPr>
        <w:t>ęła się od 5</w:t>
      </w:r>
      <w:r w:rsidR="00772D18" w:rsidRPr="00772D18">
        <w:rPr>
          <w:rFonts w:asciiTheme="minorHAnsi" w:hAnsiTheme="minorHAnsi" w:cstheme="minorHAnsi"/>
          <w:iCs/>
          <w:color w:val="auto"/>
          <w:sz w:val="24"/>
          <w:szCs w:val="24"/>
        </w:rPr>
        <w:t>0 dnia realizacji niniejszej umowy, licząc od dnia jej zawarcia.</w:t>
      </w:r>
      <w:r w:rsidR="005477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</w:t>
      </w:r>
      <w:r w:rsidRPr="004F4DA6">
        <w:rPr>
          <w:rFonts w:asciiTheme="minorHAnsi" w:hAnsiTheme="minorHAnsi" w:cstheme="minorHAnsi"/>
          <w:iCs/>
          <w:color w:val="auto"/>
        </w:rPr>
        <w:lastRenderedPageBreak/>
        <w:t xml:space="preserve">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1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2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odmowy podpisania Protokołu </w:t>
      </w:r>
      <w:bookmarkEnd w:id="2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1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3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3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lastRenderedPageBreak/>
        <w:t>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BA16E4A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rzedmiot umowy w sposób niezgodny z warunkami niniejszej umowy, tj.: 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ac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ae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 xml:space="preserve">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4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4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6C549E39" w14:textId="77777777" w:rsidR="00251F33" w:rsidRDefault="00967F74" w:rsidP="00251F33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251E81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51F33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756EFD8A" w:rsidR="00532092" w:rsidRPr="004F4DA6" w:rsidRDefault="00251F33" w:rsidP="00251F33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- Załącznik nr 2 – Klauzula informacyjna (załącznik nr 7 do SWZ).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0F04D3">
      <w:headerReference w:type="even" r:id="rId10"/>
      <w:footerReference w:type="default" r:id="rId11"/>
      <w:headerReference w:type="first" r:id="rId12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150B1" w14:textId="77777777" w:rsidR="00516547" w:rsidRDefault="00516547">
      <w:pPr>
        <w:spacing w:after="0" w:line="240" w:lineRule="auto"/>
      </w:pPr>
      <w:r>
        <w:separator/>
      </w:r>
    </w:p>
  </w:endnote>
  <w:endnote w:type="continuationSeparator" w:id="0">
    <w:p w14:paraId="68DBAED3" w14:textId="77777777" w:rsidR="00516547" w:rsidRDefault="0051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1F3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1F3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4254B" w14:textId="77777777" w:rsidR="00516547" w:rsidRDefault="00516547">
      <w:pPr>
        <w:spacing w:after="0" w:line="240" w:lineRule="auto"/>
      </w:pPr>
      <w:r>
        <w:separator/>
      </w:r>
    </w:p>
  </w:footnote>
  <w:footnote w:type="continuationSeparator" w:id="0">
    <w:p w14:paraId="622F1AD1" w14:textId="77777777" w:rsidR="00516547" w:rsidRDefault="0051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23"/>
  </w:num>
  <w:num w:numId="5">
    <w:abstractNumId w:val="12"/>
  </w:num>
  <w:num w:numId="6">
    <w:abstractNumId w:val="19"/>
  </w:num>
  <w:num w:numId="7">
    <w:abstractNumId w:val="3"/>
  </w:num>
  <w:num w:numId="8">
    <w:abstractNumId w:val="22"/>
  </w:num>
  <w:num w:numId="9">
    <w:abstractNumId w:val="17"/>
  </w:num>
  <w:num w:numId="10">
    <w:abstractNumId w:val="18"/>
  </w:num>
  <w:num w:numId="11">
    <w:abstractNumId w:val="37"/>
  </w:num>
  <w:num w:numId="12">
    <w:abstractNumId w:val="1"/>
  </w:num>
  <w:num w:numId="13">
    <w:abstractNumId w:val="8"/>
  </w:num>
  <w:num w:numId="14">
    <w:abstractNumId w:val="32"/>
  </w:num>
  <w:num w:numId="15">
    <w:abstractNumId w:val="5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31"/>
  </w:num>
  <w:num w:numId="22">
    <w:abstractNumId w:val="3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9"/>
  </w:num>
  <w:num w:numId="34">
    <w:abstractNumId w:val="30"/>
  </w:num>
  <w:num w:numId="35">
    <w:abstractNumId w:val="36"/>
  </w:num>
  <w:num w:numId="36">
    <w:abstractNumId w:val="21"/>
  </w:num>
  <w:num w:numId="37">
    <w:abstractNumId w:val="35"/>
  </w:num>
  <w:num w:numId="38">
    <w:abstractNumId w:val="2"/>
  </w:num>
  <w:num w:numId="39">
    <w:abstractNumId w:val="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1"/>
    <w:rsid w:val="0000054D"/>
    <w:rsid w:val="0000227E"/>
    <w:rsid w:val="000058CD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04D3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4C4D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1E81"/>
    <w:rsid w:val="00251F3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167"/>
    <w:rsid w:val="00352E16"/>
    <w:rsid w:val="00357B84"/>
    <w:rsid w:val="00360E68"/>
    <w:rsid w:val="0036228C"/>
    <w:rsid w:val="003629CE"/>
    <w:rsid w:val="00393A25"/>
    <w:rsid w:val="003A4908"/>
    <w:rsid w:val="003B79CA"/>
    <w:rsid w:val="003C0904"/>
    <w:rsid w:val="003D5245"/>
    <w:rsid w:val="003E51AC"/>
    <w:rsid w:val="003E7A3E"/>
    <w:rsid w:val="003F0550"/>
    <w:rsid w:val="004028DE"/>
    <w:rsid w:val="00402930"/>
    <w:rsid w:val="00402F19"/>
    <w:rsid w:val="0040655E"/>
    <w:rsid w:val="00407351"/>
    <w:rsid w:val="00411CA8"/>
    <w:rsid w:val="00414A57"/>
    <w:rsid w:val="00414B47"/>
    <w:rsid w:val="00424596"/>
    <w:rsid w:val="00427F6E"/>
    <w:rsid w:val="004338EB"/>
    <w:rsid w:val="00433C14"/>
    <w:rsid w:val="00435B31"/>
    <w:rsid w:val="004472A9"/>
    <w:rsid w:val="004628CF"/>
    <w:rsid w:val="004708F4"/>
    <w:rsid w:val="004725C2"/>
    <w:rsid w:val="00483C54"/>
    <w:rsid w:val="00486AE2"/>
    <w:rsid w:val="004950FE"/>
    <w:rsid w:val="004A4937"/>
    <w:rsid w:val="004B2577"/>
    <w:rsid w:val="004B68B0"/>
    <w:rsid w:val="004D107D"/>
    <w:rsid w:val="004D29FD"/>
    <w:rsid w:val="004D5826"/>
    <w:rsid w:val="004D5EB9"/>
    <w:rsid w:val="004F4DA6"/>
    <w:rsid w:val="00513175"/>
    <w:rsid w:val="005149C4"/>
    <w:rsid w:val="00516547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5089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6033F"/>
    <w:rsid w:val="00762879"/>
    <w:rsid w:val="0076768F"/>
    <w:rsid w:val="007724EB"/>
    <w:rsid w:val="00772D18"/>
    <w:rsid w:val="00790E03"/>
    <w:rsid w:val="00791947"/>
    <w:rsid w:val="007B05B4"/>
    <w:rsid w:val="007B2BDD"/>
    <w:rsid w:val="007B523D"/>
    <w:rsid w:val="007C46DA"/>
    <w:rsid w:val="007D14D4"/>
    <w:rsid w:val="007D26AF"/>
    <w:rsid w:val="007D4185"/>
    <w:rsid w:val="007D43A4"/>
    <w:rsid w:val="007D4664"/>
    <w:rsid w:val="007F15BC"/>
    <w:rsid w:val="0080191D"/>
    <w:rsid w:val="00806197"/>
    <w:rsid w:val="00815849"/>
    <w:rsid w:val="0081787D"/>
    <w:rsid w:val="00824CA9"/>
    <w:rsid w:val="008414FE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032A"/>
    <w:rsid w:val="0093645A"/>
    <w:rsid w:val="00936E89"/>
    <w:rsid w:val="00937A4F"/>
    <w:rsid w:val="00945832"/>
    <w:rsid w:val="00967F74"/>
    <w:rsid w:val="009805CC"/>
    <w:rsid w:val="009908BE"/>
    <w:rsid w:val="00990E1C"/>
    <w:rsid w:val="0099748C"/>
    <w:rsid w:val="0099753C"/>
    <w:rsid w:val="009A4F77"/>
    <w:rsid w:val="009D1C70"/>
    <w:rsid w:val="009F226A"/>
    <w:rsid w:val="009F412E"/>
    <w:rsid w:val="00A00552"/>
    <w:rsid w:val="00A029D8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66110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A17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50B71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9E37-F35B-4000-94A9-BC2544BD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4090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</cp:lastModifiedBy>
  <cp:revision>54</cp:revision>
  <cp:lastPrinted>2022-09-01T06:46:00Z</cp:lastPrinted>
  <dcterms:created xsi:type="dcterms:W3CDTF">2023-06-20T07:46:00Z</dcterms:created>
  <dcterms:modified xsi:type="dcterms:W3CDTF">2024-05-13T19:31:00Z</dcterms:modified>
</cp:coreProperties>
</file>