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tabs>
          <w:tab w:val="clear" w:pos="708"/>
          <w:tab w:val="left" w:pos="6300" w:leader="none"/>
        </w:tabs>
        <w:suppressAutoHyphens w:val="false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  <w:r>
        <w:rPr>
          <w:rFonts w:cs="Calibri" w:ascii="Calibri" w:hAnsi="Calibri"/>
          <w:b/>
          <w:bCs/>
          <w:iCs/>
          <w:sz w:val="28"/>
          <w:szCs w:val="28"/>
          <w:lang w:eastAsia="pl-PL"/>
        </w:rPr>
      </w:r>
    </w:p>
    <w:p>
      <w:pPr>
        <w:pStyle w:val="Normal"/>
        <w:keepNext w:val="true"/>
        <w:tabs>
          <w:tab w:val="clear" w:pos="708"/>
          <w:tab w:val="left" w:pos="6300" w:leader="none"/>
        </w:tabs>
        <w:suppressAutoHyphens w:val="false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  <w:r>
        <w:rPr>
          <w:rFonts w:cs="Calibri" w:ascii="Calibri" w:hAnsi="Calibri"/>
          <w:b/>
          <w:bCs/>
          <w:iCs/>
          <w:sz w:val="28"/>
          <w:szCs w:val="28"/>
          <w:lang w:eastAsia="pl-PL"/>
        </w:rPr>
      </w:r>
    </w:p>
    <w:p>
      <w:pPr>
        <w:pStyle w:val="Normal"/>
        <w:keepNext w:val="true"/>
        <w:tabs>
          <w:tab w:val="clear" w:pos="708"/>
          <w:tab w:val="left" w:pos="6300" w:leader="none"/>
        </w:tabs>
        <w:suppressAutoHyphens w:val="false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  <w:r>
        <w:rPr>
          <w:rFonts w:cs="Calibri" w:ascii="Calibri" w:hAnsi="Calibri"/>
          <w:b/>
          <w:bCs/>
          <w:iCs/>
          <w:sz w:val="28"/>
          <w:szCs w:val="28"/>
          <w:lang w:eastAsia="pl-PL"/>
        </w:rPr>
      </w:r>
    </w:p>
    <w:p>
      <w:pPr>
        <w:pStyle w:val="Normal"/>
        <w:keepNext w:val="true"/>
        <w:tabs>
          <w:tab w:val="clear" w:pos="708"/>
          <w:tab w:val="left" w:pos="6300" w:leader="none"/>
        </w:tabs>
        <w:suppressAutoHyphens w:val="false"/>
        <w:jc w:val="center"/>
        <w:rPr/>
      </w:pPr>
      <w:r>
        <w:rPr>
          <w:rFonts w:cs="Calibri" w:ascii="Calibri" w:hAnsi="Calibri"/>
          <w:b/>
          <w:bCs/>
          <w:iCs/>
          <w:sz w:val="28"/>
          <w:szCs w:val="28"/>
          <w:lang w:eastAsia="pl-PL"/>
        </w:rPr>
        <w:t xml:space="preserve">Formularz cenowy </w:t>
      </w:r>
    </w:p>
    <w:p>
      <w:pPr>
        <w:pStyle w:val="Normal"/>
        <w:suppressAutoHyphens w:val="false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  <w:r>
        <w:rPr>
          <w:rFonts w:cs="Calibri" w:ascii="Calibri" w:hAnsi="Calibri"/>
          <w:b/>
          <w:bCs/>
          <w:iCs/>
          <w:sz w:val="28"/>
          <w:szCs w:val="28"/>
          <w:lang w:eastAsia="pl-PL"/>
        </w:rPr>
      </w:r>
    </w:p>
    <w:p>
      <w:pPr>
        <w:pStyle w:val="Normal"/>
        <w:suppressAutoHyphens w:val="false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>
        <w:rPr>
          <w:rFonts w:cs="Calibri" w:ascii="Calibri" w:hAnsi="Calibri"/>
          <w:b/>
          <w:bCs/>
          <w:iCs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cs="Calibri" w:ascii="Calibri" w:hAnsi="Calibri"/>
          <w:sz w:val="22"/>
          <w:szCs w:val="22"/>
          <w:lang w:eastAsia="pl-PL"/>
        </w:rPr>
        <w:t xml:space="preserve">Przystępując do udziału w postępowaniu o zamówienie publiczne na </w:t>
      </w:r>
      <w:r>
        <w:rPr>
          <w:rFonts w:cs="Calibri" w:ascii="Calibri" w:hAnsi="Calibri"/>
          <w:sz w:val="22"/>
          <w:szCs w:val="22"/>
        </w:rPr>
        <w:t>„</w:t>
      </w:r>
      <w:r>
        <w:rPr>
          <w:rFonts w:cs="Calibri" w:ascii="Calibri" w:hAnsi="Calibri"/>
          <w:b/>
          <w:sz w:val="22"/>
          <w:szCs w:val="22"/>
        </w:rPr>
        <w:t>Ubezpieczenie Miasta Łęczyca na rok 2023/2024</w:t>
      </w:r>
      <w:r>
        <w:rPr>
          <w:rFonts w:cs="Calibri" w:ascii="Calibri" w:hAnsi="Calibri"/>
          <w:b/>
          <w:bCs/>
          <w:sz w:val="22"/>
          <w:szCs w:val="22"/>
        </w:rPr>
        <w:t>”</w:t>
      </w:r>
      <w:r>
        <w:rPr>
          <w:rFonts w:cs="Calibri" w:ascii="Calibri" w:hAnsi="Calibri"/>
          <w:sz w:val="22"/>
          <w:szCs w:val="22"/>
          <w:lang w:eastAsia="pl-PL"/>
        </w:rPr>
        <w:t xml:space="preserve"> przedstawiamy szczegółową kalkulację oferowanej wysokości składki.</w:t>
      </w:r>
    </w:p>
    <w:p>
      <w:pPr>
        <w:pStyle w:val="Normal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rPr/>
      </w:pPr>
      <w:r>
        <w:rPr>
          <w:rFonts w:cs="Calibri" w:ascii="Calibri" w:hAnsi="Calibri"/>
          <w:b/>
          <w:bCs/>
          <w:sz w:val="20"/>
          <w:szCs w:val="20"/>
          <w:u w:val="single"/>
          <w:lang w:eastAsia="pl-PL"/>
        </w:rPr>
        <w:t xml:space="preserve">Ubezpieczenie mienia od wszystkich ryzyk </w:t>
      </w:r>
    </w:p>
    <w:tbl>
      <w:tblPr>
        <w:tblW w:w="9763" w:type="dxa"/>
        <w:jc w:val="left"/>
        <w:tblInd w:w="9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447"/>
        <w:gridCol w:w="2347"/>
        <w:gridCol w:w="1739"/>
        <w:gridCol w:w="2229"/>
      </w:tblGrid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bookmarkStart w:id="0" w:name="_Hlk97292316"/>
            <w:bookmarkEnd w:id="0"/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 xml:space="preserve">UBEZPIECZENIE MIENIA </w:t>
              <w:br/>
              <w:t>OD WSZYSTKICH RYZYK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Suma ubezpieczenia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Stopa składki</w:t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Składka</w:t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  <w:t>Budynki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83 302 938,41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Budowle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3 215 969,42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Boisko sportowe wyposażenie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20 000,00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Boiska sportowe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2 500 000,00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Mała architektura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100 000,00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Plac zabaw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28 352,60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Ozdoby świąteczne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28 678,93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Pozostałe środki trwałe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2 734 370,21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Środki trwałe obrony cywilnej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16 923,21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Nakłady inwestycyjne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50 000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Niskocenne składniki majątku i wyposażenie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200 000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Księgozbiór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858 737,93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Środki obrotowe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15 000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Muzealia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173 534,44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Gotówka i inne wartości pieniężne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32 500,00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Mienie pracownicze i uczniowskie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eastAsia="pl-PL"/>
              </w:rPr>
              <w:t>limit na 1 osobę – 1 000 zł    10.000 zł na zdarzenie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Przezorna suma ubezpieczenia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500 000,00 zł</w:t>
            </w:r>
          </w:p>
        </w:tc>
        <w:tc>
          <w:tcPr>
            <w:tcW w:w="17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75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Łącznie 12 miesięcy</w:t>
            </w:r>
          </w:p>
        </w:tc>
        <w:tc>
          <w:tcPr>
            <w:tcW w:w="2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uppressAutoHyphens w:val="false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rPr/>
      </w:pPr>
      <w:r>
        <w:rPr>
          <w:rFonts w:cs="Calibri" w:ascii="Calibri" w:hAnsi="Calibri"/>
          <w:sz w:val="22"/>
          <w:szCs w:val="22"/>
          <w:lang w:eastAsia="pl-PL"/>
        </w:rPr>
        <w:t xml:space="preserve">Tabela składek dodatkowych za ubezpieczenia/ryzyka/klauzule, </w:t>
        <w:br/>
        <w:t>które nie został</w:t>
      </w:r>
      <w:r>
        <w:rPr/>
        <w:t xml:space="preserve">y uwzględnione w powyższej tabeli </w:t>
      </w:r>
    </w:p>
    <w:tbl>
      <w:tblPr>
        <w:tblW w:w="9763" w:type="dxa"/>
        <w:jc w:val="left"/>
        <w:tblInd w:w="9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6787"/>
        <w:gridCol w:w="2975"/>
      </w:tblGrid>
      <w:tr>
        <w:trPr>
          <w:cantSplit w:val="true"/>
        </w:trPr>
        <w:tc>
          <w:tcPr>
            <w:tcW w:w="97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Składka za mienie/ryzyko/klauzule dodatkowe</w:t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Rodzaj mienia/ryzyko/klauzula</w:t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Składka dodatkowa</w:t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Łącznie 12 miesięcy</w:t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vanish/>
          <w:sz w:val="20"/>
          <w:szCs w:val="20"/>
          <w:lang w:eastAsia="pl-PL"/>
        </w:rPr>
      </w:pPr>
      <w:r>
        <w:rPr>
          <w:vanish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vanish/>
          <w:sz w:val="20"/>
          <w:szCs w:val="20"/>
          <w:u w:val="single"/>
          <w:lang w:eastAsia="pl-PL"/>
        </w:rPr>
      </w:pPr>
      <w:r>
        <w:rPr>
          <w:rFonts w:cs="Calibri" w:ascii="Calibri" w:hAnsi="Calibri"/>
          <w:b/>
          <w:bCs/>
          <w:vanish/>
          <w:sz w:val="20"/>
          <w:szCs w:val="20"/>
          <w:u w:val="single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vanish/>
          <w:sz w:val="20"/>
          <w:szCs w:val="20"/>
          <w:u w:val="single"/>
          <w:lang w:eastAsia="pl-PL"/>
        </w:rPr>
      </w:pPr>
      <w:r>
        <w:rPr>
          <w:rFonts w:cs="Calibri" w:ascii="Calibri" w:hAnsi="Calibri"/>
          <w:b/>
          <w:bCs/>
          <w:vanish/>
          <w:sz w:val="20"/>
          <w:szCs w:val="20"/>
          <w:u w:val="single"/>
          <w:lang w:eastAsia="pl-PL"/>
        </w:rPr>
      </w:r>
    </w:p>
    <w:tbl>
      <w:tblPr>
        <w:tblW w:w="10119" w:type="dxa"/>
        <w:jc w:val="left"/>
        <w:tblInd w:w="-471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6722"/>
        <w:gridCol w:w="3396"/>
      </w:tblGrid>
      <w:tr>
        <w:trPr>
          <w:cantSplit w:val="true"/>
        </w:trPr>
        <w:tc>
          <w:tcPr>
            <w:tcW w:w="6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Łącznie ubezpieczenie mienia wraz z klauzulami dodatkowymi: 12 miesięcy</w:t>
            </w:r>
          </w:p>
        </w:tc>
        <w:tc>
          <w:tcPr>
            <w:tcW w:w="3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rPr/>
      </w:pPr>
      <w:r>
        <w:rPr>
          <w:rFonts w:cs="Calibri" w:ascii="Calibri" w:hAnsi="Calibri"/>
          <w:b/>
          <w:lang w:eastAsia="pl-PL"/>
        </w:rPr>
        <w:t xml:space="preserve">Ubezpieczenie sprzętu elektronicznego od wszystkich ryzyk </w:t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eastAsia="pl-PL"/>
        </w:rPr>
      </w:r>
    </w:p>
    <w:tbl>
      <w:tblPr>
        <w:tblW w:w="10075" w:type="dxa"/>
        <w:jc w:val="left"/>
        <w:tblInd w:w="6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687"/>
        <w:gridCol w:w="2079"/>
        <w:gridCol w:w="1541"/>
        <w:gridCol w:w="1"/>
        <w:gridCol w:w="1766"/>
      </w:tblGrid>
      <w:tr>
        <w:trPr>
          <w:cantSplit w:val="true"/>
        </w:trPr>
        <w:tc>
          <w:tcPr>
            <w:tcW w:w="4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 xml:space="preserve">UBEZPIECZENIE SPRZEĘTU ELEKTRONICZNEGO </w:t>
              <w:br/>
              <w:t>OD WSZYSTKICH RYZYK</w:t>
            </w:r>
          </w:p>
        </w:tc>
        <w:tc>
          <w:tcPr>
            <w:tcW w:w="2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Suma ubezpieczenia</w:t>
            </w:r>
          </w:p>
        </w:tc>
        <w:tc>
          <w:tcPr>
            <w:tcW w:w="1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Stopa składki</w:t>
            </w:r>
          </w:p>
        </w:tc>
        <w:tc>
          <w:tcPr>
            <w:tcW w:w="1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Składka 12 miesięcy</w:t>
            </w:r>
          </w:p>
        </w:tc>
      </w:tr>
      <w:tr>
        <w:trPr>
          <w:cantSplit w:val="true"/>
        </w:trPr>
        <w:tc>
          <w:tcPr>
            <w:tcW w:w="4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  <w:t>Sprzęt elektroniczny stacojnarny</w:t>
            </w:r>
          </w:p>
        </w:tc>
        <w:tc>
          <w:tcPr>
            <w:tcW w:w="2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844 866,85 zł</w:t>
            </w:r>
          </w:p>
        </w:tc>
        <w:tc>
          <w:tcPr>
            <w:tcW w:w="1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1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trHeight w:val="303" w:hRule="atLeast"/>
          <w:cantSplit w:val="true"/>
        </w:trPr>
        <w:tc>
          <w:tcPr>
            <w:tcW w:w="4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  <w:t>Sprzęt elektroniczny przenośny</w:t>
            </w:r>
          </w:p>
        </w:tc>
        <w:tc>
          <w:tcPr>
            <w:tcW w:w="2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shd w:fill="FFFFFF" w:val="clear"/>
                <w:lang w:eastAsia="pl-PL"/>
              </w:rPr>
              <w:t>678 454,57 zł</w:t>
            </w:r>
          </w:p>
        </w:tc>
        <w:tc>
          <w:tcPr>
            <w:tcW w:w="1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1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trHeight w:val="303" w:hRule="atLeast"/>
          <w:cantSplit w:val="true"/>
        </w:trPr>
        <w:tc>
          <w:tcPr>
            <w:tcW w:w="4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  <w:t>Oprogramowanie, koszt odtworzenia danych, nośniki danych</w:t>
            </w:r>
          </w:p>
        </w:tc>
        <w:tc>
          <w:tcPr>
            <w:tcW w:w="2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lang w:eastAsia="pl-PL"/>
              </w:rPr>
              <w:t>150 000,00 zł</w:t>
            </w:r>
          </w:p>
        </w:tc>
        <w:tc>
          <w:tcPr>
            <w:tcW w:w="1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  <w:tc>
          <w:tcPr>
            <w:tcW w:w="1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4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Cs/>
                <w:sz w:val="18"/>
                <w:szCs w:val="18"/>
                <w:shd w:fill="FFFFFF" w:val="clear"/>
                <w:lang w:eastAsia="pl-PL"/>
              </w:rPr>
              <w:t>Przezorna suma ubezpieczenia</w:t>
            </w:r>
          </w:p>
        </w:tc>
        <w:tc>
          <w:tcPr>
            <w:tcW w:w="2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  <w:shd w:fill="FFFFFF" w:val="clear"/>
                <w:lang w:eastAsia="pl-PL"/>
              </w:rPr>
              <w:t>100 000,00  zł</w:t>
            </w:r>
          </w:p>
        </w:tc>
        <w:tc>
          <w:tcPr>
            <w:tcW w:w="1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highlight w:val="green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highlight w:val="green"/>
                <w:lang w:eastAsia="pl-PL"/>
              </w:rPr>
            </w:r>
          </w:p>
        </w:tc>
        <w:tc>
          <w:tcPr>
            <w:tcW w:w="17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sz w:val="18"/>
                <w:szCs w:val="18"/>
                <w:highlight w:val="green"/>
                <w:lang w:eastAsia="pl-PL"/>
              </w:rPr>
            </w:pPr>
            <w:r>
              <w:rPr>
                <w:rFonts w:cs="Calibri" w:ascii="Calibri" w:hAnsi="Calibri"/>
                <w:bCs/>
                <w:sz w:val="18"/>
                <w:szCs w:val="18"/>
                <w:highlight w:val="green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83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Łącznie 12 miesięcy</w:t>
            </w:r>
          </w:p>
        </w:tc>
        <w:tc>
          <w:tcPr>
            <w:tcW w:w="17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 w:cs="Calibri"/>
          <w:vanish/>
          <w:sz w:val="20"/>
          <w:szCs w:val="20"/>
          <w:lang w:eastAsia="pl-PL"/>
        </w:rPr>
      </w:pPr>
      <w:r>
        <w:rPr>
          <w:rFonts w:cs="Calibri" w:ascii="Calibri" w:hAnsi="Calibri"/>
          <w:vanish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vanish/>
          <w:sz w:val="20"/>
          <w:szCs w:val="20"/>
          <w:lang w:eastAsia="pl-PL"/>
        </w:rPr>
      </w:pPr>
      <w:r>
        <w:rPr>
          <w:rFonts w:cs="Calibri" w:ascii="Calibri" w:hAnsi="Calibri"/>
          <w:vanish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rPr>
          <w:rFonts w:ascii="Calibri" w:hAnsi="Calibri" w:cs="Calibri"/>
          <w:bCs/>
          <w:vanish/>
          <w:sz w:val="22"/>
          <w:szCs w:val="22"/>
          <w:lang w:eastAsia="pl-PL"/>
        </w:rPr>
      </w:pPr>
      <w:r>
        <w:rPr>
          <w:rFonts w:cs="Calibri" w:ascii="Calibri" w:hAnsi="Calibri"/>
          <w:bCs/>
          <w:vanish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rPr/>
      </w:pPr>
      <w:r>
        <w:rPr>
          <w:rFonts w:cs="Calibri" w:ascii="Calibri" w:hAnsi="Calibri"/>
          <w:b/>
          <w:bCs/>
          <w:sz w:val="18"/>
          <w:szCs w:val="18"/>
          <w:lang w:eastAsia="pl-PL"/>
        </w:rPr>
        <w:t xml:space="preserve">Tabela składek dodatkowych za ubezpieczenia/ryzyka/klauzule, </w:t>
        <w:br/>
        <w:t>które nie zostały uwzględnione w powyższej tabeli</w:t>
      </w:r>
    </w:p>
    <w:p>
      <w:pPr>
        <w:pStyle w:val="Normal"/>
        <w:suppressAutoHyphens w:val="false"/>
        <w:jc w:val="center"/>
        <w:rPr>
          <w:rFonts w:ascii="Calibri" w:hAnsi="Calibri" w:cs="Calibri"/>
          <w:b/>
          <w:bCs/>
          <w:sz w:val="18"/>
          <w:szCs w:val="18"/>
          <w:u w:val="single"/>
          <w:lang w:eastAsia="pl-PL"/>
        </w:rPr>
      </w:pPr>
      <w:r>
        <w:rPr>
          <w:rFonts w:cs="Calibri" w:ascii="Calibri" w:hAnsi="Calibri"/>
          <w:b/>
          <w:bCs/>
          <w:sz w:val="18"/>
          <w:szCs w:val="18"/>
          <w:u w:val="single"/>
          <w:lang w:eastAsia="pl-PL"/>
        </w:rPr>
      </w:r>
    </w:p>
    <w:tbl>
      <w:tblPr>
        <w:tblW w:w="10119" w:type="dxa"/>
        <w:jc w:val="left"/>
        <w:tblInd w:w="-471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6711"/>
        <w:gridCol w:w="3407"/>
      </w:tblGrid>
      <w:tr>
        <w:trPr>
          <w:cantSplit w:val="true"/>
        </w:trPr>
        <w:tc>
          <w:tcPr>
            <w:tcW w:w="101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Składka za mienie/ryzyko/klauzule dodatkowe</w:t>
            </w:r>
          </w:p>
        </w:tc>
      </w:tr>
      <w:tr>
        <w:trPr>
          <w:cantSplit w:val="true"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Rodzaj mienia/ryzyko/klauzula</w:t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  <w:t>Składka dodatkowa</w:t>
            </w:r>
          </w:p>
        </w:tc>
      </w:tr>
      <w:tr>
        <w:trPr>
          <w:cantSplit w:val="true"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Łącznie 12 miesięcy</w:t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 w:cs="Calibri"/>
          <w:b/>
          <w:bCs/>
          <w:sz w:val="18"/>
          <w:szCs w:val="18"/>
          <w:lang w:eastAsia="pl-PL"/>
        </w:rPr>
      </w:pPr>
      <w:r>
        <w:rPr>
          <w:rFonts w:cs="Calibri" w:ascii="Calibri" w:hAnsi="Calibri"/>
          <w:b/>
          <w:bCs/>
          <w:sz w:val="18"/>
          <w:szCs w:val="18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18"/>
          <w:szCs w:val="18"/>
          <w:lang w:eastAsia="pl-PL"/>
        </w:rPr>
      </w:pPr>
      <w:r>
        <w:rPr>
          <w:rFonts w:cs="Calibri" w:ascii="Calibri" w:hAnsi="Calibri"/>
          <w:b/>
          <w:bCs/>
          <w:sz w:val="18"/>
          <w:szCs w:val="18"/>
          <w:lang w:eastAsia="pl-PL"/>
        </w:rPr>
      </w:r>
    </w:p>
    <w:tbl>
      <w:tblPr>
        <w:tblW w:w="10119" w:type="dxa"/>
        <w:jc w:val="left"/>
        <w:tblInd w:w="-471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6722"/>
        <w:gridCol w:w="3396"/>
      </w:tblGrid>
      <w:tr>
        <w:trPr>
          <w:cantSplit w:val="true"/>
        </w:trPr>
        <w:tc>
          <w:tcPr>
            <w:tcW w:w="67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  <w:t>Łącznie Ubezpieczenie sprzętu elektronicznego wraz z klauzulami dodatkowymi: 12 miesięcy</w:t>
            </w:r>
          </w:p>
        </w:tc>
        <w:tc>
          <w:tcPr>
            <w:tcW w:w="3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8" w:right="1418" w:gutter="0" w:header="709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false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eastAsia="pl-PL"/>
        </w:rPr>
      </w:r>
    </w:p>
    <w:p>
      <w:pPr>
        <w:pStyle w:val="Normal"/>
        <w:numPr>
          <w:ilvl w:val="0"/>
          <w:numId w:val="2"/>
        </w:numPr>
        <w:suppressAutoHyphens w:val="false"/>
        <w:rPr/>
      </w:pPr>
      <w:r>
        <w:rPr>
          <w:rFonts w:cs="Calibri" w:ascii="Calibri" w:hAnsi="Calibri"/>
          <w:b/>
          <w:bCs/>
          <w:sz w:val="20"/>
          <w:szCs w:val="20"/>
          <w:lang w:eastAsia="pl-PL"/>
        </w:rPr>
        <w:t>Ubezpieczenie odpowiedzialności cywilnej z tytułu prowadzonej działalności i posiadanego mienia</w:t>
      </w:r>
    </w:p>
    <w:tbl>
      <w:tblPr>
        <w:tblW w:w="9813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60" w:type="dxa"/>
        </w:tblCellMar>
        <w:tblLook w:val="0000"/>
      </w:tblPr>
      <w:tblGrid>
        <w:gridCol w:w="607"/>
        <w:gridCol w:w="5461"/>
        <w:gridCol w:w="2210"/>
        <w:gridCol w:w="1534"/>
      </w:tblGrid>
      <w:tr>
        <w:trPr>
          <w:trHeight w:val="27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ZAKRES UBEZPIECZENIA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SUMA GWARANCYJNA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Składka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 xml:space="preserve">Odpowiedzialność cywilna z tytułu prowadzonej działalności i posiadania mienia z rozszerzeniem o </w:t>
            </w:r>
            <w:r>
              <w:rPr>
                <w:rFonts w:cs="Calibri" w:ascii="Calibri" w:hAnsi="Calibri"/>
                <w:b/>
                <w:bCs/>
                <w:iCs/>
                <w:color w:val="000000"/>
                <w:sz w:val="20"/>
                <w:szCs w:val="20"/>
                <w:u w:val="single"/>
              </w:rPr>
              <w:t>odpowiedzialność cywilną związaną z wprowadzeniem produktu do obrotu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1 000 000,00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odpowiedzialność cywilna pracodawcy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2a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 mieniu pracowników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200 000,00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wyrządzone Ubezpieczającemu/Ubezpieczonemu objętemu tą samą umową ubezpieczenia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powstałe w związku z wykonywaniem czynności, rac lub usług przez podwykonawcę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wynikłe z wadliwego wykonania czynności, prac lub usług spowodowane przez wypadki ubezpieczeniowe powstałe po przekazaniu odbiorcy przedmiotu tych czynności, prac lub usług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1 0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 rzeczach znajdujących się w pieczy, pod dozorem lub kontrolą (szatnie)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 nieruchomościach, z których Ubezpieczający korzystał na podstawie umowy najmu, dzierżawy, użyczenia, leasingu lub innej umowy o podobnym charakterze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 mieniu ruchomym  których Ubezpieczający korzystał na podstawie umowy najmu, dzierżawy, użyczenia, leasingu lub innej umowy o podobnym charakterze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spowodowane przeniesieniem chorób zakaźnych i zakażeń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powstałe w związku z przedostaniem się substancji chemicznych do powietrza, wody lub gruntu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35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 rzeczach ruchomych przekazanych lub udostępnionych w celu wykonania obróbki, naprawy, kontroli, czyszczenia lub innych podobnych czynności w ramach usługi świadczonej przez Ubezpieczającego/Ubezpieczonego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spowodowane działaniem materiałów wybuchowych lub fajerwerków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 związku z organizowaniem przez Ubezpieczającego imprez nie podlegającej obowiązkowemu ubezpieczeniu odpowiedzialności cywilnej  organizatora imprez masowych zgodnie z obowiązującymi przepisami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27" w:after="0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1 000 000,00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Szkody wyrządzone przez samobieżne maszyny robocze oraz pojazdy nie podlegające rejestracji i nieobjęte obowiązkowym ubezpieczeniem komunikacyjnym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Klauzula czystych szkód majątkowych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 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200 000,00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Czyste szkody majątkowe powstałe przy wykonywaniu władzy publicznej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200 000,00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OC z tytułu zarządzania drogami (23,701 km)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1 000 000,00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</w:rPr>
              <w:t>Klauzula reprezentantów (wina umyślna)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 xml:space="preserve">                  </w:t>
            </w:r>
            <w:r>
              <w:rPr>
                <w:rFonts w:eastAsia="Calibri"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5</w:t>
            </w:r>
            <w:r>
              <w:rPr>
                <w:rFonts w:cs="Calibri" w:ascii="Calibri" w:hAnsi="Calibri"/>
                <w:bCs/>
                <w:iCs/>
                <w:color w:val="000000"/>
                <w:sz w:val="20"/>
                <w:szCs w:val="20"/>
                <w:shd w:fill="FFFFFF" w:val="clear"/>
              </w:rPr>
              <w:t>00 000,00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Calibri" w:ascii="Calibri" w:hAnsi="Calibri"/>
                <w:b/>
                <w:iCs/>
                <w:color w:val="000000"/>
                <w:sz w:val="20"/>
                <w:szCs w:val="20"/>
              </w:rPr>
              <w:t>Łącznie 12 miesięcy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 w:cs="Calibri"/>
          <w:b/>
          <w:bCs/>
          <w:sz w:val="18"/>
          <w:szCs w:val="18"/>
          <w:lang w:eastAsia="pl-PL"/>
        </w:rPr>
      </w:pPr>
      <w:r>
        <w:rPr>
          <w:rFonts w:cs="Calibri" w:ascii="Calibri" w:hAnsi="Calibri"/>
          <w:b/>
          <w:bCs/>
          <w:sz w:val="18"/>
          <w:szCs w:val="18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18"/>
          <w:szCs w:val="18"/>
          <w:lang w:eastAsia="pl-PL"/>
        </w:rPr>
      </w:pPr>
      <w:r>
        <w:rPr>
          <w:rFonts w:cs="Calibri" w:ascii="Calibri" w:hAnsi="Calibri"/>
          <w:b/>
          <w:bCs/>
          <w:sz w:val="18"/>
          <w:szCs w:val="18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tbl>
      <w:tblPr>
        <w:tblW w:w="4889" w:type="dxa"/>
        <w:jc w:val="left"/>
        <w:tblInd w:w="-8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89"/>
      </w:tblGrid>
      <w:tr>
        <w:trPr/>
        <w:tc>
          <w:tcPr>
            <w:tcW w:w="4889" w:type="dxa"/>
            <w:tcBorders/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cs="Calibri" w:ascii="Calibri" w:hAnsi="Calibri"/>
                <w:sz w:val="20"/>
                <w:szCs w:val="20"/>
                <w:lang w:eastAsia="pl-PL"/>
              </w:rPr>
              <w:t>........................., dn. .......................</w:t>
            </w:r>
          </w:p>
        </w:tc>
      </w:tr>
    </w:tbl>
    <w:p>
      <w:pPr>
        <w:pStyle w:val="Normal"/>
        <w:suppressAutoHyphens w:val="false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cs="Calibri" w:ascii="Calibri" w:hAnsi="Calibri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6300" w:leader="none"/>
        </w:tabs>
        <w:spacing w:lineRule="auto" w:line="276"/>
        <w:rPr>
          <w:rFonts w:ascii="Calibri" w:hAnsi="Calibri" w:cs="Calibri"/>
          <w:b/>
          <w:bCs/>
          <w:sz w:val="16"/>
          <w:szCs w:val="16"/>
          <w:lang w:eastAsia="pl-PL"/>
        </w:rPr>
      </w:pPr>
      <w:r>
        <w:rPr>
          <w:rFonts w:cs="Calibri" w:ascii="Calibri" w:hAnsi="Calibri"/>
          <w:b/>
          <w:bCs/>
          <w:sz w:val="16"/>
          <w:szCs w:val="16"/>
          <w:lang w:eastAsia="pl-PL"/>
        </w:rPr>
      </w:r>
    </w:p>
    <w:p>
      <w:pPr>
        <w:pStyle w:val="Normal"/>
        <w:suppressAutoHyphens w:val="false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cs="Calibri" w:ascii="Calibri" w:hAnsi="Calibri"/>
          <w:sz w:val="22"/>
          <w:szCs w:val="22"/>
          <w:lang w:eastAsia="pl-PL"/>
        </w:rPr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>
        <w:rFonts w:cs="Calibri" w:ascii="Calibri" w:hAnsi="Calibri"/>
        <w:sz w:val="18"/>
        <w:szCs w:val="18"/>
      </w:rPr>
      <w:t xml:space="preserve">Załącznik nr 3_Formularz cenowy </w:t>
    </w:r>
  </w:p>
  <w:p>
    <w:pPr>
      <w:pStyle w:val="Gwka"/>
      <w:jc w:val="right"/>
      <w:rPr/>
    </w:pPr>
    <w:r>
      <w:rPr>
        <w:rFonts w:cs="Calibri" w:ascii="Calibri" w:hAnsi="Calibri"/>
        <w:sz w:val="18"/>
        <w:szCs w:val="18"/>
      </w:rPr>
      <w:t xml:space="preserve">Nr postępowania </w:t>
    </w:r>
    <w:r>
      <w:rPr>
        <w:rFonts w:cs="Calibri" w:ascii="Calibri" w:hAnsi="Calibri"/>
        <w:bCs/>
        <w:sz w:val="18"/>
        <w:szCs w:val="18"/>
      </w:rPr>
      <w:t>IR.271.2.8.2023</w:t>
    </w:r>
  </w:p>
  <w:p>
    <w:pPr>
      <w:pStyle w:val="Normal"/>
      <w:jc w:val="right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>
        <w:rFonts w:cs="Calibri" w:ascii="Calibri" w:hAnsi="Calibri"/>
        <w:sz w:val="18"/>
        <w:szCs w:val="18"/>
      </w:rPr>
      <w:t xml:space="preserve">Załącznik nr 3_Formularz cenowy </w:t>
    </w:r>
  </w:p>
  <w:p>
    <w:pPr>
      <w:pStyle w:val="Gwka"/>
      <w:jc w:val="right"/>
      <w:rPr/>
    </w:pPr>
    <w:r>
      <w:rPr>
        <w:rFonts w:cs="Calibri" w:ascii="Calibri" w:hAnsi="Calibri"/>
        <w:sz w:val="18"/>
        <w:szCs w:val="18"/>
      </w:rPr>
      <w:t>Nr postępowania IR.271.2.6.2023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u w:val="none"/>
        <w:b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Calibri"/>
      <w:sz w:val="24"/>
      <w:u w:val="non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z w:val="24"/>
      <w:u w:val="none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4"/>
      <w:u w:val="non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  <w:sz w:val="20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sz w:val="24"/>
      <w:u w:val="none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b/>
      <w:sz w:val="24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 w:customStyle="1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ZwykytekstZnak">
    <w:name w:val="Zwykły tekst Znak"/>
    <w:qFormat/>
    <w:rPr>
      <w:rFonts w:ascii="Courier New" w:hAnsi="Courier New" w:eastAsia="Times New Roman" w:cs="Times New Roman"/>
      <w:sz w:val="20"/>
      <w:szCs w:val="20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19z0">
    <w:name w:val="WW8Num19z0"/>
    <w:qFormat/>
    <w:rPr>
      <w:b w:val="false"/>
      <w:bCs w:val="false"/>
    </w:rPr>
  </w:style>
  <w:style w:type="character" w:styleId="WW8Num18z0">
    <w:name w:val="WW8Num18z0"/>
    <w:qFormat/>
    <w:rPr/>
  </w:style>
  <w:style w:type="character" w:styleId="WW8Num17z0">
    <w:name w:val="WW8Num17z0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4z0">
    <w:name w:val="WW8Num14z0"/>
    <w:qFormat/>
    <w:rPr>
      <w:b w:val="false"/>
      <w:bCs w:val="false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11z1">
    <w:name w:val="WW8Num11z1"/>
    <w:qFormat/>
    <w:rPr/>
  </w:style>
  <w:style w:type="character" w:styleId="WW8Num9z4">
    <w:name w:val="WW8Num9z4"/>
    <w:qFormat/>
    <w:rPr>
      <w:rFonts w:cs="Times New Roman"/>
      <w:b/>
    </w:rPr>
  </w:style>
  <w:style w:type="character" w:styleId="WW8Num9z0">
    <w:name w:val="WW8Num9z0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31" w:customStyle="1">
    <w:name w:val="Tekst podstawowy 31"/>
    <w:basedOn w:val="Normal"/>
    <w:qFormat/>
    <w:pPr>
      <w:widowControl w:val="false"/>
      <w:suppressAutoHyphens w:val="false"/>
    </w:pPr>
    <w:rPr>
      <w:b/>
      <w:szCs w:val="20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ny1" w:customStyle="1">
    <w:name w:val="Normalny1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00000A"/>
      <w:kern w:val="0"/>
      <w:sz w:val="24"/>
      <w:szCs w:val="24"/>
      <w:lang w:val="pl-PL" w:eastAsia="zh-CN" w:bidi="hi-IN"/>
    </w:rPr>
  </w:style>
  <w:style w:type="paragraph" w:styleId="DefinitionTerm" w:customStyle="1">
    <w:name w:val="Definition Term"/>
    <w:basedOn w:val="Normalny1"/>
    <w:qFormat/>
    <w:pPr/>
    <w:rPr/>
  </w:style>
  <w:style w:type="paragraph" w:styleId="DefinitionList" w:customStyle="1">
    <w:name w:val="Definition List"/>
    <w:basedOn w:val="Normalny1"/>
    <w:qFormat/>
    <w:pPr>
      <w:ind w:left="360" w:hanging="0"/>
    </w:pPr>
    <w:rPr/>
  </w:style>
  <w:style w:type="paragraph" w:styleId="H1" w:customStyle="1">
    <w:name w:val="H1"/>
    <w:basedOn w:val="Normalny1"/>
    <w:next w:val="Normalny1"/>
    <w:qFormat/>
    <w:pPr>
      <w:keepNext w:val="true"/>
    </w:pPr>
    <w:rPr>
      <w:b/>
      <w:sz w:val="48"/>
    </w:rPr>
  </w:style>
  <w:style w:type="paragraph" w:styleId="H2" w:customStyle="1">
    <w:name w:val="H2"/>
    <w:basedOn w:val="Normalny1"/>
    <w:next w:val="Normalny1"/>
    <w:qFormat/>
    <w:pPr>
      <w:keepNext w:val="true"/>
    </w:pPr>
    <w:rPr>
      <w:b/>
      <w:sz w:val="36"/>
    </w:rPr>
  </w:style>
  <w:style w:type="paragraph" w:styleId="H3" w:customStyle="1">
    <w:name w:val="H3"/>
    <w:basedOn w:val="Normalny1"/>
    <w:next w:val="Normalny1"/>
    <w:qFormat/>
    <w:pPr>
      <w:keepNext w:val="true"/>
    </w:pPr>
    <w:rPr>
      <w:b/>
      <w:sz w:val="28"/>
    </w:rPr>
  </w:style>
  <w:style w:type="paragraph" w:styleId="H4" w:customStyle="1">
    <w:name w:val="H4"/>
    <w:basedOn w:val="Normalny1"/>
    <w:next w:val="Normalny1"/>
    <w:qFormat/>
    <w:pPr>
      <w:keepNext w:val="true"/>
    </w:pPr>
    <w:rPr>
      <w:b/>
    </w:rPr>
  </w:style>
  <w:style w:type="paragraph" w:styleId="H5" w:customStyle="1">
    <w:name w:val="H5"/>
    <w:basedOn w:val="Normalny1"/>
    <w:next w:val="Normalny1"/>
    <w:qFormat/>
    <w:pPr>
      <w:keepNext w:val="true"/>
    </w:pPr>
    <w:rPr>
      <w:b/>
      <w:sz w:val="20"/>
    </w:rPr>
  </w:style>
  <w:style w:type="paragraph" w:styleId="H6" w:customStyle="1">
    <w:name w:val="H6"/>
    <w:basedOn w:val="Normalny1"/>
    <w:next w:val="Normalny1"/>
    <w:qFormat/>
    <w:pPr>
      <w:keepNext w:val="true"/>
    </w:pPr>
    <w:rPr>
      <w:b/>
      <w:sz w:val="16"/>
    </w:rPr>
  </w:style>
  <w:style w:type="paragraph" w:styleId="Address" w:customStyle="1">
    <w:name w:val="Address"/>
    <w:basedOn w:val="Normalny1"/>
    <w:next w:val="Normalny1"/>
    <w:qFormat/>
    <w:pPr/>
    <w:rPr>
      <w:i/>
    </w:rPr>
  </w:style>
  <w:style w:type="paragraph" w:styleId="Blockquote" w:customStyle="1">
    <w:name w:val="Blockquote"/>
    <w:basedOn w:val="Normalny1"/>
    <w:qFormat/>
    <w:pPr>
      <w:ind w:left="360" w:right="360" w:hanging="0"/>
    </w:pPr>
    <w:rPr/>
  </w:style>
  <w:style w:type="paragraph" w:styleId="Preformatted" w:customStyle="1">
    <w:name w:val="Preformatted"/>
    <w:basedOn w:val="Normalny1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-BottomofForm" w:customStyle="1">
    <w:name w:val="z-Bottom of Form"/>
    <w:next w:val="Normalny1"/>
    <w:qFormat/>
    <w:pPr>
      <w:widowControl/>
      <w:pBdr>
        <w:top w:val="double" w:sz="2" w:space="0" w:color="000001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00000A"/>
      <w:kern w:val="0"/>
      <w:sz w:val="16"/>
      <w:szCs w:val="24"/>
      <w:lang w:val="pl-PL" w:eastAsia="zh-CN" w:bidi="hi-IN"/>
    </w:rPr>
  </w:style>
  <w:style w:type="paragraph" w:styleId="Z-TopofForm" w:customStyle="1">
    <w:name w:val="z-Top of Form"/>
    <w:next w:val="Normalny1"/>
    <w:qFormat/>
    <w:pPr>
      <w:widowControl/>
      <w:pBdr>
        <w:bottom w:val="double" w:sz="2" w:space="0" w:color="000001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00000A"/>
      <w:kern w:val="0"/>
      <w:sz w:val="16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Kropki">
    <w:name w:val="Kropki"/>
    <w:basedOn w:val="Normal"/>
    <w:qFormat/>
    <w:pPr>
      <w:suppressAutoHyphens w:val="false"/>
      <w:spacing w:lineRule="auto" w:line="360"/>
      <w:jc w:val="right"/>
    </w:pPr>
    <w:rPr>
      <w:rFonts w:ascii="Arial" w:hAnsi="Arial"/>
      <w:szCs w:val="20"/>
      <w:lang w:eastAsia="pl-PL"/>
    </w:rPr>
  </w:style>
  <w:style w:type="paragraph" w:styleId="Xl26">
    <w:name w:val="xl2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</w:pPr>
    <w:rPr>
      <w:rFonts w:ascii="Tahoma" w:hAnsi="Tahoma" w:cs="Tahoma"/>
    </w:rPr>
  </w:style>
  <w:style w:type="paragraph" w:styleId="Tekstpodstawowy21">
    <w:name w:val="Tekst podstawowy 21"/>
    <w:basedOn w:val="Normal"/>
    <w:qFormat/>
    <w:pPr>
      <w:suppressAutoHyphens w:val="false"/>
      <w:spacing w:lineRule="auto" w:line="480" w:before="0" w:after="120"/>
    </w:pPr>
    <w:rPr>
      <w:sz w:val="20"/>
      <w:szCs w:val="20"/>
    </w:rPr>
  </w:style>
  <w:style w:type="paragraph" w:styleId="Staretgia">
    <w:name w:val="Staretgia"/>
    <w:basedOn w:val="Nagwek1"/>
    <w:qFormat/>
    <w:pPr>
      <w:keepNext w:val="true"/>
      <w:spacing w:lineRule="auto" w:line="360" w:before="240" w:after="120"/>
      <w:ind w:hanging="0"/>
      <w:outlineLvl w:val="9"/>
    </w:pPr>
    <w:rPr>
      <w:rFonts w:ascii="Tahoma" w:hAnsi="Tahoma" w:eastAsia="MS Mincho" w:cs="Tahoma"/>
      <w:b/>
      <w:bCs/>
      <w:color w:val="000000"/>
      <w:sz w:val="22"/>
      <w:szCs w:val="20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10B8-643C-487B-A0F4-9754289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LibreOffice/7.5.4.2$Windows_X86_64 LibreOffice_project/36ccfdc35048b057fd9854c757a8b67ec53977b6</Application>
  <AppVersion>15.0000</AppVersion>
  <Pages>4</Pages>
  <Words>595</Words>
  <Characters>3949</Characters>
  <CharactersWithSpaces>4752</CharactersWithSpaces>
  <Paragraphs>136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Starczyńska</dc:creator>
  <dc:description/>
  <dc:language>pl-PL</dc:language>
  <cp:lastModifiedBy/>
  <dcterms:modified xsi:type="dcterms:W3CDTF">2023-07-17T09:19:17Z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