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14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eastAsia="Tahoma"/>
          <w:b/>
          <w:bCs/>
          <w:color w:val="00000A"/>
          <w:kern w:val="2"/>
          <w:lang w:eastAsia="zh-CN"/>
        </w:rPr>
        <w:t>„Termomodernizacja budynku Domu Kultury w Wolbromiu”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</w:t>
      </w:r>
      <w:r>
        <w:rPr>
          <w:rFonts w:hint="default" w:ascii="Trebuchet MS" w:hAnsi="Trebuchet MS" w:cs="Arial"/>
          <w:lang w:val="pl-PL"/>
        </w:rPr>
        <w:t xml:space="preserve">  </w:t>
      </w:r>
      <w:r>
        <w:rPr>
          <w:rFonts w:ascii="Trebuchet MS" w:hAnsi="Trebuchet MS" w:cs="Arial"/>
        </w:rPr>
        <w:t>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sdt>
      <w:sdtPr>
        <w:id w:val="1863783492"/>
        <w:docPartObj>
          <w:docPartGallery w:val="autotext"/>
        </w:docPartObj>
      </w:sdtPr>
      <w:sdtContent/>
    </w:sdt>
    <w:r>
      <w:rPr>
        <w:lang w:eastAsia="pl-PL"/>
      </w:rPr>
      <w:drawing>
        <wp:inline distT="0" distB="0" distL="0" distR="0">
          <wp:extent cx="5931535" cy="643890"/>
          <wp:effectExtent l="0" t="0" r="1206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153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  <w:rsid w:val="12543C27"/>
    <w:rsid w:val="325050FF"/>
    <w:rsid w:val="629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autoRedefine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autoRedefine/>
    <w:qFormat/>
    <w:uiPriority w:val="0"/>
    <w:pPr>
      <w:ind w:left="708"/>
    </w:pPr>
  </w:style>
  <w:style w:type="character" w:customStyle="1" w:styleId="10">
    <w:name w:val="Akapit z listą Znak"/>
    <w:link w:val="9"/>
    <w:autoRedefine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2766</Characters>
  <Lines>23</Lines>
  <Paragraphs>6</Paragraphs>
  <TotalTime>0</TotalTime>
  <ScaleCrop>false</ScaleCrop>
  <LinksUpToDate>false</LinksUpToDate>
  <CharactersWithSpaces>3220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WPS_1704351421</cp:lastModifiedBy>
  <cp:lastPrinted>2021-02-17T12:34:00Z</cp:lastPrinted>
  <dcterms:modified xsi:type="dcterms:W3CDTF">2024-04-25T10:40:32Z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8C5069EB58FD48F98172969172FEC2DF_12</vt:lpwstr>
  </property>
</Properties>
</file>