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9C779C1" w:rsidR="005B5871" w:rsidRPr="00E054BA" w:rsidRDefault="00E81D74" w:rsidP="00E13EAB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193F03" w:rsidRP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C940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komory </w:t>
            </w:r>
            <w:proofErr w:type="spellStart"/>
            <w:r w:rsidR="00C940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fitotronowej</w:t>
            </w:r>
            <w:proofErr w:type="spellEnd"/>
            <w:r w:rsidR="00C940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– 1 szt.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6870BA4" w:rsidR="005B5871" w:rsidRPr="00E054BA" w:rsidRDefault="005B5871" w:rsidP="005B5871">
            <w:pPr>
              <w:spacing w:before="40" w:after="40"/>
              <w:ind w:left="38" w:firstLine="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  <w:r w:rsidR="00C9409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9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93F0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244FAA80" w14:textId="2496C7EB" w:rsidR="002F5524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7803DF0" w14:textId="77777777" w:rsidR="00C9409A" w:rsidRPr="00E054BA" w:rsidRDefault="00C9409A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8C0FA1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2D2A0FE" w14:textId="681F5432" w:rsidR="00B7608D" w:rsidRDefault="00B7608D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33BA79DF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E227DF" w14:textId="77777777" w:rsidR="00E13EAB" w:rsidRPr="00E054BA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5B72A4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9E28BE" w14:textId="77777777" w:rsidR="00DD6FB6" w:rsidRDefault="00DD6FB6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EE4C70" w14:textId="77777777" w:rsidR="00E41E8B" w:rsidRDefault="00E41E8B" w:rsidP="00E41E8B">
      <w:pPr>
        <w:ind w:left="2552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</w:p>
    <w:p w14:paraId="2B6521E8" w14:textId="77777777" w:rsidR="00E41E8B" w:rsidRDefault="00E41E8B" w:rsidP="00E41E8B">
      <w:pPr>
        <w:ind w:left="2552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308CF057" w:rsidR="00272E3F" w:rsidRDefault="00E41E8B" w:rsidP="00E41E8B">
      <w:pPr>
        <w:ind w:left="2552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AC9D553" w14:textId="77777777" w:rsidR="00AE4D72" w:rsidRPr="00E054BA" w:rsidRDefault="00AE4D72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BAA9F7" w14:textId="77777777" w:rsidR="00E41E8B" w:rsidRPr="00E41E8B" w:rsidRDefault="00E41E8B" w:rsidP="00E41E8B">
      <w:pPr>
        <w:spacing w:before="40" w:after="40" w:line="240" w:lineRule="auto"/>
        <w:ind w:left="3828" w:firstLine="0"/>
        <w:jc w:val="center"/>
        <w:rPr>
          <w:rFonts w:eastAsia="Calibri" w:cs="Arial"/>
          <w:b/>
          <w:color w:val="222A35" w:themeColor="text2" w:themeShade="80"/>
          <w:lang w:eastAsia="pl-PL"/>
        </w:rPr>
      </w:pPr>
      <w:r w:rsidRPr="00E41E8B">
        <w:rPr>
          <w:rFonts w:eastAsia="Calibri" w:cs="Arial"/>
          <w:b/>
          <w:color w:val="222A35" w:themeColor="text2" w:themeShade="80"/>
          <w:lang w:eastAsia="pl-PL"/>
        </w:rPr>
        <w:t xml:space="preserve">Z-ca Kanclerza ds. Inwestycji i Zarządzania Logistycznego </w:t>
      </w:r>
    </w:p>
    <w:p w14:paraId="434269BE" w14:textId="497C0AE4" w:rsidR="00AE4D72" w:rsidRPr="00E41E8B" w:rsidRDefault="00E41E8B" w:rsidP="00E41E8B">
      <w:pPr>
        <w:spacing w:before="40" w:after="40" w:line="240" w:lineRule="auto"/>
        <w:ind w:left="3828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41E8B">
        <w:rPr>
          <w:rFonts w:eastAsia="Calibri" w:cs="Arial"/>
          <w:b/>
          <w:color w:val="222A35" w:themeColor="text2" w:themeShade="80"/>
          <w:lang w:eastAsia="pl-PL"/>
        </w:rPr>
        <w:t>– mgr Agnieszka Maj</w:t>
      </w:r>
    </w:p>
    <w:p w14:paraId="4ADD95BF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399C2C" w14:textId="29ECF4BA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275431D" w14:textId="77777777" w:rsidR="00E41E8B" w:rsidRDefault="00E41E8B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BF036E8" w14:textId="77777777" w:rsidR="00785306" w:rsidRDefault="0078530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6FFC7AC0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C9409A">
        <w:rPr>
          <w:rFonts w:eastAsia="Calibri" w:cs="Arial"/>
          <w:color w:val="222A35" w:themeColor="text2" w:themeShade="80"/>
          <w:szCs w:val="20"/>
          <w:lang w:eastAsia="pl-PL"/>
        </w:rPr>
        <w:t>cze</w:t>
      </w:r>
      <w:r w:rsidR="00CE3ACD">
        <w:rPr>
          <w:rFonts w:eastAsia="Calibri" w:cs="Arial"/>
          <w:color w:val="222A35" w:themeColor="text2" w:themeShade="80"/>
          <w:szCs w:val="20"/>
          <w:lang w:eastAsia="pl-PL"/>
        </w:rPr>
        <w:t>r</w:t>
      </w:r>
      <w:r w:rsidR="00C9409A">
        <w:rPr>
          <w:rFonts w:eastAsia="Calibri" w:cs="Arial"/>
          <w:color w:val="222A35" w:themeColor="text2" w:themeShade="80"/>
          <w:szCs w:val="20"/>
          <w:lang w:eastAsia="pl-PL"/>
        </w:rPr>
        <w:t>wiec</w:t>
      </w:r>
      <w:r w:rsidR="00B73C1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193F03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18814933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0FD1E123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57E7826C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31499D3C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5C83181B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4590BF1D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7CE1F95A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08FF72C2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6134225F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13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2B0F26E3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47792458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3C1E0F0F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43194301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2D5F8B7B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761F5063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2146A0A1" w:rsidR="005975F7" w:rsidRPr="005975F7" w:rsidRDefault="00A7547C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9835AA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66169485"/>
      <w:r>
        <w:br w:type="page"/>
      </w:r>
    </w:p>
    <w:p w14:paraId="22415C31" w14:textId="7D77564E" w:rsidR="00F85C46" w:rsidRPr="00FB1D1B" w:rsidRDefault="00F85C46" w:rsidP="00221DE9">
      <w:pPr>
        <w:pStyle w:val="Nagwek1"/>
      </w:pPr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2B3173EE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</w:t>
      </w:r>
      <w:r w:rsidR="00193F03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Pzp (wariant I)</w:t>
      </w:r>
      <w:r w:rsidR="00264155" w:rsidRPr="005A39C3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3FB6BCB1" w:rsidR="005A39C3" w:rsidRPr="00EE25BC" w:rsidRDefault="00F85C46" w:rsidP="00C24260">
      <w:pPr>
        <w:pStyle w:val="Nagwek3"/>
        <w:numPr>
          <w:ilvl w:val="0"/>
          <w:numId w:val="46"/>
        </w:numPr>
        <w:ind w:left="851" w:hanging="284"/>
        <w:rPr>
          <w:b/>
          <w:lang w:eastAsia="pl-PL"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5A5E2C">
        <w:rPr>
          <w:b/>
          <w:lang w:eastAsia="pl-PL"/>
        </w:rPr>
        <w:t xml:space="preserve">komory </w:t>
      </w:r>
      <w:proofErr w:type="spellStart"/>
      <w:r w:rsidR="005A5E2C">
        <w:rPr>
          <w:b/>
          <w:lang w:eastAsia="pl-PL"/>
        </w:rPr>
        <w:t>fitotronowej</w:t>
      </w:r>
      <w:proofErr w:type="spellEnd"/>
      <w:r w:rsidR="005A5E2C">
        <w:rPr>
          <w:b/>
          <w:lang w:eastAsia="pl-PL"/>
        </w:rPr>
        <w:t xml:space="preserve"> – 1 szt.</w:t>
      </w:r>
      <w:r w:rsidR="00946D2D" w:rsidRPr="00E13EAB">
        <w:rPr>
          <w:b/>
          <w:lang w:eastAsia="pl-PL"/>
        </w:rPr>
        <w:t>”</w:t>
      </w:r>
      <w:bookmarkEnd w:id="6"/>
      <w:r w:rsidR="00E13EAB">
        <w:rPr>
          <w:b/>
          <w:lang w:eastAsia="pl-PL"/>
        </w:rPr>
        <w:t>.</w:t>
      </w:r>
    </w:p>
    <w:p w14:paraId="161D163C" w14:textId="328ACE20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193F03">
        <w:rPr>
          <w:b/>
        </w:rPr>
        <w:t>3</w:t>
      </w:r>
      <w:r w:rsidR="003E6DD1">
        <w:rPr>
          <w:b/>
        </w:rPr>
        <w:t>9</w:t>
      </w:r>
      <w:r w:rsidR="008162AF">
        <w:rPr>
          <w:b/>
        </w:rPr>
        <w:t>.202</w:t>
      </w:r>
      <w:r w:rsidR="00193F03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65CB26F0" w14:textId="77777777" w:rsidR="005F063C" w:rsidRPr="00A70679" w:rsidRDefault="005F063C" w:rsidP="005F063C">
      <w:pPr>
        <w:pStyle w:val="Nagwek3"/>
        <w:numPr>
          <w:ilvl w:val="0"/>
          <w:numId w:val="46"/>
        </w:numPr>
        <w:ind w:left="851" w:hanging="284"/>
      </w:pPr>
      <w:r>
        <w:t>P</w:t>
      </w:r>
      <w:r w:rsidRPr="00A70679">
        <w:t xml:space="preserve">rzedmiot zamówienia jest </w:t>
      </w:r>
      <w:r>
        <w:t>realizowany w ramach projektu pt</w:t>
      </w:r>
      <w:r w:rsidRPr="00304094">
        <w:t xml:space="preserve">.: </w:t>
      </w:r>
      <w:r w:rsidRPr="005F063C">
        <w:rPr>
          <w:b/>
        </w:rPr>
        <w:t>„</w:t>
      </w:r>
      <w:proofErr w:type="spellStart"/>
      <w:r w:rsidRPr="005F063C">
        <w:rPr>
          <w:b/>
        </w:rPr>
        <w:t>jUŚt</w:t>
      </w:r>
      <w:proofErr w:type="spellEnd"/>
      <w:r w:rsidRPr="005F063C">
        <w:rPr>
          <w:b/>
        </w:rPr>
        <w:t xml:space="preserve"> </w:t>
      </w:r>
      <w:proofErr w:type="spellStart"/>
      <w:r w:rsidRPr="005F063C">
        <w:rPr>
          <w:b/>
        </w:rPr>
        <w:t>transition</w:t>
      </w:r>
      <w:proofErr w:type="spellEnd"/>
      <w:r w:rsidRPr="005F063C">
        <w:rPr>
          <w:b/>
        </w:rPr>
        <w:t xml:space="preserve"> - Potencjał Uniwersytetu Śląskiego podstawą Sprawiedliwej Transformacji regionu”.</w:t>
      </w:r>
      <w:r w:rsidRPr="00304094">
        <w:t xml:space="preserve"> 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o dofinansowanie FESL.10.25-IZ.01-0369/23-00.</w:t>
      </w:r>
    </w:p>
    <w:p w14:paraId="40AB1996" w14:textId="1C6752D2" w:rsidR="00F85C46" w:rsidRPr="00AF7FE4" w:rsidRDefault="00F85C46" w:rsidP="00221DE9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616948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1" w:name="_Toc62396889"/>
      <w:bookmarkStart w:id="12" w:name="_Toc66169487"/>
      <w:r w:rsidRPr="00C95D35">
        <w:rPr>
          <w:color w:val="auto"/>
        </w:rPr>
        <w:t>Przedmiot zamówienia.</w:t>
      </w:r>
    </w:p>
    <w:p w14:paraId="4EC162B7" w14:textId="493E6941" w:rsidR="00EE25BC" w:rsidRPr="00455C64" w:rsidRDefault="00EE25BC" w:rsidP="00051C96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3E6DD1">
        <w:rPr>
          <w:rFonts w:eastAsia="Times New Roman" w:cs="Arial"/>
          <w:b/>
          <w:bCs/>
          <w:szCs w:val="20"/>
          <w:lang w:eastAsia="pl-PL"/>
        </w:rPr>
        <w:t xml:space="preserve">komory </w:t>
      </w:r>
      <w:proofErr w:type="spellStart"/>
      <w:r w:rsidR="003E6DD1">
        <w:rPr>
          <w:rFonts w:eastAsia="Times New Roman" w:cs="Arial"/>
          <w:b/>
          <w:bCs/>
          <w:szCs w:val="20"/>
          <w:lang w:eastAsia="pl-PL"/>
        </w:rPr>
        <w:t>fitotronowej</w:t>
      </w:r>
      <w:proofErr w:type="spellEnd"/>
      <w:r>
        <w:rPr>
          <w:rFonts w:eastAsia="Times New Roman" w:cs="Arial"/>
          <w:b/>
          <w:bCs/>
          <w:szCs w:val="20"/>
          <w:lang w:eastAsia="pl-PL"/>
        </w:rPr>
        <w:t xml:space="preserve"> (1 szt.), </w:t>
      </w:r>
      <w:r w:rsidRPr="00B73C1A">
        <w:rPr>
          <w:rFonts w:eastAsia="Times New Roman" w:cs="Arial"/>
          <w:bCs/>
          <w:szCs w:val="20"/>
          <w:lang w:eastAsia="pl-PL"/>
        </w:rPr>
        <w:t>spełniając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E6DD1">
        <w:rPr>
          <w:rFonts w:eastAsia="Times New Roman" w:cs="Arial"/>
          <w:bCs/>
          <w:szCs w:val="20"/>
          <w:lang w:eastAsia="pl-PL"/>
        </w:rPr>
        <w:t>j</w:t>
      </w:r>
      <w:r w:rsidRPr="00B73C1A">
        <w:rPr>
          <w:rFonts w:eastAsia="Times New Roman" w:cs="Arial"/>
          <w:bCs/>
          <w:szCs w:val="20"/>
          <w:lang w:eastAsia="pl-PL"/>
        </w:rPr>
        <w:t xml:space="preserve"> wymagania określone w załączniku nr 2 do</w:t>
      </w:r>
      <w:r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="003E6DD1">
        <w:rPr>
          <w:rFonts w:eastAsia="Times New Roman" w:cs="Arial"/>
          <w:bCs/>
          <w:szCs w:val="20"/>
          <w:lang w:eastAsia="pl-PL"/>
        </w:rPr>
        <w:t>j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3E6DD1">
        <w:rPr>
          <w:rFonts w:eastAsia="Times New Roman" w:cs="Arial"/>
          <w:bCs/>
          <w:szCs w:val="20"/>
          <w:lang w:eastAsia="pl-PL"/>
        </w:rPr>
        <w:t>U</w:t>
      </w:r>
      <w:r>
        <w:rPr>
          <w:rFonts w:eastAsia="Times New Roman" w:cs="Arial"/>
          <w:bCs/>
          <w:szCs w:val="20"/>
          <w:lang w:eastAsia="pl-PL"/>
        </w:rPr>
        <w:t>rządzeni</w:t>
      </w:r>
      <w:r w:rsidR="00DD6FB6">
        <w:rPr>
          <w:rFonts w:eastAsia="Times New Roman" w:cs="Arial"/>
          <w:bCs/>
          <w:szCs w:val="20"/>
          <w:lang w:eastAsia="pl-PL"/>
        </w:rPr>
        <w:t>em</w:t>
      </w:r>
      <w:r>
        <w:rPr>
          <w:rFonts w:eastAsia="Times New Roman" w:cs="Arial"/>
          <w:bCs/>
          <w:szCs w:val="20"/>
          <w:lang w:eastAsia="pl-PL"/>
        </w:rPr>
        <w:t>”</w:t>
      </w:r>
      <w:r w:rsidR="003E6DD1">
        <w:rPr>
          <w:rFonts w:eastAsia="Times New Roman" w:cs="Arial"/>
          <w:bCs/>
          <w:szCs w:val="20"/>
          <w:lang w:eastAsia="pl-PL"/>
        </w:rPr>
        <w:t xml:space="preserve"> lub „Przedmiotem sprzedaży”</w:t>
      </w:r>
      <w:r>
        <w:rPr>
          <w:rFonts w:eastAsia="Times New Roman" w:cs="Arial"/>
          <w:bCs/>
          <w:szCs w:val="20"/>
          <w:lang w:eastAsia="pl-PL"/>
        </w:rPr>
        <w:t>. Oferowan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>
        <w:rPr>
          <w:rFonts w:eastAsia="Times New Roman" w:cs="Arial"/>
          <w:bCs/>
          <w:szCs w:val="20"/>
          <w:lang w:eastAsia="pl-PL"/>
        </w:rPr>
        <w:t xml:space="preserve"> urządzeni</w:t>
      </w:r>
      <w:r w:rsidR="00DD6FB6">
        <w:rPr>
          <w:rFonts w:eastAsia="Times New Roman" w:cs="Arial"/>
          <w:bCs/>
          <w:szCs w:val="20"/>
          <w:lang w:eastAsia="pl-PL"/>
        </w:rPr>
        <w:t>e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>
        <w:rPr>
          <w:rFonts w:eastAsia="Times New Roman" w:cs="Arial"/>
          <w:bCs/>
          <w:szCs w:val="20"/>
          <w:lang w:eastAsia="pl-PL"/>
        </w:rPr>
        <w:t>winn</w:t>
      </w:r>
      <w:r w:rsidR="00DD6FB6">
        <w:rPr>
          <w:rFonts w:eastAsia="Times New Roman" w:cs="Arial"/>
          <w:bCs/>
          <w:szCs w:val="20"/>
          <w:lang w:eastAsia="pl-PL"/>
        </w:rPr>
        <w:t>o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bookmarkStart w:id="13" w:name="_Hlk150164267"/>
      <w:bookmarkStart w:id="14" w:name="_Hlk150164287"/>
      <w:r>
        <w:rPr>
          <w:szCs w:val="20"/>
        </w:rPr>
        <w:t>fabrycznie nowe, nieużywane, pochodzić z bieżącej produkcji (</w:t>
      </w:r>
      <w:r w:rsidR="003E6DD1" w:rsidRPr="00E74F27">
        <w:rPr>
          <w:rFonts w:eastAsia="Times New Roman" w:cs="Times New Roman"/>
          <w:bCs/>
          <w:noProof/>
          <w:szCs w:val="26"/>
        </w:rPr>
        <w:t>nie starsz</w:t>
      </w:r>
      <w:r w:rsidR="003E6DD1">
        <w:rPr>
          <w:rFonts w:eastAsia="Times New Roman" w:cs="Times New Roman"/>
          <w:bCs/>
          <w:noProof/>
          <w:szCs w:val="26"/>
        </w:rPr>
        <w:t>e</w:t>
      </w:r>
      <w:r w:rsidR="003E6DD1" w:rsidRPr="00E74F27">
        <w:rPr>
          <w:rFonts w:eastAsia="Times New Roman" w:cs="Times New Roman"/>
          <w:bCs/>
          <w:noProof/>
          <w:szCs w:val="26"/>
        </w:rPr>
        <w:t xml:space="preserve"> niż </w:t>
      </w:r>
      <w:r w:rsidR="003E6DD1">
        <w:rPr>
          <w:rFonts w:eastAsia="Times New Roman" w:cs="Times New Roman"/>
          <w:bCs/>
          <w:noProof/>
          <w:szCs w:val="26"/>
        </w:rPr>
        <w:t xml:space="preserve">z </w:t>
      </w:r>
      <w:r w:rsidR="003E6DD1" w:rsidRPr="00E74F27">
        <w:rPr>
          <w:rFonts w:eastAsia="Times New Roman" w:cs="Times New Roman"/>
          <w:bCs/>
          <w:noProof/>
          <w:szCs w:val="26"/>
        </w:rPr>
        <w:t>2023</w:t>
      </w:r>
      <w:r w:rsidR="003E6DD1">
        <w:rPr>
          <w:rFonts w:eastAsia="Times New Roman" w:cs="Times New Roman"/>
          <w:bCs/>
          <w:noProof/>
          <w:szCs w:val="26"/>
        </w:rPr>
        <w:t xml:space="preserve"> roku</w:t>
      </w:r>
      <w:r>
        <w:rPr>
          <w:szCs w:val="20"/>
        </w:rPr>
        <w:t>)</w:t>
      </w:r>
      <w:r w:rsidR="003E6DD1">
        <w:rPr>
          <w:szCs w:val="20"/>
        </w:rPr>
        <w:t xml:space="preserve"> </w:t>
      </w:r>
      <w:r w:rsidR="000E0228">
        <w:rPr>
          <w:szCs w:val="20"/>
        </w:rPr>
        <w:t xml:space="preserve">oraz </w:t>
      </w:r>
      <w:r w:rsidR="00DD6FB6">
        <w:rPr>
          <w:szCs w:val="20"/>
        </w:rPr>
        <w:t xml:space="preserve">posiadać </w:t>
      </w:r>
      <w:r>
        <w:rPr>
          <w:szCs w:val="20"/>
        </w:rPr>
        <w:t xml:space="preserve">stosowne certyfikaty dopuszczające </w:t>
      </w:r>
      <w:r w:rsidR="00010F57">
        <w:rPr>
          <w:szCs w:val="20"/>
        </w:rPr>
        <w:t>je</w:t>
      </w:r>
      <w:r w:rsidR="00D9469F">
        <w:rPr>
          <w:szCs w:val="20"/>
        </w:rPr>
        <w:t xml:space="preserve"> </w:t>
      </w:r>
      <w:r>
        <w:rPr>
          <w:szCs w:val="20"/>
        </w:rPr>
        <w:t>do sprzedaży i</w:t>
      </w:r>
      <w:r w:rsidR="00AE6D98">
        <w:rPr>
          <w:szCs w:val="20"/>
        </w:rPr>
        <w:t> </w:t>
      </w:r>
      <w:r>
        <w:rPr>
          <w:szCs w:val="20"/>
        </w:rPr>
        <w:t>użytkowania na terenie RP</w:t>
      </w:r>
      <w:bookmarkEnd w:id="13"/>
      <w:r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>
        <w:rPr>
          <w:rFonts w:eastAsia="Times New Roman" w:cs="Arial"/>
          <w:bCs/>
          <w:szCs w:val="20"/>
          <w:lang w:eastAsia="pl-PL"/>
        </w:rPr>
        <w:t xml:space="preserve">ć bezpłatny serwis gwarancyjny </w:t>
      </w:r>
      <w:r w:rsidR="003E6DD1">
        <w:rPr>
          <w:rFonts w:eastAsia="Times New Roman" w:cs="Arial"/>
          <w:bCs/>
          <w:szCs w:val="20"/>
          <w:lang w:eastAsia="pl-PL"/>
        </w:rPr>
        <w:lastRenderedPageBreak/>
        <w:t>U</w:t>
      </w:r>
      <w:r>
        <w:rPr>
          <w:rFonts w:eastAsia="Times New Roman" w:cs="Arial"/>
          <w:bCs/>
          <w:szCs w:val="20"/>
          <w:lang w:eastAsia="pl-PL"/>
        </w:rPr>
        <w:t>rządze</w:t>
      </w:r>
      <w:bookmarkEnd w:id="14"/>
      <w:r w:rsidR="00DD6FB6">
        <w:rPr>
          <w:rFonts w:eastAsia="Times New Roman" w:cs="Arial"/>
          <w:bCs/>
          <w:szCs w:val="20"/>
          <w:lang w:eastAsia="pl-PL"/>
        </w:rPr>
        <w:t>nia</w:t>
      </w:r>
      <w:r w:rsidR="003E6DD1">
        <w:rPr>
          <w:rFonts w:eastAsia="Times New Roman" w:cs="Arial"/>
          <w:bCs/>
          <w:szCs w:val="20"/>
          <w:lang w:eastAsia="pl-PL"/>
        </w:rPr>
        <w:t xml:space="preserve">, w ramach którego zapewnione będzie </w:t>
      </w:r>
      <w:r w:rsidR="003E6DD1" w:rsidRPr="00833016">
        <w:rPr>
          <w:szCs w:val="20"/>
        </w:rPr>
        <w:t>zdalne monitorowani</w:t>
      </w:r>
      <w:r w:rsidR="003E6DD1">
        <w:rPr>
          <w:szCs w:val="20"/>
        </w:rPr>
        <w:t>e</w:t>
      </w:r>
      <w:r w:rsidR="003E6DD1" w:rsidRPr="00833016">
        <w:rPr>
          <w:szCs w:val="20"/>
        </w:rPr>
        <w:t xml:space="preserve"> warunków pracy </w:t>
      </w:r>
      <w:r w:rsidR="003E6DD1">
        <w:rPr>
          <w:szCs w:val="20"/>
        </w:rPr>
        <w:t>U</w:t>
      </w:r>
      <w:r w:rsidR="003E6DD1" w:rsidRPr="00833016">
        <w:rPr>
          <w:szCs w:val="20"/>
        </w:rPr>
        <w:t>rządzenia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728303BB" w14:textId="01686CBA" w:rsidR="00314752" w:rsidRPr="00314752" w:rsidRDefault="00EE25BC" w:rsidP="00051C96">
      <w:pPr>
        <w:numPr>
          <w:ilvl w:val="0"/>
          <w:numId w:val="10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314752">
        <w:rPr>
          <w:rFonts w:eastAsia="Times New Roman" w:cs="Arial"/>
          <w:b/>
          <w:bCs/>
          <w:szCs w:val="20"/>
          <w:lang w:eastAsia="pl-PL"/>
        </w:rPr>
        <w:t>Zakres zamówienia obejmuje:</w:t>
      </w:r>
      <w:r w:rsidRPr="00314752">
        <w:rPr>
          <w:rFonts w:eastAsia="Times New Roman" w:cs="Arial"/>
          <w:bCs/>
          <w:szCs w:val="20"/>
          <w:lang w:eastAsia="pl-PL"/>
        </w:rPr>
        <w:t xml:space="preserve"> zakup urządzenia </w:t>
      </w:r>
      <w:r w:rsidRPr="00314752">
        <w:rPr>
          <w:bCs/>
          <w:szCs w:val="20"/>
        </w:rPr>
        <w:t xml:space="preserve">wraz z transportem, 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>rozładunkiem i wniesieniem do pomieszczeń Zamawiającego, a także instalację</w:t>
      </w:r>
      <w:r w:rsidR="00375402">
        <w:rPr>
          <w:rFonts w:eastAsia="Times New Roman" w:cs="Times New Roman"/>
          <w:bCs/>
          <w:szCs w:val="26"/>
          <w:lang w:eastAsia="pl-PL"/>
        </w:rPr>
        <w:t xml:space="preserve"> i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 uruchomienie </w:t>
      </w:r>
      <w:r w:rsidR="00375402">
        <w:rPr>
          <w:rFonts w:eastAsia="Times New Roman" w:cs="Times New Roman"/>
          <w:bCs/>
          <w:szCs w:val="26"/>
          <w:lang w:eastAsia="pl-PL"/>
        </w:rPr>
        <w:t>U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rządzenia w dniu dostarczenia </w:t>
      </w:r>
      <w:r w:rsidR="00375402">
        <w:rPr>
          <w:rFonts w:eastAsia="Times New Roman" w:cs="Times New Roman"/>
          <w:bCs/>
          <w:szCs w:val="26"/>
          <w:lang w:eastAsia="pl-PL"/>
        </w:rPr>
        <w:t>U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rządzenia </w:t>
      </w:r>
      <w:r w:rsidR="00375402">
        <w:rPr>
          <w:rFonts w:eastAsia="Times New Roman" w:cs="Times New Roman"/>
          <w:bCs/>
          <w:szCs w:val="26"/>
          <w:lang w:eastAsia="pl-PL"/>
        </w:rPr>
        <w:t>do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 Zamawiającego oraz min</w:t>
      </w:r>
      <w:r w:rsidR="00375402">
        <w:rPr>
          <w:rFonts w:eastAsia="Times New Roman" w:cs="Times New Roman"/>
          <w:bCs/>
          <w:szCs w:val="26"/>
          <w:lang w:eastAsia="pl-PL"/>
        </w:rPr>
        <w:t>imum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 jednodniowe szkolenie dla min</w:t>
      </w:r>
      <w:r w:rsidR="00375402">
        <w:rPr>
          <w:rFonts w:eastAsia="Times New Roman" w:cs="Times New Roman"/>
          <w:bCs/>
          <w:szCs w:val="26"/>
          <w:lang w:eastAsia="pl-PL"/>
        </w:rPr>
        <w:t>imum</w:t>
      </w:r>
      <w:r w:rsidR="00375402" w:rsidRPr="00E74F27">
        <w:rPr>
          <w:rFonts w:eastAsia="Times New Roman" w:cs="Times New Roman"/>
          <w:bCs/>
          <w:szCs w:val="26"/>
          <w:lang w:eastAsia="pl-PL"/>
        </w:rPr>
        <w:t xml:space="preserve"> 5 osób po instalacji i uruchomieniu</w:t>
      </w:r>
      <w:r w:rsidR="00412C7D">
        <w:rPr>
          <w:bCs/>
          <w:szCs w:val="20"/>
        </w:rPr>
        <w:t>.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6B165A17" w:rsidR="00AE4D72" w:rsidRDefault="00375402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 w:rsidRPr="00375402">
        <w:rPr>
          <w:rFonts w:cs="Arial"/>
          <w:bCs/>
          <w:szCs w:val="20"/>
          <w:lang w:eastAsia="pl-PL"/>
        </w:rPr>
        <w:t>42123000-7</w:t>
      </w:r>
      <w:r>
        <w:rPr>
          <w:rFonts w:cs="Arial"/>
          <w:bCs/>
          <w:szCs w:val="20"/>
          <w:lang w:eastAsia="pl-PL"/>
        </w:rPr>
        <w:t xml:space="preserve"> – sprężarki.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EB1AC4">
      <w:pPr>
        <w:pStyle w:val="Nagwek4"/>
        <w:numPr>
          <w:ilvl w:val="0"/>
          <w:numId w:val="60"/>
        </w:numPr>
        <w:spacing w:line="324" w:lineRule="auto"/>
        <w:ind w:left="1134" w:hanging="283"/>
        <w:rPr>
          <w:lang w:val="pl-PL"/>
        </w:rPr>
      </w:pPr>
      <w:bookmarkStart w:id="15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7478430" w:rsidR="00C354C4" w:rsidRPr="00537362" w:rsidRDefault="00C354C4" w:rsidP="00E33480">
      <w:pPr>
        <w:pStyle w:val="Nagwek4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</w:t>
      </w:r>
      <w:r w:rsidR="00E35188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>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5"/>
    <w:p w14:paraId="26B1031D" w14:textId="019A8F0C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 xml:space="preserve">oferowanego </w:t>
      </w:r>
      <w:r w:rsidR="005F063C">
        <w:rPr>
          <w:rFonts w:eastAsia="Calibri"/>
          <w:lang w:val="pl-PL"/>
        </w:rPr>
        <w:t>urządzenia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oferty.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48392651" w14:textId="77777777" w:rsidR="004171C7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 xml:space="preserve">Zamawiający </w:t>
      </w:r>
      <w:r w:rsidR="00DD6FB6">
        <w:rPr>
          <w:rFonts w:eastAsia="Calibri"/>
        </w:rPr>
        <w:t xml:space="preserve">nie </w:t>
      </w:r>
      <w:r w:rsidRPr="00C95D35">
        <w:rPr>
          <w:rFonts w:eastAsia="Calibri"/>
        </w:rPr>
        <w:t>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DD6FB6">
        <w:rPr>
          <w:rFonts w:eastAsia="Calibri"/>
        </w:rPr>
        <w:t>.</w:t>
      </w:r>
      <w:r w:rsidR="004171C7">
        <w:rPr>
          <w:rFonts w:eastAsia="Calibri"/>
        </w:rPr>
        <w:t xml:space="preserve"> </w:t>
      </w:r>
    </w:p>
    <w:p w14:paraId="6E76E120" w14:textId="06FF8F78" w:rsidR="00965221" w:rsidRDefault="004171C7" w:rsidP="004171C7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>
        <w:rPr>
          <w:rFonts w:eastAsia="Calibri"/>
        </w:rPr>
        <w:t>Uzasadnienie braku podziału na części: przedmiotem zamówienia jest dostawa 1 szt. urządzenia, w związku z czym przedmiot zamówienia jest niepodzielny.</w:t>
      </w:r>
      <w:r w:rsidR="00375402">
        <w:rPr>
          <w:rFonts w:eastAsia="Calibri"/>
        </w:rPr>
        <w:t xml:space="preserve"> Ponadto, zamówienie stanowi część większego zamówienia udzielanego w częściach.</w:t>
      </w:r>
    </w:p>
    <w:p w14:paraId="152F9F3A" w14:textId="77777777" w:rsidR="009835AA" w:rsidRPr="009835AA" w:rsidRDefault="009835AA" w:rsidP="009835AA">
      <w:pPr>
        <w:pStyle w:val="Tekstpodstawowy"/>
        <w:rPr>
          <w:lang w:val="pl-PL" w:eastAsia="x-none"/>
        </w:rPr>
      </w:pP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lastRenderedPageBreak/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062C7891" w14:textId="1D5BF648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 xml:space="preserve">Termin realizacji zamówienia: </w:t>
      </w:r>
      <w:r w:rsidR="00DF48EC">
        <w:rPr>
          <w:b w:val="0"/>
          <w:color w:val="auto"/>
        </w:rPr>
        <w:t xml:space="preserve"> </w:t>
      </w:r>
      <w:r w:rsidR="005E2F99" w:rsidRPr="004171C7">
        <w:rPr>
          <w:b w:val="0"/>
          <w:color w:val="auto"/>
        </w:rPr>
        <w:t xml:space="preserve">do </w:t>
      </w:r>
      <w:r w:rsidR="00375402">
        <w:rPr>
          <w:b w:val="0"/>
          <w:color w:val="auto"/>
        </w:rPr>
        <w:t>16</w:t>
      </w:r>
      <w:r w:rsidR="004171C7" w:rsidRPr="004171C7">
        <w:rPr>
          <w:b w:val="0"/>
          <w:color w:val="auto"/>
        </w:rPr>
        <w:t xml:space="preserve"> tygodni</w:t>
      </w:r>
      <w:r w:rsid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bookmarkStart w:id="16" w:name="_Hlk168659555"/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bookmarkEnd w:id="16"/>
    <w:p w14:paraId="0DB757B9" w14:textId="3E531AB5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płatności. </w:t>
      </w:r>
    </w:p>
    <w:p w14:paraId="7A6EC50F" w14:textId="77777777" w:rsidR="00DF48EC" w:rsidRDefault="00C354C4" w:rsidP="006108E1">
      <w:pPr>
        <w:pStyle w:val="Nagwek3"/>
        <w:keepNext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198338FD" w14:textId="70AD078D" w:rsidR="00375402" w:rsidRPr="003E30B6" w:rsidRDefault="00314752" w:rsidP="00375402">
      <w:pPr>
        <w:pStyle w:val="Akapitzlist"/>
        <w:ind w:left="851" w:firstLine="0"/>
        <w:rPr>
          <w:rFonts w:ascii="Gill Sans MT" w:hAnsi="Gill Sans MT"/>
          <w:bCs/>
          <w:color w:val="000000" w:themeColor="text1"/>
        </w:rPr>
      </w:pPr>
      <w:bookmarkStart w:id="17" w:name="_Hlk150165303"/>
      <w:r w:rsidRPr="00314752">
        <w:t xml:space="preserve">Uniwersytet Śląski w Katowicach, </w:t>
      </w:r>
      <w:bookmarkEnd w:id="17"/>
      <w:r w:rsidR="00375402" w:rsidRPr="00375402">
        <w:rPr>
          <w:rFonts w:eastAsia="Times New Roman" w:cs="Times New Roman"/>
          <w:bCs/>
          <w:szCs w:val="26"/>
          <w:lang w:eastAsia="x-none"/>
        </w:rPr>
        <w:t>Instytut Biologii, Biotechnologii i Ochrony Środowiska UŚ, ul. Jagiellońska 28, 40-032, Katowice;</w:t>
      </w:r>
    </w:p>
    <w:p w14:paraId="29733E5F" w14:textId="2360E2A0" w:rsidR="00314752" w:rsidRDefault="00C354C4" w:rsidP="00DD6FB6">
      <w:pPr>
        <w:pStyle w:val="Nagwek3"/>
        <w:ind w:left="851" w:hanging="284"/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</w:t>
      </w:r>
      <w:r w:rsidR="00314752">
        <w:t>e</w:t>
      </w:r>
      <w:r w:rsidRPr="00100A79">
        <w:t xml:space="preserve"> </w:t>
      </w:r>
      <w:r w:rsidR="00314752">
        <w:t>urządzeni</w:t>
      </w:r>
      <w:r w:rsidR="005F063C">
        <w:t>e</w:t>
      </w:r>
      <w:r w:rsidRPr="00100A79">
        <w:t xml:space="preserve"> wynosi: </w:t>
      </w:r>
      <w:r w:rsidR="00314752" w:rsidRPr="00314752">
        <w:t xml:space="preserve"> </w:t>
      </w:r>
      <w:r w:rsidR="00314752" w:rsidRPr="00DD6FB6">
        <w:rPr>
          <w:b/>
        </w:rPr>
        <w:t>12 miesięcy</w:t>
      </w:r>
      <w:r w:rsidR="00550EB7">
        <w:t>.</w:t>
      </w:r>
    </w:p>
    <w:p w14:paraId="7DA02A79" w14:textId="5ACC4143" w:rsidR="00375402" w:rsidRPr="00F35D5B" w:rsidRDefault="00375402" w:rsidP="00375402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 xml:space="preserve">Wykonawca może </w:t>
      </w:r>
      <w:r>
        <w:rPr>
          <w:rFonts w:cs="Arial"/>
          <w:bCs/>
          <w:i/>
          <w:szCs w:val="20"/>
          <w:lang w:eastAsia="pl-PL"/>
        </w:rPr>
        <w:t>wydłużyć okres gwarancji</w:t>
      </w:r>
      <w:r w:rsidRPr="00F35D5B">
        <w:rPr>
          <w:rFonts w:cs="Arial"/>
          <w:bCs/>
          <w:i/>
          <w:szCs w:val="20"/>
          <w:lang w:eastAsia="pl-PL"/>
        </w:rPr>
        <w:t xml:space="preserve"> w stosunku do wymaganego </w:t>
      </w:r>
      <w:r>
        <w:rPr>
          <w:rFonts w:cs="Arial"/>
          <w:bCs/>
          <w:i/>
          <w:szCs w:val="20"/>
          <w:lang w:eastAsia="pl-PL"/>
        </w:rPr>
        <w:t>minimalnego okresu</w:t>
      </w:r>
      <w:r w:rsidRPr="00F35D5B">
        <w:rPr>
          <w:rFonts w:cs="Arial"/>
          <w:bCs/>
          <w:i/>
          <w:szCs w:val="20"/>
          <w:lang w:eastAsia="pl-PL"/>
        </w:rPr>
        <w:t xml:space="preserve"> wskazanego powyżej. Oferta przewidująca </w:t>
      </w:r>
      <w:r>
        <w:rPr>
          <w:rFonts w:cs="Arial"/>
          <w:bCs/>
          <w:i/>
          <w:szCs w:val="20"/>
          <w:lang w:eastAsia="pl-PL"/>
        </w:rPr>
        <w:t>wydłużenie okresu gwarancji</w:t>
      </w:r>
      <w:r w:rsidRPr="00F35D5B">
        <w:rPr>
          <w:rFonts w:cs="Arial"/>
          <w:bCs/>
          <w:i/>
          <w:szCs w:val="20"/>
          <w:lang w:eastAsia="pl-PL"/>
        </w:rPr>
        <w:t xml:space="preserve"> otrzyma punkty w ramach oceny ofert z zastosowaniem kryterium wyboru oferty najkorzystniejszej.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klauzuli zastrzeżonej w rozumieniu art. 94 ustawy Pzp;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Informacja o obowiązku osobistego wykonania przez wykonawcę kluczowych zadań.</w:t>
      </w:r>
    </w:p>
    <w:p w14:paraId="669B4CF2" w14:textId="5BB156E1" w:rsidR="00C354C4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7C285196" w14:textId="77777777" w:rsidR="00314752" w:rsidRPr="00314752" w:rsidRDefault="00314752" w:rsidP="00314752">
      <w:pPr>
        <w:pStyle w:val="Nagwek2"/>
        <w:ind w:left="567" w:hanging="283"/>
        <w:rPr>
          <w:rFonts w:eastAsia="Calibri"/>
          <w:color w:val="auto"/>
        </w:rPr>
      </w:pPr>
      <w:r w:rsidRPr="00314752">
        <w:rPr>
          <w:rFonts w:eastAsia="Calibri"/>
          <w:color w:val="auto"/>
        </w:rPr>
        <w:t>Podwykonawcy.</w:t>
      </w:r>
    </w:p>
    <w:p w14:paraId="31CEDC4E" w14:textId="77777777" w:rsidR="00314752" w:rsidRDefault="00314752" w:rsidP="003E6DD1">
      <w:pPr>
        <w:pStyle w:val="Nagwek3"/>
        <w:numPr>
          <w:ilvl w:val="0"/>
          <w:numId w:val="62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67E67D11" w14:textId="77777777" w:rsidR="00314752" w:rsidRDefault="00314752" w:rsidP="00314752">
      <w:pPr>
        <w:pStyle w:val="Nagwek3"/>
        <w:numPr>
          <w:ilvl w:val="0"/>
          <w:numId w:val="13"/>
        </w:numPr>
        <w:ind w:left="851" w:hanging="305"/>
      </w:pPr>
      <w:r>
        <w:t>Zamawiający nie zastrzega obowiązku osobistego wykonania przez wykonawcę kluczowych części zamówienia;</w:t>
      </w:r>
    </w:p>
    <w:p w14:paraId="1058E220" w14:textId="77777777" w:rsidR="00314752" w:rsidRPr="00DA216F" w:rsidRDefault="00314752" w:rsidP="00314752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63B2A81D" w14:textId="77777777" w:rsidR="005975F7" w:rsidRDefault="005975F7" w:rsidP="00AE6D98">
      <w:pPr>
        <w:pStyle w:val="Nagwek1"/>
      </w:pPr>
      <w:r>
        <w:lastRenderedPageBreak/>
        <w:t>Przedmiotowe środki dowodowe.</w:t>
      </w:r>
      <w:bookmarkEnd w:id="11"/>
      <w:bookmarkEnd w:id="12"/>
    </w:p>
    <w:p w14:paraId="1532C7EB" w14:textId="77777777" w:rsidR="002C3644" w:rsidRPr="002C3644" w:rsidRDefault="002C3644" w:rsidP="00AE6D98">
      <w:pPr>
        <w:pStyle w:val="Nagwek2"/>
        <w:numPr>
          <w:ilvl w:val="0"/>
          <w:numId w:val="56"/>
        </w:numPr>
      </w:pPr>
      <w:bookmarkStart w:id="18" w:name="_Toc375581634"/>
      <w:bookmarkStart w:id="19" w:name="_Toc375581816"/>
      <w:bookmarkStart w:id="20" w:name="_Toc375582133"/>
      <w:bookmarkStart w:id="21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AE6D98">
      <w:pPr>
        <w:keepNext/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331"/>
        <w:gridCol w:w="3644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AE6D98">
            <w:pPr>
              <w:keepNext/>
              <w:keepLines/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401B5B4F" w14:textId="7F4E1DAE" w:rsidR="00C354C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3B3FBD">
              <w:rPr>
                <w:b w:val="0"/>
                <w:sz w:val="18"/>
                <w:szCs w:val="18"/>
              </w:rPr>
              <w:t>urządzenia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 xml:space="preserve">ze wskazaniem wszystkich parametrów technicznych,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3B3FBD">
              <w:rPr>
                <w:b w:val="0"/>
                <w:sz w:val="18"/>
                <w:szCs w:val="18"/>
              </w:rPr>
              <w:t>urządzenia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 do SWZ).</w:t>
            </w:r>
          </w:p>
          <w:p w14:paraId="522F8729" w14:textId="4836126D" w:rsidR="002C3644" w:rsidRPr="007C0EC6" w:rsidRDefault="00C354C4" w:rsidP="00AE6D98">
            <w:pPr>
              <w:keepNext/>
              <w:keepLines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046116B3" w14:textId="18AF8525" w:rsidR="002C3644" w:rsidRP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77777777" w:rsidR="002C3644" w:rsidRPr="002C3644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221DE9">
      <w:pPr>
        <w:pStyle w:val="Nagwek1"/>
      </w:pPr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8"/>
      <w:bookmarkEnd w:id="19"/>
      <w:bookmarkEnd w:id="20"/>
      <w:bookmarkEnd w:id="21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2D4280BC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E6847">
        <w:rPr>
          <w:rFonts w:eastAsia="Calibri"/>
        </w:rPr>
        <w:t xml:space="preserve">t.j. </w:t>
      </w:r>
      <w:r>
        <w:rPr>
          <w:rFonts w:eastAsia="Calibri"/>
        </w:rPr>
        <w:t>Dz. U. z 202</w:t>
      </w:r>
      <w:r w:rsidR="00EB17FB">
        <w:rPr>
          <w:rFonts w:eastAsia="Calibri"/>
        </w:rPr>
        <w:t>4</w:t>
      </w:r>
      <w:r>
        <w:rPr>
          <w:rFonts w:eastAsia="Calibri"/>
        </w:rPr>
        <w:t xml:space="preserve"> r. poz. </w:t>
      </w:r>
      <w:r w:rsidR="00EB17FB">
        <w:rPr>
          <w:rFonts w:eastAsia="Calibri"/>
        </w:rPr>
        <w:t>507</w:t>
      </w:r>
      <w:r>
        <w:rPr>
          <w:rFonts w:eastAsia="Calibri"/>
        </w:rPr>
        <w:t>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EB1AC4">
      <w:pPr>
        <w:pStyle w:val="Nagwek3"/>
        <w:numPr>
          <w:ilvl w:val="0"/>
          <w:numId w:val="59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7634C132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</w:t>
      </w:r>
      <w:r w:rsidR="00BE6847">
        <w:t>3</w:t>
      </w:r>
      <w:r>
        <w:t xml:space="preserve"> r. poz. </w:t>
      </w:r>
      <w:r w:rsidR="00BE6847">
        <w:t xml:space="preserve">1124 z </w:t>
      </w:r>
      <w:proofErr w:type="spellStart"/>
      <w:r w:rsidR="00BE6847">
        <w:t>późn</w:t>
      </w:r>
      <w:proofErr w:type="spellEnd"/>
      <w:r w:rsidR="00BE6847">
        <w:t>. zm.</w:t>
      </w:r>
      <w:r>
        <w:t>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7E509EEB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>Dz. U. z 2023r. poz. 120 z</w:t>
      </w:r>
      <w:r w:rsidR="001579CF">
        <w:t xml:space="preserve"> </w:t>
      </w:r>
      <w:proofErr w:type="spellStart"/>
      <w:r w:rsidR="001579CF">
        <w:t>późn</w:t>
      </w:r>
      <w:proofErr w:type="spellEnd"/>
      <w:r w:rsidR="001579CF">
        <w:t xml:space="preserve">. </w:t>
      </w:r>
      <w:r w:rsidR="00DF48EC">
        <w:t>zm</w:t>
      </w:r>
      <w:r w:rsidR="001579CF">
        <w:t>.</w:t>
      </w:r>
      <w:r>
        <w:t xml:space="preserve">) jest podmiot wymieniony w wykazach określonych w rozporządzeniu 765/2006 i rozporządzeniu </w:t>
      </w:r>
      <w:r>
        <w:lastRenderedPageBreak/>
        <w:t>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221DE9">
      <w:pPr>
        <w:pStyle w:val="Nagwek1"/>
      </w:pPr>
      <w:bookmarkStart w:id="22" w:name="_Toc66169489"/>
      <w:r>
        <w:t>Kwalifikacja podmiotowa – warunki udziału w postępowaniu.</w:t>
      </w:r>
      <w:bookmarkEnd w:id="22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221DE9">
      <w:pPr>
        <w:pStyle w:val="Nagwek1"/>
        <w:rPr>
          <w:noProof/>
        </w:rPr>
      </w:pPr>
      <w:bookmarkStart w:id="23" w:name="_Toc66169490"/>
      <w:r>
        <w:rPr>
          <w:noProof/>
        </w:rPr>
        <w:t>Oświadczenie wstępne, podmiotowe środki dowodowe oraz inne dokumenty.</w:t>
      </w:r>
      <w:bookmarkEnd w:id="23"/>
    </w:p>
    <w:p w14:paraId="22CBC4F0" w14:textId="02103DDA" w:rsidR="00F85C46" w:rsidRDefault="00B376D2" w:rsidP="00D43F9F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579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221DE9">
      <w:pPr>
        <w:pStyle w:val="Nagwek1"/>
      </w:pPr>
      <w:bookmarkStart w:id="24" w:name="_Toc66169491"/>
      <w:r w:rsidRPr="00E054BA">
        <w:t>Wymagania dotyczące wadium.</w:t>
      </w:r>
      <w:bookmarkStart w:id="25" w:name="OLE_LINK1"/>
      <w:bookmarkEnd w:id="24"/>
      <w:r w:rsidRPr="00E054BA">
        <w:t xml:space="preserve"> </w:t>
      </w:r>
    </w:p>
    <w:p w14:paraId="5BEC372B" w14:textId="392CF987" w:rsidR="002C3644" w:rsidRDefault="00125C88" w:rsidP="00125C88">
      <w:pPr>
        <w:ind w:left="0" w:firstLine="0"/>
        <w:rPr>
          <w:color w:val="000000" w:themeColor="text1"/>
        </w:rPr>
      </w:pPr>
      <w:bookmarkStart w:id="26" w:name="_Toc66169492"/>
      <w:bookmarkEnd w:id="25"/>
      <w:r>
        <w:rPr>
          <w:color w:val="000000" w:themeColor="text1"/>
        </w:rPr>
        <w:t>Zamawiający nie wymaga wniesienia wadium w niniejszym postępowaniu.</w:t>
      </w:r>
    </w:p>
    <w:p w14:paraId="0D6D7E1F" w14:textId="77777777" w:rsidR="001579CF" w:rsidRPr="002C3644" w:rsidRDefault="001579CF" w:rsidP="00125C88">
      <w:pPr>
        <w:ind w:left="0" w:firstLine="0"/>
        <w:rPr>
          <w:color w:val="000000" w:themeColor="text1"/>
        </w:rPr>
      </w:pPr>
    </w:p>
    <w:p w14:paraId="4043A489" w14:textId="30ABA657" w:rsidR="00F85C46" w:rsidRPr="00E054BA" w:rsidRDefault="004B4CE9" w:rsidP="00221DE9">
      <w:pPr>
        <w:pStyle w:val="Nagwek1"/>
      </w:pPr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6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</w:t>
      </w:r>
      <w:r w:rsidRPr="000F1B1F">
        <w:rPr>
          <w:rFonts w:eastAsia="Calibri"/>
        </w:rPr>
        <w:lastRenderedPageBreak/>
        <w:t xml:space="preserve">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70F9C24C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1579CF" w:rsidRPr="000F1B1F">
        <w:t>mgr Aneta Szturc-Krawczyk</w:t>
      </w:r>
      <w:r w:rsidR="001579CF">
        <w:t>,</w:t>
      </w:r>
      <w:r w:rsidR="001579CF" w:rsidRPr="000F1B1F">
        <w:t xml:space="preserve">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lastRenderedPageBreak/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A7547C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D43F9F">
      <w:pPr>
        <w:pStyle w:val="Nagwek3"/>
        <w:numPr>
          <w:ilvl w:val="0"/>
          <w:numId w:val="22"/>
        </w:numPr>
        <w:ind w:left="851" w:hanging="284"/>
      </w:pPr>
      <w:bookmarkStart w:id="27" w:name="_wp2umuqo1p7z" w:colFirst="0" w:colLast="0"/>
      <w:bookmarkEnd w:id="27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221DE9">
      <w:pPr>
        <w:pStyle w:val="Nagwek1"/>
      </w:pPr>
      <w:bookmarkStart w:id="28" w:name="_Toc66169493"/>
      <w:r>
        <w:t>Opis sposobu przygotowania ofert.</w:t>
      </w:r>
      <w:bookmarkEnd w:id="28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02D72A1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</w:t>
      </w:r>
      <w:r>
        <w:t>postępowani</w:t>
      </w:r>
      <w:r w:rsidR="00DD6FB6">
        <w:t>u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74F731C2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>godnie z treścią formularza oferty, stanowiącego załącznik nr 1A do</w:t>
      </w:r>
      <w:r w:rsidR="007F2E84">
        <w:t> </w:t>
      </w:r>
      <w:r w:rsidR="00EE444D" w:rsidRPr="00EE444D">
        <w:t xml:space="preserve">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</w:t>
      </w:r>
      <w:r w:rsidR="003A658B">
        <w:t>urz</w:t>
      </w:r>
      <w:r w:rsidR="003506EF">
        <w:t>ądzenia</w:t>
      </w:r>
      <w:r w:rsidR="00EB2BA0" w:rsidRPr="00AD747C">
        <w:t>, stawki i doliczonej wartości podatku VAT, ceny brutto za przedmiot zamówienia,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267BF028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>Wykonawca nie wypełni oświadczenia o terminie realizacji zamówienia</w:t>
      </w:r>
      <w:r w:rsidR="00FD7ABE">
        <w:rPr>
          <w:rFonts w:cs="Arial"/>
          <w:szCs w:val="20"/>
          <w:lang w:eastAsia="pl-PL"/>
        </w:rPr>
        <w:t xml:space="preserve"> </w:t>
      </w:r>
      <w:r w:rsidR="00D13151">
        <w:rPr>
          <w:rFonts w:cs="Arial"/>
          <w:szCs w:val="20"/>
          <w:lang w:eastAsia="pl-PL"/>
        </w:rPr>
        <w:t xml:space="preserve">i/lub okresie gwarancji </w:t>
      </w:r>
      <w:r w:rsidR="009626A6" w:rsidRPr="00F531C1">
        <w:rPr>
          <w:rFonts w:cs="Arial"/>
          <w:szCs w:val="20"/>
          <w:lang w:eastAsia="pl-PL"/>
        </w:rPr>
        <w:t xml:space="preserve">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7F2E84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5541AF">
        <w:rPr>
          <w:rFonts w:eastAsia="Palatino Linotype" w:cs="Arial"/>
          <w:color w:val="000000"/>
          <w:szCs w:val="20"/>
          <w:lang w:eastAsia="pl-PL"/>
        </w:rPr>
        <w:t xml:space="preserve"> </w:t>
      </w:r>
    </w:p>
    <w:p w14:paraId="647D3FC1" w14:textId="79B1FC32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E97FFE">
        <w:t>e urządzenie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C0799D">
        <w:t>e</w:t>
      </w:r>
      <w:r w:rsidRPr="002371AC">
        <w:t xml:space="preserve"> </w:t>
      </w:r>
      <w:r w:rsidR="00C0799D">
        <w:t>urządzenie</w:t>
      </w:r>
      <w:r w:rsidRPr="002371AC">
        <w:t xml:space="preserve">. W przypadku </w:t>
      </w:r>
      <w:r w:rsidR="00C0799D">
        <w:t>urządzenia</w:t>
      </w:r>
      <w:r w:rsidRPr="002371AC">
        <w:t>, któr</w:t>
      </w:r>
      <w:r w:rsidR="00C0799D">
        <w:t>e</w:t>
      </w:r>
      <w:r w:rsidRPr="002371AC">
        <w:t xml:space="preserve"> nie posiada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151BC6C6" w:rsidR="00A57F79" w:rsidRPr="00051C96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9" w:name="_Hlk167088791"/>
      <w:bookmarkStart w:id="30" w:name="_Hlk65494348"/>
      <w:bookmarkStart w:id="31" w:name="_Hlk110506733"/>
      <w:r w:rsidR="00D13151" w:rsidRPr="00D13151">
        <w:rPr>
          <w:rFonts w:eastAsiaTheme="minorHAnsi" w:cstheme="minorBidi"/>
          <w:bCs w:val="0"/>
          <w:szCs w:val="22"/>
          <w:lang w:eastAsia="en-US"/>
        </w:rPr>
        <w:t xml:space="preserve">koszt urządzenia wraz z dostarczeniem zgodnie z opisem przedmiotu zamówienia, koszt rozładunku, wniesienia w miejsce wskazane przez Zamawiającego, </w:t>
      </w:r>
      <w:r w:rsidR="00D13151" w:rsidRPr="00D13151">
        <w:rPr>
          <w:rFonts w:eastAsiaTheme="minorHAnsi" w:cstheme="minorBidi"/>
          <w:szCs w:val="20"/>
          <w:lang w:eastAsia="en-US"/>
        </w:rPr>
        <w:t xml:space="preserve">instalacji, uruchomienia, </w:t>
      </w:r>
      <w:r w:rsidR="00D13151" w:rsidRPr="00D13151">
        <w:rPr>
          <w:rFonts w:eastAsiaTheme="minorHAnsi" w:cstheme="minorBidi"/>
          <w:bCs w:val="0"/>
          <w:szCs w:val="22"/>
          <w:lang w:eastAsia="en-US"/>
        </w:rPr>
        <w:t xml:space="preserve">koszt minimum jednodniowego szkolenia dla minimum 5 osób w zakresie </w:t>
      </w:r>
      <w:r w:rsidR="00884BCD">
        <w:rPr>
          <w:rFonts w:eastAsiaTheme="minorHAnsi" w:cstheme="minorBidi"/>
          <w:bCs w:val="0"/>
          <w:szCs w:val="22"/>
          <w:lang w:eastAsia="en-US"/>
        </w:rPr>
        <w:lastRenderedPageBreak/>
        <w:t>uruchomienia oraz obsługi urządzenia</w:t>
      </w:r>
      <w:r w:rsidR="00D13151" w:rsidRPr="00D13151">
        <w:rPr>
          <w:rFonts w:eastAsiaTheme="minorHAnsi" w:cstheme="minorBidi"/>
          <w:bCs w:val="0"/>
          <w:szCs w:val="22"/>
          <w:lang w:eastAsia="en-US"/>
        </w:rPr>
        <w:t>,</w:t>
      </w:r>
      <w:r w:rsidR="00D13151" w:rsidRPr="00D13151">
        <w:rPr>
          <w:rFonts w:ascii="Times New Roman" w:eastAsiaTheme="minorHAnsi" w:hAnsi="Times New Roman" w:cstheme="minorBidi"/>
          <w:bCs w:val="0"/>
          <w:sz w:val="18"/>
          <w:szCs w:val="18"/>
          <w:lang w:eastAsia="en-US"/>
        </w:rPr>
        <w:t xml:space="preserve"> </w:t>
      </w:r>
      <w:r w:rsidR="00D13151" w:rsidRPr="00D13151">
        <w:rPr>
          <w:rFonts w:eastAsia="Palatino Linotype" w:cs="Arial"/>
          <w:szCs w:val="20"/>
          <w:lang w:eastAsia="en-US"/>
        </w:rPr>
        <w:t>koszt zapewnienia bezpłatnego serwisu technicznego w okresie gwarancyjnym, zgodnie z wymaganiami SWZ</w:t>
      </w:r>
      <w:bookmarkEnd w:id="29"/>
      <w:r w:rsidR="00D13151" w:rsidRPr="00D13151">
        <w:rPr>
          <w:noProof/>
          <w:szCs w:val="20"/>
          <w:lang w:eastAsia="en-US"/>
        </w:rPr>
        <w:t xml:space="preserve"> (w tym</w:t>
      </w:r>
      <w:r w:rsidR="00D13151" w:rsidRPr="00D13151">
        <w:rPr>
          <w:rFonts w:eastAsiaTheme="minorHAnsi" w:cstheme="minorHAnsi"/>
          <w:bCs w:val="0"/>
          <w:color w:val="000000"/>
          <w:szCs w:val="20"/>
          <w:lang w:eastAsia="en-US"/>
        </w:rPr>
        <w:t xml:space="preserve"> </w:t>
      </w:r>
      <w:r w:rsidR="00D13151" w:rsidRPr="00D13151">
        <w:rPr>
          <w:rFonts w:eastAsiaTheme="minorHAnsi" w:cstheme="minorBidi"/>
          <w:bCs w:val="0"/>
          <w:szCs w:val="20"/>
          <w:lang w:eastAsia="en-US"/>
        </w:rPr>
        <w:t>zapewnienia, w okresie gwarancji, zdalnego monitorowania warunków pracy Urządzenia)</w:t>
      </w:r>
      <w:r w:rsidR="007F2E84" w:rsidRPr="00051C96">
        <w:rPr>
          <w:rFonts w:eastAsia="Palatino Linotype" w:cs="Arial"/>
          <w:bCs w:val="0"/>
          <w:szCs w:val="20"/>
          <w:lang w:eastAsia="en-US"/>
        </w:rPr>
        <w:t>;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 xml:space="preserve"> cena powinna również uwzględniać podatki, opłaty i  inne należności płatne przez Wykonawcę (w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tym</w:t>
      </w:r>
      <w:r w:rsidR="00AD747C" w:rsidRPr="00051C96">
        <w:rPr>
          <w:rFonts w:eastAsia="Palatino Linotype" w:cs="Arial"/>
          <w:bCs w:val="0"/>
          <w:szCs w:val="20"/>
          <w:lang w:eastAsia="en-US"/>
        </w:rPr>
        <w:t> </w:t>
      </w:r>
      <w:r w:rsidR="00C24260" w:rsidRPr="00051C96">
        <w:rPr>
          <w:rFonts w:eastAsia="Palatino Linotype" w:cs="Arial"/>
          <w:bCs w:val="0"/>
          <w:szCs w:val="20"/>
          <w:lang w:eastAsia="en-US"/>
        </w:rPr>
        <w:t>koszt ewentualnego cła) oraz wszelkie elementy ryzyka związane z realizacją zamówienia</w:t>
      </w:r>
      <w:bookmarkEnd w:id="30"/>
      <w:r w:rsidR="00BF35CF" w:rsidRPr="00051C96">
        <w:rPr>
          <w:rFonts w:eastAsia="Palatino Linotype" w:cs="Arial"/>
          <w:bCs w:val="0"/>
          <w:szCs w:val="20"/>
          <w:lang w:eastAsia="pl-PL"/>
        </w:rPr>
        <w:t>.</w:t>
      </w:r>
      <w:bookmarkEnd w:id="31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</w:t>
      </w:r>
      <w:r>
        <w:lastRenderedPageBreak/>
        <w:t>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221DE9">
      <w:pPr>
        <w:pStyle w:val="Nagwek1"/>
      </w:pPr>
      <w:bookmarkStart w:id="32" w:name="_Toc66169494"/>
      <w:r>
        <w:t>Sposób oraz termin składania ofert.</w:t>
      </w:r>
      <w:bookmarkEnd w:id="32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5A74F2E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A7547C">
        <w:rPr>
          <w:b/>
          <w:lang w:eastAsia="x-none"/>
        </w:rPr>
        <w:t>27.06.</w:t>
      </w:r>
      <w:r w:rsidR="008162AF">
        <w:rPr>
          <w:b/>
          <w:lang w:eastAsia="x-none"/>
        </w:rPr>
        <w:t>202</w:t>
      </w:r>
      <w:r w:rsidR="00441C32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886C5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221DE9">
      <w:pPr>
        <w:pStyle w:val="Nagwek1"/>
      </w:pPr>
      <w:bookmarkStart w:id="33" w:name="_Toc66169495"/>
      <w:r w:rsidRPr="00C66A12">
        <w:lastRenderedPageBreak/>
        <w:t>Termin i tryb otwarcia ofert.</w:t>
      </w:r>
      <w:bookmarkEnd w:id="33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096D11F0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A7547C">
        <w:rPr>
          <w:rFonts w:eastAsia="Calibri"/>
          <w:b/>
        </w:rPr>
        <w:t>27.06.</w:t>
      </w:r>
      <w:r w:rsidR="00E47E57">
        <w:rPr>
          <w:rFonts w:eastAsia="Calibri"/>
          <w:b/>
        </w:rPr>
        <w:t>202</w:t>
      </w:r>
      <w:r w:rsidR="00441C32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886C5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221DE9">
      <w:pPr>
        <w:pStyle w:val="Nagwek1"/>
      </w:pPr>
      <w:bookmarkStart w:id="34" w:name="_Toc66169496"/>
      <w:r w:rsidRPr="00C66A12">
        <w:t>Termin związania ofertą.</w:t>
      </w:r>
      <w:bookmarkEnd w:id="34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699EEFF8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A7547C">
        <w:rPr>
          <w:b/>
        </w:rPr>
        <w:t>26.07.</w:t>
      </w:r>
      <w:bookmarkStart w:id="35" w:name="_GoBack"/>
      <w:bookmarkEnd w:id="35"/>
      <w:r w:rsidR="00E47E57">
        <w:rPr>
          <w:b/>
        </w:rPr>
        <w:t>202</w:t>
      </w:r>
      <w:r w:rsidR="006B009C">
        <w:rPr>
          <w:b/>
        </w:rPr>
        <w:t>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lastRenderedPageBreak/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221DE9">
      <w:pPr>
        <w:pStyle w:val="Nagwek1"/>
      </w:pPr>
      <w:bookmarkStart w:id="36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6"/>
    </w:p>
    <w:p w14:paraId="787C0746" w14:textId="1A196163" w:rsidR="00C24260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CEA955A" w14:textId="477D56CE" w:rsidR="00993765" w:rsidRPr="00DD6FB6" w:rsidRDefault="00C24260" w:rsidP="00DD6FB6">
      <w:pPr>
        <w:pStyle w:val="Nagwek3"/>
        <w:numPr>
          <w:ilvl w:val="0"/>
          <w:numId w:val="58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>w postępowani</w:t>
      </w:r>
      <w:r w:rsidR="00DD6FB6">
        <w:t>u</w:t>
      </w:r>
      <w:r w:rsidR="00965221">
        <w:t xml:space="preserve">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C24260" w:rsidRPr="00957C9F" w14:paraId="58F58E1B" w14:textId="77777777" w:rsidTr="005F3224">
        <w:tc>
          <w:tcPr>
            <w:tcW w:w="534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D76BC8" w:rsidRPr="00E054BA" w14:paraId="11E7B04B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B4CE86D" w14:textId="7653059C" w:rsidR="00D76BC8" w:rsidRPr="00791BE2" w:rsidRDefault="00D76BC8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07D59B1" w14:textId="58C5A50B" w:rsidR="00D76BC8" w:rsidRPr="00957C9F" w:rsidRDefault="00D76BC8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3E6A8B5" w14:textId="58DE4935" w:rsidR="00D76BC8" w:rsidRPr="00957C9F" w:rsidRDefault="00D76BC8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2E2CD38" w14:textId="6290EA5A" w:rsidR="00D76BC8" w:rsidRPr="00957C9F" w:rsidRDefault="00D76BC8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C24260" w:rsidRPr="00E054BA" w14:paraId="0DECA411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5D8491F" w14:textId="4820EBBE" w:rsidR="00C24260" w:rsidRPr="00791BE2" w:rsidRDefault="00D76BC8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 w:rsidR="00C24260"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7A3136" w14:textId="3A06A65F" w:rsidR="00C24260" w:rsidRPr="00957C9F" w:rsidRDefault="00D76BC8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gwarancji (G)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BBE9D57" w14:textId="56D76536" w:rsidR="00C24260" w:rsidRPr="00452F18" w:rsidRDefault="00D76BC8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A6D957" w14:textId="1E9F23A0" w:rsidR="00C24260" w:rsidRPr="00452F18" w:rsidRDefault="00D76BC8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EB1AC4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015B3CEC" w14:textId="48C95FC9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706C7437" w14:textId="256CA92E" w:rsidR="007F2E84" w:rsidRDefault="007F2E84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4C41D0E1" w14:textId="77777777" w:rsidR="00DD6FB6" w:rsidRDefault="00DD6FB6" w:rsidP="00221DE9">
      <w:pPr>
        <w:pStyle w:val="Nagwek3"/>
        <w:numPr>
          <w:ilvl w:val="0"/>
          <w:numId w:val="0"/>
        </w:numPr>
        <w:spacing w:before="120"/>
      </w:pPr>
    </w:p>
    <w:p w14:paraId="4CD1BB58" w14:textId="77777777" w:rsidR="00D76BC8" w:rsidRPr="00D76BC8" w:rsidRDefault="00D76BC8" w:rsidP="00D76BC8">
      <w:pPr>
        <w:pStyle w:val="Tekstpodstawowy"/>
        <w:rPr>
          <w:lang w:val="pl-PL" w:eastAsia="x-none"/>
        </w:rPr>
      </w:pPr>
    </w:p>
    <w:p w14:paraId="243CE634" w14:textId="5A266DBE" w:rsidR="00C24260" w:rsidRPr="00E054BA" w:rsidRDefault="00C24260" w:rsidP="00DD6FB6">
      <w:pPr>
        <w:pStyle w:val="Nagwek3"/>
        <w:numPr>
          <w:ilvl w:val="0"/>
          <w:numId w:val="58"/>
        </w:numPr>
        <w:spacing w:before="120"/>
        <w:ind w:left="851"/>
      </w:pPr>
      <w:r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EB1AC4">
      <w:pPr>
        <w:pStyle w:val="Nagwek4"/>
        <w:keepNext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1C27A776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</w:t>
      </w:r>
      <w:r w:rsidR="00D65B61">
        <w:rPr>
          <w:rFonts w:cs="Arial"/>
          <w:color w:val="000000" w:themeColor="text1"/>
          <w:szCs w:val="20"/>
          <w:lang w:eastAsia="pl-PL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5BBE3F6B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</w:t>
      </w:r>
      <w:r w:rsidR="00DD6FB6">
        <w:rPr>
          <w:rFonts w:cs="Arial"/>
          <w:color w:val="000000"/>
          <w:szCs w:val="20"/>
          <w:lang w:eastAsia="pl-PL"/>
        </w:rPr>
        <w:t>;</w:t>
      </w:r>
    </w:p>
    <w:p w14:paraId="52B6CBA0" w14:textId="5FFDDFE4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7403D6">
        <w:rPr>
          <w:rFonts w:cs="Arial"/>
          <w:szCs w:val="20"/>
          <w:lang w:eastAsia="pl-PL"/>
        </w:rPr>
        <w:t>tygodniach</w:t>
      </w:r>
      <w:r w:rsidRPr="00C00EDC">
        <w:rPr>
          <w:rFonts w:cs="Arial"/>
          <w:szCs w:val="20"/>
          <w:lang w:eastAsia="pl-PL"/>
        </w:rPr>
        <w:t>, liczony od daty zawarcia umowy</w:t>
      </w:r>
      <w:r w:rsidR="00DD6FB6">
        <w:rPr>
          <w:rFonts w:cs="Arial"/>
          <w:szCs w:val="20"/>
          <w:lang w:eastAsia="pl-PL"/>
        </w:rPr>
        <w:t>;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5B774D7C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lastRenderedPageBreak/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 xml:space="preserve">z </w:t>
      </w:r>
      <w:r w:rsidR="007F2E84">
        <w:rPr>
          <w:rFonts w:cs="Arial"/>
          <w:szCs w:val="20"/>
          <w:lang w:eastAsia="pl-PL"/>
        </w:rPr>
        <w:t xml:space="preserve">postanowieniami </w:t>
      </w:r>
      <w:r w:rsidR="00452F18">
        <w:rPr>
          <w:rFonts w:cs="Arial"/>
          <w:szCs w:val="20"/>
          <w:lang w:eastAsia="pl-PL"/>
        </w:rPr>
        <w:t>SWZ</w:t>
      </w:r>
      <w:r w:rsidR="00745DE0">
        <w:rPr>
          <w:rFonts w:cs="Arial"/>
          <w:szCs w:val="20"/>
          <w:lang w:eastAsia="pl-PL"/>
        </w:rPr>
        <w:t xml:space="preserve"> tj. </w:t>
      </w:r>
      <w:r w:rsidR="009B0712">
        <w:rPr>
          <w:rFonts w:cs="Arial"/>
          <w:szCs w:val="20"/>
          <w:lang w:eastAsia="pl-PL"/>
        </w:rPr>
        <w:t>16</w:t>
      </w:r>
      <w:r w:rsidR="00745DE0">
        <w:rPr>
          <w:rFonts w:cs="Arial"/>
          <w:szCs w:val="20"/>
          <w:lang w:eastAsia="pl-PL"/>
        </w:rPr>
        <w:t xml:space="preserve"> tygodni od daty zawarcia umowy</w:t>
      </w:r>
      <w:r w:rsidR="00452F18">
        <w:rPr>
          <w:rFonts w:cs="Arial"/>
          <w:szCs w:val="20"/>
          <w:lang w:eastAsia="pl-PL"/>
        </w:rPr>
        <w:t xml:space="preserve">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65C20129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zaoferowany w ofercie termin realizacji będzie dłuższy od maksymalnego dopuszczalnego zgodnie z </w:t>
      </w:r>
      <w:r w:rsidR="007F2E84">
        <w:rPr>
          <w:rFonts w:cs="Arial"/>
          <w:szCs w:val="20"/>
          <w:lang w:eastAsia="pl-PL"/>
        </w:rPr>
        <w:t>postanowieniami</w:t>
      </w:r>
      <w:r w:rsidRPr="007E3C31">
        <w:rPr>
          <w:rFonts w:cs="Arial"/>
          <w:szCs w:val="20"/>
          <w:lang w:eastAsia="pl-PL"/>
        </w:rPr>
        <w:t xml:space="preserve">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</w:t>
      </w:r>
      <w:bookmarkStart w:id="37" w:name="_Hlk168661710"/>
      <w:r w:rsidRPr="00FE1D79">
        <w:rPr>
          <w:rFonts w:eastAsia="Palatino Linotype" w:cs="Arial"/>
          <w:color w:val="000000"/>
          <w:szCs w:val="20"/>
          <w:lang w:eastAsia="pl-PL"/>
        </w:rPr>
        <w:t>na podstawie art. 226 ust. 1 pkt 5 ustawy Pzp</w:t>
      </w:r>
      <w:bookmarkEnd w:id="37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3E9FECC0" w14:textId="2A189CBA" w:rsidR="007403D6" w:rsidRPr="007E4FCA" w:rsidRDefault="007403D6" w:rsidP="007403D6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niepełnych tygodniach np. </w:t>
      </w:r>
      <w:r w:rsidR="007E4FCA">
        <w:rPr>
          <w:rFonts w:eastAsia="Palatino Linotype" w:cs="Arial"/>
          <w:szCs w:val="20"/>
        </w:rPr>
        <w:t>12</w:t>
      </w:r>
      <w:r>
        <w:rPr>
          <w:rFonts w:eastAsia="Palatino Linotype" w:cs="Arial"/>
          <w:szCs w:val="20"/>
        </w:rPr>
        <w:t>,5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tygo</w:t>
      </w:r>
      <w:r w:rsidRPr="002E52C5">
        <w:rPr>
          <w:rFonts w:eastAsia="Palatino Linotype" w:cs="Arial"/>
          <w:szCs w:val="20"/>
        </w:rPr>
        <w:t>dnia, Zamawiający do celów punktacji zaokrągli podany termin w górę do peł</w:t>
      </w:r>
      <w:r>
        <w:rPr>
          <w:rFonts w:eastAsia="Palatino Linotype" w:cs="Arial"/>
          <w:szCs w:val="20"/>
        </w:rPr>
        <w:t xml:space="preserve">nych tygodni (np. podanie terminu </w:t>
      </w:r>
      <w:r w:rsidR="007E4FCA">
        <w:rPr>
          <w:rFonts w:eastAsia="Palatino Linotype" w:cs="Arial"/>
          <w:szCs w:val="20"/>
        </w:rPr>
        <w:t>12</w:t>
      </w:r>
      <w:r>
        <w:rPr>
          <w:rFonts w:eastAsia="Palatino Linotype" w:cs="Arial"/>
          <w:szCs w:val="20"/>
        </w:rPr>
        <w:t>,5 tygodnia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do </w:t>
      </w:r>
      <w:r w:rsidR="007E4FCA">
        <w:rPr>
          <w:rFonts w:eastAsia="Palatino Linotype" w:cs="Arial"/>
          <w:szCs w:val="20"/>
        </w:rPr>
        <w:t>13</w:t>
      </w:r>
      <w:r>
        <w:rPr>
          <w:rFonts w:eastAsia="Palatino Linotype" w:cs="Arial"/>
          <w:szCs w:val="20"/>
        </w:rPr>
        <w:t xml:space="preserve"> tygodni</w:t>
      </w:r>
      <w:r w:rsidRPr="002E52C5">
        <w:rPr>
          <w:rFonts w:eastAsia="Palatino Linotype" w:cs="Arial"/>
          <w:szCs w:val="20"/>
        </w:rPr>
        <w:t>);</w:t>
      </w:r>
      <w:r>
        <w:rPr>
          <w:rFonts w:eastAsia="Palatino Linotype" w:cs="Arial"/>
          <w:szCs w:val="20"/>
        </w:rPr>
        <w:t xml:space="preserve"> </w:t>
      </w:r>
    </w:p>
    <w:p w14:paraId="7F4B8C5C" w14:textId="10CB5388" w:rsidR="007E4FCA" w:rsidRPr="007E4FCA" w:rsidRDefault="007E4FCA" w:rsidP="007E4FCA">
      <w:pPr>
        <w:numPr>
          <w:ilvl w:val="1"/>
          <w:numId w:val="4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przez Wykonawcę </w:t>
      </w:r>
      <w:r>
        <w:rPr>
          <w:rFonts w:cs="Arial"/>
          <w:color w:val="000000"/>
          <w:szCs w:val="20"/>
          <w:lang w:eastAsia="pl-PL"/>
        </w:rPr>
        <w:t>terminu realizacji</w:t>
      </w:r>
      <w:r w:rsidRPr="007E4FCA">
        <w:rPr>
          <w:rFonts w:cs="Arial"/>
          <w:color w:val="000000"/>
          <w:szCs w:val="20"/>
          <w:lang w:eastAsia="pl-PL"/>
        </w:rPr>
        <w:t xml:space="preserve"> w wymiarze innym niż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14</w:t>
      </w:r>
      <w:r w:rsidRPr="007E4FCA">
        <w:rPr>
          <w:rFonts w:cs="Arial"/>
          <w:color w:val="000000"/>
          <w:szCs w:val="20"/>
          <w:lang w:eastAsia="pl-PL"/>
        </w:rPr>
        <w:t>/</w:t>
      </w:r>
      <w:r>
        <w:rPr>
          <w:rFonts w:cs="Arial"/>
          <w:color w:val="000000"/>
          <w:szCs w:val="20"/>
          <w:lang w:eastAsia="pl-PL"/>
        </w:rPr>
        <w:t>16</w:t>
      </w:r>
      <w:r w:rsidRPr="007E4FCA">
        <w:rPr>
          <w:rFonts w:cs="Arial"/>
          <w:color w:val="000000"/>
          <w:szCs w:val="20"/>
          <w:lang w:eastAsia="pl-PL"/>
        </w:rPr>
        <w:t xml:space="preserve"> </w:t>
      </w:r>
      <w:r>
        <w:rPr>
          <w:rFonts w:cs="Arial"/>
          <w:color w:val="000000"/>
          <w:szCs w:val="20"/>
          <w:lang w:eastAsia="pl-PL"/>
        </w:rPr>
        <w:t>tygodni</w:t>
      </w:r>
      <w:r w:rsidRPr="007E4FCA">
        <w:rPr>
          <w:rFonts w:cs="Arial"/>
          <w:color w:val="000000"/>
          <w:szCs w:val="20"/>
          <w:lang w:eastAsia="pl-PL"/>
        </w:rPr>
        <w:t>, Zamawiający do celów punktacji ofert zaokrągli wskazany okres w </w:t>
      </w:r>
      <w:r>
        <w:rPr>
          <w:rFonts w:cs="Arial"/>
          <w:color w:val="000000"/>
          <w:szCs w:val="20"/>
          <w:lang w:eastAsia="pl-PL"/>
        </w:rPr>
        <w:t>górę</w:t>
      </w:r>
      <w:r w:rsidRPr="007E4FCA">
        <w:rPr>
          <w:rFonts w:cs="Arial"/>
          <w:color w:val="000000"/>
          <w:szCs w:val="20"/>
          <w:lang w:eastAsia="pl-PL"/>
        </w:rPr>
        <w:t xml:space="preserve"> odpowiednio do </w:t>
      </w:r>
      <w:r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14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>
        <w:rPr>
          <w:rFonts w:cs="Arial"/>
          <w:color w:val="000000"/>
          <w:szCs w:val="20"/>
          <w:lang w:eastAsia="pl-PL"/>
        </w:rPr>
        <w:t>16</w:t>
      </w:r>
      <w:r w:rsidRPr="007E4FCA">
        <w:rPr>
          <w:rFonts w:cs="Arial"/>
          <w:color w:val="000000"/>
          <w:szCs w:val="20"/>
          <w:lang w:eastAsia="pl-PL"/>
        </w:rPr>
        <w:t xml:space="preserve"> </w:t>
      </w:r>
      <w:r>
        <w:rPr>
          <w:rFonts w:cs="Arial"/>
          <w:color w:val="000000"/>
          <w:szCs w:val="20"/>
          <w:lang w:eastAsia="pl-PL"/>
        </w:rPr>
        <w:t>tygodni</w:t>
      </w:r>
      <w:r w:rsidRPr="007E4FCA">
        <w:rPr>
          <w:rFonts w:cs="Arial"/>
          <w:color w:val="000000"/>
          <w:szCs w:val="20"/>
          <w:lang w:eastAsia="pl-PL"/>
        </w:rPr>
        <w:t xml:space="preserve"> i odpowiednio przyzna punkty, natomiast do umowy zostanie wpisany </w:t>
      </w:r>
      <w:r>
        <w:rPr>
          <w:rFonts w:cs="Arial"/>
          <w:color w:val="000000"/>
          <w:szCs w:val="20"/>
          <w:lang w:eastAsia="pl-PL"/>
        </w:rPr>
        <w:t>termin realizacji</w:t>
      </w:r>
      <w:r w:rsidRPr="007E4FCA">
        <w:rPr>
          <w:rFonts w:cs="Arial"/>
          <w:color w:val="000000"/>
          <w:szCs w:val="20"/>
          <w:lang w:eastAsia="pl-PL"/>
        </w:rPr>
        <w:t xml:space="preserve"> zgodnie z ofertą</w:t>
      </w:r>
      <w:r w:rsidR="0069556D">
        <w:rPr>
          <w:rFonts w:cs="Arial"/>
          <w:color w:val="000000"/>
          <w:szCs w:val="20"/>
          <w:lang w:eastAsia="pl-PL"/>
        </w:rPr>
        <w:t xml:space="preserve"> (np. podanie terminu 13 tygodni oznacza, iż Zamawiający, w celu przyznania punktów zaokrągli termin do 14 tygodni)</w:t>
      </w:r>
      <w:r w:rsidRPr="007E4FCA">
        <w:rPr>
          <w:rFonts w:cs="Arial"/>
          <w:color w:val="000000"/>
          <w:szCs w:val="20"/>
          <w:lang w:eastAsia="pl-PL"/>
        </w:rPr>
        <w:t>;</w:t>
      </w:r>
    </w:p>
    <w:p w14:paraId="062CCC90" w14:textId="77777777" w:rsidR="00DD6FB6" w:rsidRDefault="00993765" w:rsidP="00DD6FB6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zostaną przyznane zgodnie z zasadą:</w:t>
      </w:r>
    </w:p>
    <w:p w14:paraId="18BF256B" w14:textId="27885CD0" w:rsidR="00745DE0" w:rsidRPr="00745DE0" w:rsidRDefault="007E4FCA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-- </w:t>
      </w:r>
      <w:r w:rsidR="009B0712">
        <w:rPr>
          <w:rFonts w:cs="Arial"/>
          <w:szCs w:val="20"/>
          <w:lang w:eastAsia="pl-PL"/>
        </w:rPr>
        <w:t>16</w:t>
      </w:r>
      <w:r w:rsidR="00745DE0" w:rsidRPr="00745DE0">
        <w:rPr>
          <w:rFonts w:cs="Arial"/>
          <w:szCs w:val="20"/>
          <w:lang w:eastAsia="pl-PL"/>
        </w:rPr>
        <w:t xml:space="preserve"> tygodni - 0  pkt</w:t>
      </w:r>
    </w:p>
    <w:p w14:paraId="780B4938" w14:textId="1B1B6C45" w:rsidR="00745DE0" w:rsidRPr="00745DE0" w:rsidRDefault="007E4FCA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szCs w:val="20"/>
          <w:lang w:eastAsia="pl-PL"/>
        </w:rPr>
      </w:pPr>
      <w:bookmarkStart w:id="38" w:name="_Hlk166657812"/>
      <w:r>
        <w:rPr>
          <w:rFonts w:cs="Arial"/>
          <w:szCs w:val="20"/>
          <w:lang w:eastAsia="pl-PL"/>
        </w:rPr>
        <w:t>-- 1</w:t>
      </w:r>
      <w:r w:rsidR="009B0712">
        <w:rPr>
          <w:rFonts w:cs="Arial"/>
          <w:szCs w:val="20"/>
          <w:lang w:eastAsia="pl-PL"/>
        </w:rPr>
        <w:t>4</w:t>
      </w:r>
      <w:r w:rsidR="00745DE0" w:rsidRPr="00745DE0">
        <w:rPr>
          <w:rFonts w:cs="Arial"/>
          <w:szCs w:val="20"/>
          <w:lang w:eastAsia="pl-PL"/>
        </w:rPr>
        <w:t xml:space="preserve"> tygodni - </w:t>
      </w:r>
      <w:r w:rsidR="009B0712">
        <w:rPr>
          <w:rFonts w:cs="Arial"/>
          <w:szCs w:val="20"/>
          <w:lang w:eastAsia="pl-PL"/>
        </w:rPr>
        <w:t>10</w:t>
      </w:r>
      <w:r w:rsidR="00745DE0" w:rsidRPr="00745DE0">
        <w:rPr>
          <w:rFonts w:cs="Arial"/>
          <w:szCs w:val="20"/>
          <w:lang w:eastAsia="pl-PL"/>
        </w:rPr>
        <w:t xml:space="preserve">  pkt</w:t>
      </w:r>
    </w:p>
    <w:bookmarkEnd w:id="38"/>
    <w:p w14:paraId="6404D0E5" w14:textId="5CDDBEA2" w:rsidR="00745DE0" w:rsidRPr="00745DE0" w:rsidRDefault="007E4FCA" w:rsidP="00745DE0">
      <w:pPr>
        <w:pStyle w:val="Akapitzlist"/>
        <w:tabs>
          <w:tab w:val="left" w:pos="6096"/>
        </w:tabs>
        <w:ind w:left="1425" w:firstLine="0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-- </w:t>
      </w:r>
      <w:r w:rsidR="009B0712">
        <w:rPr>
          <w:rFonts w:cs="Arial"/>
          <w:color w:val="000000"/>
          <w:szCs w:val="20"/>
          <w:lang w:eastAsia="pl-PL"/>
        </w:rPr>
        <w:t>12</w:t>
      </w:r>
      <w:r w:rsidR="00745DE0" w:rsidRPr="00745DE0">
        <w:rPr>
          <w:rFonts w:cs="Arial"/>
          <w:color w:val="000000"/>
          <w:szCs w:val="20"/>
          <w:lang w:eastAsia="pl-PL"/>
        </w:rPr>
        <w:t xml:space="preserve"> tygodni </w:t>
      </w:r>
      <w:r w:rsidR="009B0712">
        <w:rPr>
          <w:rFonts w:cs="Arial"/>
          <w:color w:val="000000"/>
          <w:szCs w:val="20"/>
          <w:lang w:eastAsia="pl-PL"/>
        </w:rPr>
        <w:t>lub krótszy</w:t>
      </w:r>
      <w:r w:rsidR="00745DE0" w:rsidRPr="00745DE0">
        <w:rPr>
          <w:rFonts w:cs="Arial"/>
          <w:color w:val="000000"/>
          <w:szCs w:val="20"/>
          <w:lang w:eastAsia="pl-PL"/>
        </w:rPr>
        <w:t xml:space="preserve"> - </w:t>
      </w:r>
      <w:r w:rsidR="009B0712">
        <w:rPr>
          <w:rFonts w:cs="Arial"/>
          <w:color w:val="000000"/>
          <w:szCs w:val="20"/>
          <w:lang w:eastAsia="pl-PL"/>
        </w:rPr>
        <w:t>2</w:t>
      </w:r>
      <w:r w:rsidR="00745DE0" w:rsidRPr="00745DE0">
        <w:rPr>
          <w:rFonts w:cs="Arial"/>
          <w:color w:val="000000"/>
          <w:szCs w:val="20"/>
          <w:lang w:eastAsia="pl-PL"/>
        </w:rPr>
        <w:t>0 pkt</w:t>
      </w:r>
    </w:p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5C7C1DB2" w:rsidR="00C24260" w:rsidRPr="00DD6FB6" w:rsidRDefault="00C24260" w:rsidP="00DD6FB6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7E4FCA">
        <w:rPr>
          <w:rFonts w:cs="Arial"/>
          <w:b/>
          <w:szCs w:val="20"/>
          <w:lang w:eastAsia="pl-PL"/>
        </w:rPr>
        <w:t>2</w:t>
      </w:r>
      <w:r w:rsidR="007F2E84">
        <w:rPr>
          <w:rFonts w:cs="Arial"/>
          <w:b/>
          <w:szCs w:val="20"/>
          <w:lang w:eastAsia="pl-PL"/>
        </w:rPr>
        <w:t>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2D848118" w14:textId="77777777" w:rsidR="007E4FCA" w:rsidRPr="007E4FCA" w:rsidRDefault="007E4FCA" w:rsidP="007E4FCA">
      <w:pPr>
        <w:numPr>
          <w:ilvl w:val="0"/>
          <w:numId w:val="64"/>
        </w:numPr>
        <w:spacing w:before="6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zasady przyznawania punktów w kryterium </w:t>
      </w:r>
      <w:r w:rsidRPr="007E4FCA">
        <w:rPr>
          <w:rFonts w:eastAsia="Times New Roman" w:cs="Times New Roman"/>
          <w:b/>
          <w:bCs/>
          <w:iCs/>
          <w:szCs w:val="20"/>
          <w:lang w:val="x-none" w:eastAsia="x-none"/>
        </w:rPr>
        <w:t>„okres gwarancji”</w:t>
      </w:r>
      <w:r w:rsidRPr="007E4FCA">
        <w:rPr>
          <w:rFonts w:eastAsia="Times New Roman" w:cs="Times New Roman"/>
          <w:bCs/>
          <w:iCs/>
          <w:szCs w:val="20"/>
          <w:lang w:val="x-none" w:eastAsia="x-none"/>
        </w:rPr>
        <w:t xml:space="preserve"> (G):</w:t>
      </w:r>
    </w:p>
    <w:p w14:paraId="4F59370E" w14:textId="77777777" w:rsidR="007E4FCA" w:rsidRPr="007E4FCA" w:rsidRDefault="007E4FCA" w:rsidP="007E4FCA">
      <w:pPr>
        <w:keepNext/>
        <w:ind w:firstLine="0"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     Punkty za kryterium „okres gwarancji” zostaną przyznane w następujący sposób:</w:t>
      </w:r>
    </w:p>
    <w:p w14:paraId="2CA1FCEA" w14:textId="77777777" w:rsidR="007E4FCA" w:rsidRPr="007E4FCA" w:rsidRDefault="007E4FCA" w:rsidP="007E4FCA">
      <w:pPr>
        <w:numPr>
          <w:ilvl w:val="1"/>
          <w:numId w:val="63"/>
        </w:numPr>
        <w:contextualSpacing/>
        <w:rPr>
          <w:rFonts w:cs="Arial"/>
          <w:color w:val="000000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 do SWZ;</w:t>
      </w:r>
    </w:p>
    <w:p w14:paraId="5D7054E7" w14:textId="77777777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 słownie, Zamawiający za obowiązujący uzna okres gwarancji podany słownie;</w:t>
      </w:r>
    </w:p>
    <w:p w14:paraId="39760F17" w14:textId="77777777" w:rsidR="007E4FCA" w:rsidRPr="007E4FCA" w:rsidRDefault="007E4FCA" w:rsidP="007E4FCA">
      <w:pPr>
        <w:numPr>
          <w:ilvl w:val="1"/>
          <w:numId w:val="63"/>
        </w:numPr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punkty w tym kryterium „</w:t>
      </w:r>
      <w:r w:rsidRPr="007E4FCA">
        <w:rPr>
          <w:rFonts w:cs="Arial"/>
          <w:szCs w:val="20"/>
        </w:rPr>
        <w:t xml:space="preserve">okres gwarancji” </w:t>
      </w:r>
      <w:r w:rsidRPr="007E4FCA">
        <w:rPr>
          <w:rFonts w:cs="Arial"/>
          <w:szCs w:val="20"/>
          <w:lang w:eastAsia="pl-PL"/>
        </w:rPr>
        <w:t xml:space="preserve">będą przyznawane za wydłużenie okresu gwarancji, zgodnie z zasadą: </w:t>
      </w:r>
    </w:p>
    <w:p w14:paraId="012DB1C9" w14:textId="548CCDD8" w:rsidR="007E4FCA" w:rsidRPr="007E4FCA" w:rsidRDefault="007E4FCA" w:rsidP="007E4FCA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 xml:space="preserve"> miesięcy - 0  pkt</w:t>
      </w:r>
    </w:p>
    <w:p w14:paraId="510A29FC" w14:textId="0444AFCB" w:rsidR="007E4FCA" w:rsidRPr="007E4FCA" w:rsidRDefault="007E4FCA" w:rsidP="007E4FCA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 miesi</w:t>
      </w:r>
      <w:r w:rsidR="0069556D">
        <w:rPr>
          <w:rFonts w:cs="Arial"/>
          <w:color w:val="000000"/>
          <w:szCs w:val="20"/>
          <w:lang w:eastAsia="pl-PL"/>
        </w:rPr>
        <w:t>ą</w:t>
      </w:r>
      <w:r w:rsidRPr="007E4FCA">
        <w:rPr>
          <w:rFonts w:cs="Arial"/>
          <w:color w:val="000000"/>
          <w:szCs w:val="20"/>
          <w:lang w:eastAsia="pl-PL"/>
        </w:rPr>
        <w:t>c</w:t>
      </w:r>
      <w:r w:rsidR="0069556D">
        <w:rPr>
          <w:rFonts w:cs="Arial"/>
          <w:color w:val="000000"/>
          <w:szCs w:val="20"/>
          <w:lang w:eastAsia="pl-PL"/>
        </w:rPr>
        <w:t>e</w:t>
      </w:r>
      <w:r w:rsidRPr="007E4FCA">
        <w:rPr>
          <w:rFonts w:cs="Arial"/>
          <w:color w:val="000000"/>
          <w:szCs w:val="20"/>
          <w:lang w:eastAsia="pl-PL"/>
        </w:rPr>
        <w:t xml:space="preserve"> - 10 pkt</w:t>
      </w:r>
    </w:p>
    <w:p w14:paraId="0DF98AB5" w14:textId="1F57B162" w:rsidR="007E4FCA" w:rsidRPr="007E4FCA" w:rsidRDefault="007E4FCA" w:rsidP="007E4FCA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48</w:t>
      </w:r>
      <w:r w:rsidRPr="007E4FCA">
        <w:rPr>
          <w:rFonts w:cs="Arial"/>
          <w:color w:val="000000"/>
          <w:szCs w:val="20"/>
          <w:lang w:eastAsia="pl-PL"/>
        </w:rPr>
        <w:t xml:space="preserve"> miesięcy </w:t>
      </w:r>
      <w:r w:rsidR="0069556D">
        <w:rPr>
          <w:rFonts w:cs="Arial"/>
          <w:color w:val="000000"/>
          <w:szCs w:val="20"/>
          <w:lang w:eastAsia="pl-PL"/>
        </w:rPr>
        <w:t xml:space="preserve">lub więcej </w:t>
      </w:r>
      <w:r w:rsidRPr="007E4FCA">
        <w:rPr>
          <w:rFonts w:cs="Arial"/>
          <w:color w:val="000000"/>
          <w:szCs w:val="20"/>
          <w:lang w:eastAsia="pl-PL"/>
        </w:rPr>
        <w:t>– 20 pkt</w:t>
      </w:r>
    </w:p>
    <w:p w14:paraId="394AFEBF" w14:textId="77777777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eastAsia="Calibri" w:cs="Times New Roman"/>
          <w:szCs w:val="26"/>
        </w:rPr>
        <w:t>bieg terminu gwarancji rozpoczyna się w dacie podpisania Protokołu Odbioru</w:t>
      </w:r>
      <w:r w:rsidRPr="007E4FCA">
        <w:rPr>
          <w:rFonts w:cs="Arial"/>
          <w:szCs w:val="20"/>
          <w:lang w:eastAsia="pl-PL"/>
        </w:rPr>
        <w:t>;</w:t>
      </w:r>
    </w:p>
    <w:p w14:paraId="0D1BB9AF" w14:textId="4EF7D1D7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minimalny wymagany okres gwarancji zgodnie z postanowieniami </w:t>
      </w:r>
      <w:r w:rsidR="0069556D">
        <w:rPr>
          <w:rFonts w:cs="Arial"/>
          <w:szCs w:val="20"/>
          <w:lang w:eastAsia="pl-PL"/>
        </w:rPr>
        <w:t>SWZ</w:t>
      </w:r>
      <w:r w:rsidRPr="007E4FCA">
        <w:rPr>
          <w:rFonts w:cs="Arial"/>
          <w:szCs w:val="20"/>
          <w:lang w:eastAsia="pl-PL"/>
        </w:rPr>
        <w:t xml:space="preserve"> wynosi: </w:t>
      </w:r>
      <w:r w:rsidR="0069556D">
        <w:rPr>
          <w:rFonts w:cs="Arial"/>
          <w:szCs w:val="20"/>
          <w:lang w:eastAsia="pl-PL"/>
        </w:rPr>
        <w:t>12</w:t>
      </w:r>
      <w:r w:rsidRPr="007E4FCA">
        <w:rPr>
          <w:rFonts w:cs="Arial"/>
          <w:szCs w:val="20"/>
          <w:lang w:eastAsia="pl-PL"/>
        </w:rPr>
        <w:t> miesięcy, jeżeli Wykonawca zaoferuje minimalny wymagany okres gwarancji – otrzyma 0 pkt w tym kryterium oceny ofert;</w:t>
      </w:r>
    </w:p>
    <w:p w14:paraId="7BAF2F4F" w14:textId="611AC744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przez Wykonawcę okresu gwarancji w wymiarze innym niż </w:t>
      </w:r>
      <w:r w:rsidR="0069556D"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>/</w:t>
      </w:r>
      <w:r w:rsidR="0069556D"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>/</w:t>
      </w:r>
      <w:r w:rsidR="0069556D">
        <w:rPr>
          <w:rFonts w:cs="Arial"/>
          <w:color w:val="000000"/>
          <w:szCs w:val="20"/>
          <w:lang w:eastAsia="pl-PL"/>
        </w:rPr>
        <w:t>48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do celów punktacji ofert zaokrągli wskazany okres w dół odpowiednio </w:t>
      </w:r>
      <w:r w:rsidRPr="007E4FCA">
        <w:rPr>
          <w:rFonts w:cs="Arial"/>
          <w:color w:val="000000"/>
          <w:szCs w:val="20"/>
          <w:lang w:eastAsia="pl-PL"/>
        </w:rPr>
        <w:lastRenderedPageBreak/>
        <w:t xml:space="preserve">do </w:t>
      </w:r>
      <w:r w:rsidR="0069556D">
        <w:rPr>
          <w:rFonts w:cs="Arial"/>
          <w:color w:val="000000"/>
          <w:szCs w:val="20"/>
          <w:lang w:eastAsia="pl-PL"/>
        </w:rPr>
        <w:t>12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 w:rsidR="0069556D">
        <w:rPr>
          <w:rFonts w:cs="Arial"/>
          <w:color w:val="000000"/>
          <w:szCs w:val="20"/>
          <w:lang w:eastAsia="pl-PL"/>
        </w:rPr>
        <w:t>24</w:t>
      </w:r>
      <w:r w:rsidRPr="007E4FCA">
        <w:rPr>
          <w:rFonts w:cs="Arial"/>
          <w:color w:val="000000"/>
          <w:szCs w:val="20"/>
          <w:lang w:eastAsia="pl-PL"/>
        </w:rPr>
        <w:t xml:space="preserve">, </w:t>
      </w:r>
      <w:r w:rsidR="0069556D">
        <w:rPr>
          <w:rFonts w:cs="Arial"/>
          <w:color w:val="000000"/>
          <w:szCs w:val="20"/>
          <w:lang w:eastAsia="pl-PL"/>
        </w:rPr>
        <w:t>48</w:t>
      </w:r>
      <w:r w:rsidRPr="007E4FCA">
        <w:rPr>
          <w:rFonts w:cs="Arial"/>
          <w:color w:val="000000"/>
          <w:szCs w:val="20"/>
          <w:lang w:eastAsia="pl-PL"/>
        </w:rPr>
        <w:t xml:space="preserve"> miesięcy i odpowiednio przyzna punkty, natomiast do umowy zostanie wpisany okres gwarancji zgodnie z ofertą;</w:t>
      </w:r>
    </w:p>
    <w:p w14:paraId="0AB6E782" w14:textId="25B791FF" w:rsidR="007E4FCA" w:rsidRPr="007E4FCA" w:rsidRDefault="007E4FCA" w:rsidP="007E4FCA">
      <w:pPr>
        <w:numPr>
          <w:ilvl w:val="1"/>
          <w:numId w:val="63"/>
        </w:numPr>
        <w:contextualSpacing/>
        <w:rPr>
          <w:rFonts w:eastAsia="Palatino Linotype" w:cs="Arial"/>
          <w:color w:val="000000"/>
          <w:szCs w:val="20"/>
          <w:lang w:eastAsia="pl-PL"/>
        </w:rPr>
      </w:pPr>
      <w:r w:rsidRPr="007E4FCA">
        <w:rPr>
          <w:rFonts w:eastAsia="Palatino Linotype" w:cs="Arial"/>
          <w:szCs w:val="20"/>
        </w:rPr>
        <w:t xml:space="preserve">W przypadku podania okresu gwarancji w niepełnych miesiącach, Zamawiający </w:t>
      </w:r>
      <w:r w:rsidRPr="007E4FCA">
        <w:rPr>
          <w:rFonts w:cs="Arial"/>
          <w:color w:val="000000"/>
          <w:szCs w:val="20"/>
          <w:lang w:eastAsia="pl-PL"/>
        </w:rPr>
        <w:t xml:space="preserve">do celów punktacji ofert </w:t>
      </w:r>
      <w:r w:rsidRPr="007E4FCA">
        <w:rPr>
          <w:rFonts w:eastAsia="Palatino Linotype" w:cs="Arial"/>
          <w:szCs w:val="20"/>
        </w:rPr>
        <w:t xml:space="preserve">zaokrągli podaną wartość w dół do pełnych </w:t>
      </w:r>
      <w:r w:rsidR="0069556D">
        <w:rPr>
          <w:rFonts w:eastAsia="Palatino Linotype" w:cs="Arial"/>
          <w:szCs w:val="20"/>
        </w:rPr>
        <w:t>12</w:t>
      </w:r>
      <w:r w:rsidRPr="007E4FCA">
        <w:rPr>
          <w:rFonts w:eastAsia="Palatino Linotype" w:cs="Arial"/>
          <w:szCs w:val="20"/>
        </w:rPr>
        <w:t>/</w:t>
      </w:r>
      <w:r w:rsidR="0069556D">
        <w:rPr>
          <w:rFonts w:eastAsia="Palatino Linotype" w:cs="Arial"/>
          <w:szCs w:val="20"/>
        </w:rPr>
        <w:t>24</w:t>
      </w:r>
      <w:r w:rsidRPr="007E4FCA">
        <w:rPr>
          <w:rFonts w:eastAsia="Palatino Linotype" w:cs="Arial"/>
          <w:szCs w:val="20"/>
        </w:rPr>
        <w:t>/</w:t>
      </w:r>
      <w:r w:rsidR="0069556D">
        <w:rPr>
          <w:rFonts w:eastAsia="Palatino Linotype" w:cs="Arial"/>
          <w:szCs w:val="20"/>
        </w:rPr>
        <w:t>48</w:t>
      </w:r>
      <w:r w:rsidRPr="007E4FCA">
        <w:rPr>
          <w:rFonts w:eastAsia="Palatino Linotype" w:cs="Arial"/>
          <w:szCs w:val="20"/>
        </w:rPr>
        <w:t xml:space="preserve"> miesięcy (np. podanie  47,5 tygodnia oznacza, iż Zamawiający zaokrągli termin w dół do </w:t>
      </w:r>
      <w:r w:rsidR="0069556D">
        <w:rPr>
          <w:rFonts w:eastAsia="Palatino Linotype" w:cs="Arial"/>
          <w:szCs w:val="20"/>
        </w:rPr>
        <w:t>24</w:t>
      </w:r>
      <w:r w:rsidRPr="007E4FCA">
        <w:rPr>
          <w:rFonts w:eastAsia="Palatino Linotype" w:cs="Arial"/>
          <w:szCs w:val="20"/>
        </w:rPr>
        <w:t xml:space="preserve"> miesięcy),  </w:t>
      </w:r>
      <w:r w:rsidRPr="007E4FCA">
        <w:rPr>
          <w:rFonts w:cs="Arial"/>
          <w:color w:val="000000"/>
          <w:szCs w:val="20"/>
          <w:lang w:eastAsia="pl-PL"/>
        </w:rPr>
        <w:t>natomiast do umowy zostanie wpisany okres gwarancji zgodnie z ofertą</w:t>
      </w:r>
      <w:r w:rsidRPr="007E4FCA">
        <w:rPr>
          <w:rFonts w:eastAsia="Palatino Linotype" w:cs="Arial"/>
          <w:szCs w:val="20"/>
        </w:rPr>
        <w:t xml:space="preserve">; </w:t>
      </w:r>
    </w:p>
    <w:p w14:paraId="25DC18CE" w14:textId="16C571A9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69556D">
        <w:rPr>
          <w:rFonts w:cs="Arial"/>
          <w:color w:val="000000"/>
          <w:szCs w:val="20"/>
          <w:lang w:eastAsia="pl-PL"/>
        </w:rPr>
        <w:t>48</w:t>
      </w:r>
      <w:r w:rsidRPr="007E4FCA">
        <w:rPr>
          <w:rFonts w:cs="Arial"/>
          <w:color w:val="000000"/>
          <w:szCs w:val="20"/>
          <w:lang w:eastAsia="pl-PL"/>
        </w:rPr>
        <w:t xml:space="preserve"> miesięcy, Zamawiający przyzna Wykonawcy maksymalną ilość punktów, tj. 20 pkt;</w:t>
      </w:r>
    </w:p>
    <w:p w14:paraId="07B0619E" w14:textId="7B2BF3C9" w:rsidR="007E4FCA" w:rsidRPr="007E4FCA" w:rsidRDefault="007E4FCA" w:rsidP="007E4FCA">
      <w:pPr>
        <w:numPr>
          <w:ilvl w:val="1"/>
          <w:numId w:val="63"/>
        </w:numPr>
        <w:tabs>
          <w:tab w:val="left" w:pos="284"/>
          <w:tab w:val="left" w:pos="567"/>
        </w:tabs>
        <w:ind w:left="1418"/>
        <w:contextualSpacing/>
        <w:rPr>
          <w:rFonts w:cs="Arial"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>jeżeli zaoferowany w ofercie okres gwarancji będzie krótszy od minimalnego okresu gwarancji zgodnie z postanowieniami  rozdz. I</w:t>
      </w:r>
      <w:r w:rsidR="0069556D">
        <w:rPr>
          <w:rFonts w:cs="Arial"/>
          <w:szCs w:val="20"/>
          <w:lang w:eastAsia="pl-PL"/>
        </w:rPr>
        <w:t>I</w:t>
      </w:r>
      <w:r w:rsidRPr="007E4FCA">
        <w:rPr>
          <w:rFonts w:cs="Arial"/>
          <w:szCs w:val="20"/>
          <w:lang w:eastAsia="pl-PL"/>
        </w:rPr>
        <w:t xml:space="preserve"> ust. </w:t>
      </w:r>
      <w:r w:rsidR="0069556D">
        <w:rPr>
          <w:rFonts w:cs="Arial"/>
          <w:szCs w:val="20"/>
          <w:lang w:eastAsia="pl-PL"/>
        </w:rPr>
        <w:t xml:space="preserve">5 pkt </w:t>
      </w:r>
      <w:r w:rsidRPr="007E4FCA">
        <w:rPr>
          <w:rFonts w:cs="Arial"/>
          <w:szCs w:val="20"/>
          <w:lang w:eastAsia="pl-PL"/>
        </w:rPr>
        <w:t>2</w:t>
      </w:r>
      <w:r w:rsidR="0069556D">
        <w:rPr>
          <w:rFonts w:cs="Arial"/>
          <w:szCs w:val="20"/>
          <w:lang w:eastAsia="pl-PL"/>
        </w:rPr>
        <w:t>)</w:t>
      </w:r>
      <w:r w:rsidRPr="007E4FCA">
        <w:rPr>
          <w:rFonts w:cs="Arial"/>
          <w:szCs w:val="20"/>
          <w:lang w:eastAsia="pl-PL"/>
        </w:rPr>
        <w:t xml:space="preserve"> lub gdy Wykonawcy nie złoży oświadczenia o oferowanym okresie gwarancji, </w:t>
      </w:r>
      <w:r w:rsidRPr="007E4FCA">
        <w:rPr>
          <w:rFonts w:eastAsia="Palatino Linotype" w:cs="Arial"/>
          <w:color w:val="000000"/>
          <w:szCs w:val="20"/>
          <w:lang w:eastAsia="pl-PL"/>
        </w:rPr>
        <w:t>oferta zostanie odrzucona jako niezgodna z warunkami zamówienia</w:t>
      </w:r>
      <w:r w:rsidR="0069556D" w:rsidRPr="0069556D">
        <w:rPr>
          <w:rFonts w:eastAsia="Palatino Linotype" w:cs="Arial"/>
          <w:color w:val="000000"/>
          <w:szCs w:val="20"/>
          <w:lang w:eastAsia="pl-PL"/>
        </w:rPr>
        <w:t xml:space="preserve"> </w:t>
      </w:r>
      <w:r w:rsidR="0069556D" w:rsidRPr="00FE1D79">
        <w:rPr>
          <w:rFonts w:eastAsia="Palatino Linotype" w:cs="Arial"/>
          <w:color w:val="000000"/>
          <w:szCs w:val="20"/>
          <w:lang w:eastAsia="pl-PL"/>
        </w:rPr>
        <w:t xml:space="preserve">na podstawie art. 226 ust. 1 pkt 5 ustawy </w:t>
      </w:r>
      <w:proofErr w:type="spellStart"/>
      <w:r w:rsidR="0069556D"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7E4FCA">
        <w:rPr>
          <w:rFonts w:eastAsia="Palatino Linotype" w:cs="Arial"/>
          <w:color w:val="000000"/>
          <w:szCs w:val="20"/>
          <w:lang w:eastAsia="pl-PL"/>
        </w:rPr>
        <w:t>;</w:t>
      </w:r>
    </w:p>
    <w:p w14:paraId="149DA884" w14:textId="77777777" w:rsidR="007E4FCA" w:rsidRPr="007E4FCA" w:rsidRDefault="007E4FCA" w:rsidP="007E4FCA">
      <w:pPr>
        <w:tabs>
          <w:tab w:val="left" w:pos="851"/>
          <w:tab w:val="left" w:pos="6096"/>
        </w:tabs>
        <w:ind w:firstLine="142"/>
        <w:rPr>
          <w:rFonts w:cs="Arial"/>
          <w:b/>
          <w:szCs w:val="20"/>
          <w:lang w:eastAsia="pl-PL"/>
        </w:rPr>
      </w:pPr>
      <w:r w:rsidRPr="007E4FCA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Pr="007E4FCA">
        <w:rPr>
          <w:rFonts w:cs="Arial"/>
          <w:b/>
          <w:szCs w:val="20"/>
          <w:lang w:eastAsia="pl-PL"/>
        </w:rPr>
        <w:t xml:space="preserve">20 pkt </w:t>
      </w:r>
    </w:p>
    <w:p w14:paraId="3665B582" w14:textId="195002B4" w:rsidR="007E4FCA" w:rsidRDefault="007E4FCA" w:rsidP="007E4FCA">
      <w:pPr>
        <w:pStyle w:val="Nagwek3"/>
        <w:keepNext/>
        <w:numPr>
          <w:ilvl w:val="0"/>
          <w:numId w:val="0"/>
        </w:numPr>
        <w:ind w:left="851"/>
      </w:pPr>
    </w:p>
    <w:p w14:paraId="7386D20D" w14:textId="15248DEF" w:rsidR="0007783E" w:rsidRDefault="00C24260" w:rsidP="00424899">
      <w:pPr>
        <w:pStyle w:val="Nagwek3"/>
        <w:keepNext/>
        <w:ind w:left="851" w:hanging="284"/>
      </w:pPr>
      <w:r>
        <w:t>O</w:t>
      </w:r>
      <w:r w:rsidRPr="00E054BA">
        <w:t xml:space="preserve">cena końcowa wyliczona zostanie po zsumowaniu punktów uzyskanych za ocenę kryterium: </w:t>
      </w:r>
    </w:p>
    <w:p w14:paraId="5296A11D" w14:textId="2BEE1E80" w:rsidR="0007783E" w:rsidRPr="0007783E" w:rsidRDefault="0007783E" w:rsidP="0007783E">
      <w:pPr>
        <w:pStyle w:val="Nagwek3"/>
        <w:keepNext/>
        <w:numPr>
          <w:ilvl w:val="0"/>
          <w:numId w:val="0"/>
        </w:numPr>
        <w:ind w:left="851"/>
      </w:pPr>
      <w:r w:rsidRPr="00E054BA">
        <w:t>cena brutto + term</w:t>
      </w:r>
      <w:r>
        <w:t>in realizacji zamówienia</w:t>
      </w:r>
      <w:r w:rsidR="007E4FCA">
        <w:t xml:space="preserve"> + okres gwarancji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6DC71F6C" w:rsidR="00C24260" w:rsidRPr="000A37EA" w:rsidRDefault="00C24260" w:rsidP="00C24260">
      <w:pPr>
        <w:pStyle w:val="Nagwek3"/>
        <w:ind w:left="851" w:hanging="284"/>
      </w:pPr>
      <w:r w:rsidRPr="000A37EA">
        <w:t>Za ofertę najkorzystniejszą 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lastRenderedPageBreak/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221DE9">
      <w:pPr>
        <w:pStyle w:val="Nagwek1"/>
      </w:pPr>
      <w:bookmarkStart w:id="39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9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74C842C8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postępowani</w:t>
      </w:r>
      <w:r w:rsidR="00221DE9">
        <w:t>u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221DE9">
      <w:pPr>
        <w:pStyle w:val="Nagwek1"/>
      </w:pPr>
      <w:bookmarkStart w:id="40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40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lastRenderedPageBreak/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Pzp;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221DE9">
      <w:pPr>
        <w:pStyle w:val="Nagwek1"/>
      </w:pPr>
      <w:bookmarkStart w:id="41" w:name="_Toc66169500"/>
      <w:r w:rsidRPr="002336D1">
        <w:t>Informacje dodatkowe.</w:t>
      </w:r>
      <w:bookmarkEnd w:id="41"/>
    </w:p>
    <w:p w14:paraId="5B19376B" w14:textId="59623ABD" w:rsidR="00F85C46" w:rsidRPr="002336D1" w:rsidRDefault="00FE10A7" w:rsidP="00550EB7">
      <w:pPr>
        <w:pStyle w:val="Nagwek2"/>
        <w:numPr>
          <w:ilvl w:val="0"/>
          <w:numId w:val="44"/>
        </w:numPr>
        <w:spacing w:before="0"/>
        <w:ind w:left="568" w:hanging="284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lastRenderedPageBreak/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2B7A060F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3205A3">
        <w:rPr>
          <w:b/>
          <w:lang w:val="pl-PL"/>
        </w:rPr>
        <w:t>3</w:t>
      </w:r>
      <w:r w:rsidR="0069556D">
        <w:rPr>
          <w:b/>
          <w:lang w:val="pl-PL"/>
        </w:rPr>
        <w:t>9</w:t>
      </w:r>
      <w:r w:rsidR="00E47E57">
        <w:rPr>
          <w:b/>
          <w:lang w:val="pl-PL"/>
        </w:rPr>
        <w:t>.202</w:t>
      </w:r>
      <w:r w:rsidR="003205A3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 xml:space="preserve">Dostawa </w:t>
      </w:r>
      <w:r w:rsidR="0069556D">
        <w:rPr>
          <w:b/>
          <w:lang w:val="pl-PL" w:eastAsia="pl-PL"/>
        </w:rPr>
        <w:t xml:space="preserve">komory </w:t>
      </w:r>
      <w:proofErr w:type="spellStart"/>
      <w:r w:rsidR="0069556D">
        <w:rPr>
          <w:b/>
          <w:lang w:val="pl-PL" w:eastAsia="pl-PL"/>
        </w:rPr>
        <w:t>fitotronowej</w:t>
      </w:r>
      <w:proofErr w:type="spellEnd"/>
      <w:r w:rsidR="0069556D">
        <w:rPr>
          <w:b/>
          <w:lang w:val="pl-PL" w:eastAsia="pl-PL"/>
        </w:rPr>
        <w:t xml:space="preserve"> – 1 szt.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6801D85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</w:t>
      </w:r>
      <w:r w:rsidRPr="00FA2718">
        <w:t>publicz</w:t>
      </w:r>
      <w:r w:rsidR="0061008C" w:rsidRPr="00FA2718">
        <w:t>nych (Dz. U. z</w:t>
      </w:r>
      <w:r w:rsidR="007F153F" w:rsidRPr="00FA2718">
        <w:t> </w:t>
      </w:r>
      <w:r w:rsidR="007C047D" w:rsidRPr="00FA2718">
        <w:rPr>
          <w:lang w:val="pl-PL"/>
        </w:rPr>
        <w:t>202</w:t>
      </w:r>
      <w:r w:rsidR="00FA2718" w:rsidRPr="00FA2718">
        <w:rPr>
          <w:lang w:val="pl-PL"/>
        </w:rPr>
        <w:t>3</w:t>
      </w:r>
      <w:r w:rsidR="0061008C" w:rsidRPr="00FA2718">
        <w:t xml:space="preserve"> r. poz. </w:t>
      </w:r>
      <w:r w:rsidR="007C047D" w:rsidRPr="00FA2718">
        <w:rPr>
          <w:lang w:val="pl-PL"/>
        </w:rPr>
        <w:t>1</w:t>
      </w:r>
      <w:r w:rsidR="00FA2718" w:rsidRPr="00FA2718">
        <w:rPr>
          <w:lang w:val="pl-PL"/>
        </w:rPr>
        <w:t>605</w:t>
      </w:r>
      <w:r w:rsidRPr="00FA2718">
        <w:t xml:space="preserve"> z</w:t>
      </w:r>
      <w:r w:rsidR="0061008C" w:rsidRPr="00FA2718">
        <w:t> </w:t>
      </w:r>
      <w:proofErr w:type="spellStart"/>
      <w:r w:rsidRPr="00FA2718">
        <w:t>późn</w:t>
      </w:r>
      <w:proofErr w:type="spellEnd"/>
      <w:r w:rsidRPr="00FA2718">
        <w:t>. zm</w:t>
      </w:r>
      <w:r w:rsidR="00BA4B90" w:rsidRPr="00FA2718">
        <w:t>.</w:t>
      </w:r>
      <w:r w:rsidR="0061008C" w:rsidRPr="00FA2718">
        <w:t>)</w:t>
      </w:r>
      <w:r w:rsidR="007F153F" w:rsidRPr="00FA2718">
        <w:t>,</w:t>
      </w:r>
      <w:r w:rsidR="007F153F" w:rsidRPr="002336D1">
        <w:t xml:space="preserve"> a także w oparciu o przepis art. 6 ustawy z dnia 6 września 2001 r. o dostępie do informacji 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</w:t>
      </w:r>
      <w:r w:rsidR="003205A3">
        <w:rPr>
          <w:lang w:val="pl-PL"/>
        </w:rPr>
        <w:t>;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lastRenderedPageBreak/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9DBA8D1" w:rsidR="00F85C46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1AB1C562" w14:textId="6171E9D1" w:rsidR="00BD076B" w:rsidRPr="00BD076B" w:rsidRDefault="00BD076B" w:rsidP="00BD076B">
      <w:pPr>
        <w:pStyle w:val="Nagwek3"/>
        <w:numPr>
          <w:ilvl w:val="0"/>
          <w:numId w:val="45"/>
        </w:numPr>
        <w:ind w:left="993"/>
        <w:rPr>
          <w:rFonts w:eastAsia="Calibri"/>
          <w:noProof/>
          <w:szCs w:val="20"/>
          <w:lang w:eastAsia="ar-SA"/>
        </w:rPr>
      </w:pPr>
      <w:r>
        <w:rPr>
          <w:rFonts w:eastAsia="Calibri"/>
          <w:noProof/>
          <w:szCs w:val="20"/>
          <w:lang w:eastAsia="ar-SA"/>
        </w:rPr>
        <w:t xml:space="preserve">Dostawa </w:t>
      </w:r>
      <w:r w:rsidRPr="00BD076B">
        <w:rPr>
          <w:rFonts w:eastAsia="Calibri"/>
          <w:noProof/>
          <w:szCs w:val="20"/>
          <w:lang w:eastAsia="ar-SA"/>
        </w:rPr>
        <w:t xml:space="preserve">będąca przedmiotem niniejszego postępowania o zamówienie publiczne jest finansowana w ramach projektu pt. „jUŚt transition – Potencjał Uniwersytetu Śląskiego podstawą Sprawiedliwej Transformacji regionu” Fundusze Europejskie dla Śląskiego 2021-2027. Tym samym Uniwersytet Śląski w Katowicach jako Beneficjent projektu jest zobowiązany, w celach rozliczeniowych, sprawozdawczych i kontrolnych do przekazania danych wyłonionego w postępowaniu przetargowym Wykonawcy </w:t>
      </w:r>
      <w:r>
        <w:rPr>
          <w:rFonts w:eastAsia="Calibri"/>
          <w:noProof/>
          <w:szCs w:val="20"/>
          <w:lang w:eastAsia="ar-SA"/>
        </w:rPr>
        <w:t>dostaw</w:t>
      </w:r>
      <w:r w:rsidRPr="00BD076B">
        <w:rPr>
          <w:rFonts w:eastAsia="Calibri"/>
          <w:noProof/>
          <w:szCs w:val="20"/>
          <w:lang w:eastAsia="ar-SA"/>
        </w:rPr>
        <w:t xml:space="preserve"> realizowanych w ramach projektu.</w:t>
      </w:r>
    </w:p>
    <w:p w14:paraId="5AE83E7A" w14:textId="30EE0C21" w:rsidR="00BD076B" w:rsidRPr="002336D1" w:rsidRDefault="00BD076B" w:rsidP="00BD076B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BD076B">
        <w:rPr>
          <w:lang w:eastAsia="ar-SA"/>
        </w:rPr>
        <w:t xml:space="preserve">Mając </w:t>
      </w:r>
      <w:proofErr w:type="spellStart"/>
      <w:r w:rsidRPr="00BD076B">
        <w:rPr>
          <w:lang w:eastAsia="ar-SA"/>
        </w:rPr>
        <w:t>powższe</w:t>
      </w:r>
      <w:proofErr w:type="spellEnd"/>
      <w:r w:rsidRPr="00BD076B">
        <w:rPr>
          <w:lang w:eastAsia="ar-SA"/>
        </w:rPr>
        <w:t xml:space="preserve"> na względzie Instytucja Zarządzająca projektem tj. Zarząd Województwa Śląskiego staje się odrębnym Administratorem Państwa danych. Klauzula informacyjna RODO dla podmiotów realizujących projekt znajduje się pod adresem: </w:t>
      </w:r>
      <w:hyperlink r:id="rId34" w:history="1">
        <w:r w:rsidRPr="00BD076B">
          <w:rPr>
            <w:color w:val="0563C1" w:themeColor="hyperlink"/>
            <w:u w:val="single"/>
            <w:lang w:eastAsia="ar-SA"/>
          </w:rPr>
          <w:t>https://funduszeue.slaskie.pl/czytaj/infor_podo_dla_reprez_wniosk</w:t>
        </w:r>
      </w:hyperlink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304094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451" w:right="1134" w:bottom="567" w:left="1134" w:header="4" w:footer="5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CE3ACD" w:rsidRDefault="00CE3ACD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CE3ACD" w:rsidRDefault="00CE3A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723120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F37A7A" w14:textId="77777777" w:rsidR="00CE3ACD" w:rsidRDefault="00CE3ACD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  <w:p w14:paraId="27309F83" w14:textId="73E7FD76" w:rsidR="00CE3ACD" w:rsidRPr="000F39E8" w:rsidRDefault="00A7547C" w:rsidP="000F39E8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F119A33" w14:textId="77777777" w:rsidR="00CE3ACD" w:rsidRPr="000F39E8" w:rsidRDefault="00CE3ACD" w:rsidP="000F3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3C8E6" w14:textId="0DD73C57" w:rsidR="00CE3ACD" w:rsidRDefault="00CE3ACD" w:rsidP="00181A0E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bookmarkStart w:id="42" w:name="_Hlk110507744"/>
  </w:p>
  <w:tbl>
    <w:tblPr>
      <w:tblStyle w:val="Tabela-Siatka1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CE3ACD" w:rsidRPr="00CE3ACD" w14:paraId="6470E008" w14:textId="77777777" w:rsidTr="00CE3ACD">
      <w:trPr>
        <w:trHeight w:val="700"/>
      </w:trPr>
      <w:tc>
        <w:tcPr>
          <w:tcW w:w="3119" w:type="dxa"/>
          <w:tcBorders>
            <w:top w:val="single" w:sz="12" w:space="0" w:color="808080"/>
          </w:tcBorders>
        </w:tcPr>
        <w:p w14:paraId="7464F299" w14:textId="77777777" w:rsidR="00CE3ACD" w:rsidRPr="00CE3ACD" w:rsidRDefault="00CE3ACD" w:rsidP="00CE3ACD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bookmarkStart w:id="43" w:name="_Hlk98499597"/>
          <w:bookmarkStart w:id="44" w:name="_Hlk98499598"/>
          <w:r w:rsidRPr="00CE3ACD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BIURO PROJEKTU</w:t>
          </w:r>
        </w:p>
        <w:p w14:paraId="421045D6" w14:textId="68CE4AB8" w:rsidR="00CE3ACD" w:rsidRPr="00CE3ACD" w:rsidRDefault="00CE3ACD" w:rsidP="005F063C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</w:pPr>
          <w:r w:rsidRPr="00CE3ACD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t>Uniwersytet Śląski w Katowicach</w:t>
          </w:r>
          <w:r w:rsidRPr="00CE3ACD">
            <w:rPr>
              <w:rFonts w:ascii="PT Sans" w:eastAsia="Times New Roman" w:hAnsi="PT Sans" w:cs="Calibri"/>
              <w:color w:val="404040"/>
              <w:sz w:val="16"/>
              <w:szCs w:val="18"/>
              <w:lang w:eastAsia="pl-PL"/>
            </w:rPr>
            <w:br/>
            <w:t>40–007 Katowice, ul. Bankowa 12, p. 2.7</w:t>
          </w:r>
        </w:p>
      </w:tc>
      <w:tc>
        <w:tcPr>
          <w:tcW w:w="2889" w:type="dxa"/>
          <w:tcBorders>
            <w:top w:val="single" w:sz="12" w:space="0" w:color="808080"/>
          </w:tcBorders>
        </w:tcPr>
        <w:p w14:paraId="0553FA6A" w14:textId="77777777" w:rsidR="00CE3ACD" w:rsidRPr="00CE3ACD" w:rsidRDefault="00CE3ACD" w:rsidP="00CE3ACD">
          <w:pPr>
            <w:tabs>
              <w:tab w:val="center" w:pos="4536"/>
              <w:tab w:val="right" w:pos="9072"/>
            </w:tabs>
            <w:rPr>
              <w:rFonts w:ascii="PT Sans" w:eastAsia="Times New Roman" w:hAnsi="PT Sans" w:cs="Calibri"/>
              <w:color w:val="404040"/>
              <w:sz w:val="18"/>
              <w:szCs w:val="18"/>
              <w:lang w:eastAsia="pl-PL"/>
            </w:rPr>
          </w:pPr>
        </w:p>
      </w:tc>
      <w:tc>
        <w:tcPr>
          <w:tcW w:w="3686" w:type="dxa"/>
          <w:tcBorders>
            <w:top w:val="single" w:sz="12" w:space="0" w:color="808080"/>
          </w:tcBorders>
        </w:tcPr>
        <w:p w14:paraId="01BA558E" w14:textId="77777777" w:rsidR="00CE3ACD" w:rsidRPr="00CE3ACD" w:rsidRDefault="00CE3ACD" w:rsidP="00CE3ACD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Times New Roman" w:hAnsi="PT Sans" w:cs="Times New Roman"/>
              <w:color w:val="404040"/>
              <w:sz w:val="18"/>
              <w:szCs w:val="18"/>
              <w:lang w:eastAsia="pl-PL"/>
            </w:rPr>
          </w:pPr>
          <w:r w:rsidRPr="00CE3ACD">
            <w:rPr>
              <w:rFonts w:ascii="PT Sans" w:eastAsia="Times New Roman" w:hAnsi="PT Sans" w:cs="Calibri"/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594F7CA2" wp14:editId="596D28A5">
                <wp:extent cx="2174562" cy="257175"/>
                <wp:effectExtent l="0" t="0" r="0" b="0"/>
                <wp:docPr id="51" name="Obraz 51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3"/>
    <w:bookmarkEnd w:id="44"/>
  </w:tbl>
  <w:p w14:paraId="427EB9E7" w14:textId="77777777" w:rsidR="00CE3ACD" w:rsidRDefault="00CE3ACD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eastAsia="Calibri" w:cs="Times New Roman"/>
        <w:color w:val="002D59"/>
        <w:sz w:val="16"/>
        <w:szCs w:val="16"/>
        <w:lang w:val="de-DE"/>
      </w:rPr>
    </w:pPr>
  </w:p>
  <w:p w14:paraId="50C1F02F" w14:textId="60FC74DA" w:rsidR="00CE3ACD" w:rsidRDefault="00CE3ACD" w:rsidP="00181A0E">
    <w:pPr>
      <w:tabs>
        <w:tab w:val="center" w:pos="4536"/>
        <w:tab w:val="right" w:pos="9072"/>
      </w:tabs>
      <w:spacing w:line="200" w:lineRule="exact"/>
      <w:ind w:left="0" w:firstLine="0"/>
      <w:jc w:val="left"/>
      <w:rPr>
        <w:rFonts w:ascii="PT Sans" w:eastAsia="Calibri" w:hAnsi="PT Sans" w:cs="Times New Roman"/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21C6900" wp14:editId="25FC740A">
              <wp:simplePos x="0" y="0"/>
              <wp:positionH relativeFrom="rightMargin">
                <wp:posOffset>-1299210</wp:posOffset>
              </wp:positionH>
              <wp:positionV relativeFrom="margin">
                <wp:posOffset>9707245</wp:posOffset>
              </wp:positionV>
              <wp:extent cx="581025" cy="304800"/>
              <wp:effectExtent l="0" t="0" r="9525" b="0"/>
              <wp:wrapNone/>
              <wp:docPr id="31" name="Prostoką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F50090" w14:textId="77777777" w:rsidR="00CE3ACD" w:rsidRDefault="00CE3ACD" w:rsidP="00181A0E">
                          <w:pP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color w:val="2F5496" w:themeColor="accent1" w:themeShade="B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1C6900" id="Prostokąt 31" o:spid="_x0000_s1027" style="position:absolute;margin-left:-102.3pt;margin-top:764.35pt;width:45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" o:allowincell="f" stroked="f">
              <v:textbox inset="0,,0">
                <w:txbxContent>
                  <w:p w14:paraId="56F50090" w14:textId="77777777" w:rsidR="00CE3ACD" w:rsidRDefault="00CE3ACD" w:rsidP="00181A0E">
                    <w:pPr>
                      <w:rPr>
                        <w:color w:val="2F5496" w:themeColor="accent1" w:themeShade="BF"/>
                        <w:sz w:val="24"/>
                        <w:szCs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4"/>
                        <w:szCs w:val="24"/>
                      </w:rPr>
                      <w:t>1</w:t>
                    </w: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bookmarkEnd w:id="4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CE3ACD" w:rsidRDefault="00CE3ACD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CE3ACD" w:rsidRDefault="00CE3AC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6244282"/>
      <w:docPartObj>
        <w:docPartGallery w:val="Page Numbers (Margins)"/>
        <w:docPartUnique/>
      </w:docPartObj>
    </w:sdtPr>
    <w:sdtEndPr/>
    <w:sdtContent>
      <w:p w14:paraId="04EB834B" w14:textId="24905AC8" w:rsidR="00CE3ACD" w:rsidRDefault="00CE3AC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C7998E7" w:rsidR="00CE3ACD" w:rsidRDefault="00CE3AC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 xml:space="preserve">Strona  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16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C7998E7" w:rsidR="00CE3ACD" w:rsidRDefault="00CE3AC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 xml:space="preserve">Strona  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2E870" w14:textId="77777777" w:rsidR="00304094" w:rsidRDefault="00304094" w:rsidP="00304094">
    <w:pPr>
      <w:pStyle w:val="Nagwek"/>
      <w:ind w:left="0" w:firstLine="0"/>
    </w:pPr>
  </w:p>
  <w:p w14:paraId="7150F4F2" w14:textId="448A9780" w:rsidR="00304094" w:rsidRDefault="00304094" w:rsidP="00304094">
    <w:pPr>
      <w:pStyle w:val="Nagwek"/>
      <w:ind w:left="0" w:firstLine="0"/>
    </w:pPr>
    <w:r w:rsidRPr="00304094">
      <w:rPr>
        <w:rFonts w:ascii="Calibri" w:eastAsia="Times New Roman" w:hAnsi="Calibri" w:cs="Times New Roman"/>
        <w:noProof/>
        <w:sz w:val="22"/>
        <w:szCs w:val="20"/>
        <w:lang w:eastAsia="pl-PL"/>
      </w:rPr>
      <w:drawing>
        <wp:anchor distT="0" distB="0" distL="114300" distR="114300" simplePos="0" relativeHeight="251661312" behindDoc="1" locked="0" layoutInCell="1" allowOverlap="1" wp14:anchorId="53BA0B18" wp14:editId="65EECAA7">
          <wp:simplePos x="0" y="0"/>
          <wp:positionH relativeFrom="column">
            <wp:posOffset>-471170</wp:posOffset>
          </wp:positionH>
          <wp:positionV relativeFrom="paragraph">
            <wp:posOffset>138430</wp:posOffset>
          </wp:positionV>
          <wp:extent cx="6911222" cy="504825"/>
          <wp:effectExtent l="0" t="0" r="4445" b="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222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AABD1B" w14:textId="7C53FADE" w:rsidR="00304094" w:rsidRDefault="00304094" w:rsidP="00304094">
    <w:pPr>
      <w:pStyle w:val="Nagwek"/>
    </w:pPr>
  </w:p>
  <w:p w14:paraId="75255F97" w14:textId="77777777" w:rsidR="00304094" w:rsidRDefault="00304094" w:rsidP="00304094">
    <w:pPr>
      <w:pStyle w:val="Nagwek"/>
      <w:jc w:val="center"/>
    </w:pPr>
  </w:p>
  <w:p w14:paraId="423549B3" w14:textId="24EB4F48" w:rsidR="00304094" w:rsidRPr="00304094" w:rsidRDefault="00304094" w:rsidP="00304094">
    <w:pPr>
      <w:tabs>
        <w:tab w:val="center" w:pos="4536"/>
        <w:tab w:val="right" w:pos="9072"/>
      </w:tabs>
      <w:spacing w:line="240" w:lineRule="auto"/>
      <w:ind w:left="0" w:firstLine="0"/>
      <w:jc w:val="left"/>
      <w:rPr>
        <w:rFonts w:ascii="Calibri" w:eastAsia="Times New Roman" w:hAnsi="Calibri" w:cs="Times New Roman"/>
        <w:sz w:val="22"/>
        <w:szCs w:val="20"/>
        <w:lang w:eastAsia="pl-PL"/>
      </w:rPr>
    </w:pPr>
  </w:p>
  <w:p w14:paraId="115924E8" w14:textId="77777777" w:rsidR="00304094" w:rsidRPr="00304094" w:rsidRDefault="00304094" w:rsidP="0030409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</w:p>
  <w:p w14:paraId="7A175049" w14:textId="77777777" w:rsidR="00304094" w:rsidRDefault="00304094" w:rsidP="0030409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b/>
        <w:bCs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sz w:val="22"/>
        <w:szCs w:val="20"/>
        <w:lang w:eastAsia="pl-PL"/>
      </w:rPr>
      <w:t xml:space="preserve">Projekt pt. </w:t>
    </w: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„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jUŚt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</w:t>
    </w:r>
    <w:proofErr w:type="spellStart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transition</w:t>
    </w:r>
    <w:proofErr w:type="spellEnd"/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 xml:space="preserve"> - Potencjał Uniwersytetu Śląskiego podstawą Sprawiedliwej </w:t>
    </w:r>
  </w:p>
  <w:p w14:paraId="23E999B2" w14:textId="17F055C6" w:rsidR="00304094" w:rsidRPr="00304094" w:rsidRDefault="00304094" w:rsidP="00304094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Times New Roman" w:hAnsi="Calibri" w:cs="Times New Roman"/>
        <w:sz w:val="22"/>
        <w:szCs w:val="20"/>
        <w:lang w:eastAsia="pl-PL"/>
      </w:rPr>
    </w:pPr>
    <w:r w:rsidRPr="00304094">
      <w:rPr>
        <w:rFonts w:ascii="Calibri" w:eastAsia="Times New Roman" w:hAnsi="Calibri" w:cs="Times New Roman"/>
        <w:b/>
        <w:bCs/>
        <w:sz w:val="22"/>
        <w:szCs w:val="20"/>
        <w:lang w:eastAsia="pl-PL"/>
      </w:rPr>
      <w:t>Transformacji regionu”</w:t>
    </w:r>
  </w:p>
  <w:p w14:paraId="10560B9A" w14:textId="77777777" w:rsidR="00304094" w:rsidRPr="00304094" w:rsidRDefault="00304094" w:rsidP="00304094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88A0E65"/>
    <w:multiLevelType w:val="hybridMultilevel"/>
    <w:tmpl w:val="D09CA0E8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976E4"/>
    <w:multiLevelType w:val="hybridMultilevel"/>
    <w:tmpl w:val="C53652FA"/>
    <w:lvl w:ilvl="0" w:tplc="6E34517A">
      <w:start w:val="3"/>
      <w:numFmt w:val="lowerLetter"/>
      <w:lvlText w:val="%1)"/>
      <w:lvlJc w:val="left"/>
      <w:pPr>
        <w:ind w:left="1571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7E3AD6C4"/>
    <w:lvl w:ilvl="0" w:tplc="A796B34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2D14CC2E"/>
    <w:lvl w:ilvl="0" w:tplc="FF3ADFA4">
      <w:start w:val="2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5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13"/>
  </w:num>
  <w:num w:numId="11">
    <w:abstractNumId w:val="1"/>
  </w:num>
  <w:num w:numId="12">
    <w:abstractNumId w:val="12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2"/>
    </w:lvlOverride>
  </w:num>
  <w:num w:numId="19">
    <w:abstractNumId w:val="1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3"/>
  </w:num>
  <w:num w:numId="36">
    <w:abstractNumId w:val="4"/>
    <w:lvlOverride w:ilvl="0">
      <w:startOverride w:val="2"/>
    </w:lvlOverride>
  </w:num>
  <w:num w:numId="37">
    <w:abstractNumId w:val="1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1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1"/>
    <w:lvlOverride w:ilvl="0">
      <w:startOverride w:val="1"/>
    </w:lvlOverride>
  </w:num>
  <w:num w:numId="46">
    <w:abstractNumId w:val="1"/>
    <w:lvlOverride w:ilvl="0">
      <w:startOverride w:val="1"/>
    </w:lvlOverride>
  </w:num>
  <w:num w:numId="47">
    <w:abstractNumId w:val="8"/>
  </w:num>
  <w:num w:numId="48">
    <w:abstractNumId w:val="1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1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1"/>
    <w:lvlOverride w:ilvl="0">
      <w:startOverride w:val="1"/>
    </w:lvlOverride>
  </w:num>
  <w:num w:numId="58">
    <w:abstractNumId w:val="1"/>
    <w:lvlOverride w:ilvl="0">
      <w:startOverride w:val="1"/>
    </w:lvlOverride>
  </w:num>
  <w:num w:numId="59">
    <w:abstractNumId w:val="1"/>
    <w:lvlOverride w:ilvl="0">
      <w:startOverride w:val="1"/>
    </w:lvlOverride>
  </w:num>
  <w:num w:numId="60">
    <w:abstractNumId w:val="0"/>
  </w:num>
  <w:num w:numId="61">
    <w:abstractNumId w:val="12"/>
    <w:lvlOverride w:ilvl="0">
      <w:startOverride w:val="1"/>
    </w:lvlOverride>
  </w:num>
  <w:num w:numId="62">
    <w:abstractNumId w:val="1"/>
    <w:lvlOverride w:ilvl="0">
      <w:startOverride w:val="1"/>
    </w:lvlOverride>
  </w:num>
  <w:num w:numId="63">
    <w:abstractNumId w:val="14"/>
  </w:num>
  <w:num w:numId="64">
    <w:abstractNumId w:val="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F57"/>
    <w:rsid w:val="0001285D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00DE"/>
    <w:rsid w:val="000518A0"/>
    <w:rsid w:val="00051C96"/>
    <w:rsid w:val="00052289"/>
    <w:rsid w:val="00060216"/>
    <w:rsid w:val="00061139"/>
    <w:rsid w:val="00062715"/>
    <w:rsid w:val="000649CD"/>
    <w:rsid w:val="00065E6E"/>
    <w:rsid w:val="00066CCC"/>
    <w:rsid w:val="00070C25"/>
    <w:rsid w:val="000729DF"/>
    <w:rsid w:val="000733DA"/>
    <w:rsid w:val="0007783E"/>
    <w:rsid w:val="00080C23"/>
    <w:rsid w:val="00081DD4"/>
    <w:rsid w:val="00083060"/>
    <w:rsid w:val="0008363D"/>
    <w:rsid w:val="000836B7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0228"/>
    <w:rsid w:val="000E587B"/>
    <w:rsid w:val="000E75DD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277E6"/>
    <w:rsid w:val="001400B0"/>
    <w:rsid w:val="00140F4A"/>
    <w:rsid w:val="001463E7"/>
    <w:rsid w:val="00147280"/>
    <w:rsid w:val="001509D7"/>
    <w:rsid w:val="00155256"/>
    <w:rsid w:val="001579CF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63EA"/>
    <w:rsid w:val="001902EC"/>
    <w:rsid w:val="00193F03"/>
    <w:rsid w:val="00195330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1DE9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64155"/>
    <w:rsid w:val="002704F5"/>
    <w:rsid w:val="00272E3F"/>
    <w:rsid w:val="00273A5E"/>
    <w:rsid w:val="002767DF"/>
    <w:rsid w:val="00292832"/>
    <w:rsid w:val="00292A2C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2F7943"/>
    <w:rsid w:val="00300C65"/>
    <w:rsid w:val="00301EA8"/>
    <w:rsid w:val="00304094"/>
    <w:rsid w:val="0030556D"/>
    <w:rsid w:val="00305D5C"/>
    <w:rsid w:val="00307C21"/>
    <w:rsid w:val="0031115A"/>
    <w:rsid w:val="003144B0"/>
    <w:rsid w:val="00314752"/>
    <w:rsid w:val="00315CE9"/>
    <w:rsid w:val="00317F1D"/>
    <w:rsid w:val="003205A3"/>
    <w:rsid w:val="00321B53"/>
    <w:rsid w:val="00325C49"/>
    <w:rsid w:val="003322E2"/>
    <w:rsid w:val="003327C2"/>
    <w:rsid w:val="0033333B"/>
    <w:rsid w:val="00337C5C"/>
    <w:rsid w:val="003439DD"/>
    <w:rsid w:val="003506EF"/>
    <w:rsid w:val="003531D1"/>
    <w:rsid w:val="003547C0"/>
    <w:rsid w:val="00354EEE"/>
    <w:rsid w:val="00357D01"/>
    <w:rsid w:val="003620A2"/>
    <w:rsid w:val="003636A2"/>
    <w:rsid w:val="00367079"/>
    <w:rsid w:val="00375402"/>
    <w:rsid w:val="00380CA4"/>
    <w:rsid w:val="00382315"/>
    <w:rsid w:val="00384DA3"/>
    <w:rsid w:val="00385AD8"/>
    <w:rsid w:val="00385E23"/>
    <w:rsid w:val="003918BB"/>
    <w:rsid w:val="003925AC"/>
    <w:rsid w:val="003A658B"/>
    <w:rsid w:val="003A7B0A"/>
    <w:rsid w:val="003B3416"/>
    <w:rsid w:val="003B3FBD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E6DD1"/>
    <w:rsid w:val="003F482F"/>
    <w:rsid w:val="003F77B9"/>
    <w:rsid w:val="004034D9"/>
    <w:rsid w:val="00404C44"/>
    <w:rsid w:val="0040530F"/>
    <w:rsid w:val="00410DFD"/>
    <w:rsid w:val="00412C7D"/>
    <w:rsid w:val="00415086"/>
    <w:rsid w:val="00416D5A"/>
    <w:rsid w:val="004171C7"/>
    <w:rsid w:val="004238D1"/>
    <w:rsid w:val="00424899"/>
    <w:rsid w:val="00427658"/>
    <w:rsid w:val="00430D9E"/>
    <w:rsid w:val="0043134E"/>
    <w:rsid w:val="004331F4"/>
    <w:rsid w:val="00436D0E"/>
    <w:rsid w:val="00436F8D"/>
    <w:rsid w:val="00441C32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12AC8"/>
    <w:rsid w:val="00512CD6"/>
    <w:rsid w:val="005149DB"/>
    <w:rsid w:val="00515101"/>
    <w:rsid w:val="00525724"/>
    <w:rsid w:val="00530CAA"/>
    <w:rsid w:val="00534F9B"/>
    <w:rsid w:val="00537362"/>
    <w:rsid w:val="005438D0"/>
    <w:rsid w:val="00550EB7"/>
    <w:rsid w:val="0055317F"/>
    <w:rsid w:val="00553D74"/>
    <w:rsid w:val="005541AF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69D"/>
    <w:rsid w:val="005A39C3"/>
    <w:rsid w:val="005A5E2C"/>
    <w:rsid w:val="005B34FE"/>
    <w:rsid w:val="005B5871"/>
    <w:rsid w:val="005B5BA7"/>
    <w:rsid w:val="005B7629"/>
    <w:rsid w:val="005C4817"/>
    <w:rsid w:val="005D0757"/>
    <w:rsid w:val="005D2930"/>
    <w:rsid w:val="005D4855"/>
    <w:rsid w:val="005D63CD"/>
    <w:rsid w:val="005D6AC7"/>
    <w:rsid w:val="005D7EA1"/>
    <w:rsid w:val="005E2F99"/>
    <w:rsid w:val="005E31EE"/>
    <w:rsid w:val="005E7B56"/>
    <w:rsid w:val="005F063C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4DCB"/>
    <w:rsid w:val="0065615A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556D"/>
    <w:rsid w:val="00696973"/>
    <w:rsid w:val="006972EB"/>
    <w:rsid w:val="006A1250"/>
    <w:rsid w:val="006A314C"/>
    <w:rsid w:val="006A5F11"/>
    <w:rsid w:val="006A784F"/>
    <w:rsid w:val="006B009C"/>
    <w:rsid w:val="006B318B"/>
    <w:rsid w:val="006B5250"/>
    <w:rsid w:val="006C251D"/>
    <w:rsid w:val="006C5845"/>
    <w:rsid w:val="006D3219"/>
    <w:rsid w:val="006D4E1B"/>
    <w:rsid w:val="006D6009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3D6"/>
    <w:rsid w:val="00740B18"/>
    <w:rsid w:val="00743CB0"/>
    <w:rsid w:val="00745B95"/>
    <w:rsid w:val="00745DE0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85306"/>
    <w:rsid w:val="0078628B"/>
    <w:rsid w:val="00791BE2"/>
    <w:rsid w:val="00792054"/>
    <w:rsid w:val="0079207F"/>
    <w:rsid w:val="00794699"/>
    <w:rsid w:val="00794879"/>
    <w:rsid w:val="007A06EE"/>
    <w:rsid w:val="007A0C0F"/>
    <w:rsid w:val="007A0D0E"/>
    <w:rsid w:val="007A3EF9"/>
    <w:rsid w:val="007B0D99"/>
    <w:rsid w:val="007B1224"/>
    <w:rsid w:val="007B551E"/>
    <w:rsid w:val="007B66D6"/>
    <w:rsid w:val="007C047D"/>
    <w:rsid w:val="007C0EC6"/>
    <w:rsid w:val="007C40A1"/>
    <w:rsid w:val="007C464A"/>
    <w:rsid w:val="007C52C3"/>
    <w:rsid w:val="007C7952"/>
    <w:rsid w:val="007D3CF3"/>
    <w:rsid w:val="007D67F0"/>
    <w:rsid w:val="007E1600"/>
    <w:rsid w:val="007E1EB6"/>
    <w:rsid w:val="007E3C31"/>
    <w:rsid w:val="007E4FCA"/>
    <w:rsid w:val="007E529F"/>
    <w:rsid w:val="007F153F"/>
    <w:rsid w:val="007F1CC6"/>
    <w:rsid w:val="007F2E84"/>
    <w:rsid w:val="007F2FC7"/>
    <w:rsid w:val="007F728E"/>
    <w:rsid w:val="00801A5D"/>
    <w:rsid w:val="0080582A"/>
    <w:rsid w:val="00815FE8"/>
    <w:rsid w:val="008162AF"/>
    <w:rsid w:val="0082259F"/>
    <w:rsid w:val="008267E1"/>
    <w:rsid w:val="008278FB"/>
    <w:rsid w:val="00831C14"/>
    <w:rsid w:val="008325FA"/>
    <w:rsid w:val="00833B90"/>
    <w:rsid w:val="00840989"/>
    <w:rsid w:val="00842750"/>
    <w:rsid w:val="00845B0F"/>
    <w:rsid w:val="00853A8B"/>
    <w:rsid w:val="008614DC"/>
    <w:rsid w:val="00863BE1"/>
    <w:rsid w:val="00871CE0"/>
    <w:rsid w:val="00876189"/>
    <w:rsid w:val="00877825"/>
    <w:rsid w:val="00881926"/>
    <w:rsid w:val="00884A25"/>
    <w:rsid w:val="00884BCD"/>
    <w:rsid w:val="00886073"/>
    <w:rsid w:val="00886C58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35AA"/>
    <w:rsid w:val="0098442D"/>
    <w:rsid w:val="00985869"/>
    <w:rsid w:val="00990E43"/>
    <w:rsid w:val="0099161D"/>
    <w:rsid w:val="00993765"/>
    <w:rsid w:val="00996376"/>
    <w:rsid w:val="009A1C4B"/>
    <w:rsid w:val="009A3127"/>
    <w:rsid w:val="009A326B"/>
    <w:rsid w:val="009A7AB0"/>
    <w:rsid w:val="009B0712"/>
    <w:rsid w:val="009B0940"/>
    <w:rsid w:val="009B459A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7547C"/>
    <w:rsid w:val="00A7722B"/>
    <w:rsid w:val="00A865A7"/>
    <w:rsid w:val="00A867B7"/>
    <w:rsid w:val="00A9008D"/>
    <w:rsid w:val="00A953DB"/>
    <w:rsid w:val="00AA645F"/>
    <w:rsid w:val="00AA68EB"/>
    <w:rsid w:val="00AA6F95"/>
    <w:rsid w:val="00AB3F05"/>
    <w:rsid w:val="00AB42F7"/>
    <w:rsid w:val="00AB5C45"/>
    <w:rsid w:val="00AC0F41"/>
    <w:rsid w:val="00AD1DEF"/>
    <w:rsid w:val="00AD747C"/>
    <w:rsid w:val="00AD7B52"/>
    <w:rsid w:val="00AE0D46"/>
    <w:rsid w:val="00AE0FC0"/>
    <w:rsid w:val="00AE4D72"/>
    <w:rsid w:val="00AE6D98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076B"/>
    <w:rsid w:val="00BD1DFF"/>
    <w:rsid w:val="00BD6F5D"/>
    <w:rsid w:val="00BE040C"/>
    <w:rsid w:val="00BE0652"/>
    <w:rsid w:val="00BE07E2"/>
    <w:rsid w:val="00BE1C0C"/>
    <w:rsid w:val="00BE3A75"/>
    <w:rsid w:val="00BE400E"/>
    <w:rsid w:val="00BE6847"/>
    <w:rsid w:val="00BE7EB1"/>
    <w:rsid w:val="00BF120E"/>
    <w:rsid w:val="00BF1C1E"/>
    <w:rsid w:val="00BF35CF"/>
    <w:rsid w:val="00BF4BB9"/>
    <w:rsid w:val="00BF5986"/>
    <w:rsid w:val="00BF716F"/>
    <w:rsid w:val="00BF753A"/>
    <w:rsid w:val="00C035AE"/>
    <w:rsid w:val="00C05401"/>
    <w:rsid w:val="00C06BAC"/>
    <w:rsid w:val="00C0799D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4667A"/>
    <w:rsid w:val="00C512D2"/>
    <w:rsid w:val="00C540B8"/>
    <w:rsid w:val="00C6398C"/>
    <w:rsid w:val="00C652CD"/>
    <w:rsid w:val="00C662F4"/>
    <w:rsid w:val="00C66A12"/>
    <w:rsid w:val="00C7019D"/>
    <w:rsid w:val="00C72ACD"/>
    <w:rsid w:val="00C76434"/>
    <w:rsid w:val="00C80205"/>
    <w:rsid w:val="00C80397"/>
    <w:rsid w:val="00C812CA"/>
    <w:rsid w:val="00C8603B"/>
    <w:rsid w:val="00C9409A"/>
    <w:rsid w:val="00CA3460"/>
    <w:rsid w:val="00CB3786"/>
    <w:rsid w:val="00CB4784"/>
    <w:rsid w:val="00CC1292"/>
    <w:rsid w:val="00CC7634"/>
    <w:rsid w:val="00CD1C73"/>
    <w:rsid w:val="00CD6350"/>
    <w:rsid w:val="00CE3ACD"/>
    <w:rsid w:val="00CE4834"/>
    <w:rsid w:val="00CE7E76"/>
    <w:rsid w:val="00CF26F2"/>
    <w:rsid w:val="00CF4850"/>
    <w:rsid w:val="00CF6A08"/>
    <w:rsid w:val="00D0074D"/>
    <w:rsid w:val="00D00A2F"/>
    <w:rsid w:val="00D00D00"/>
    <w:rsid w:val="00D019BF"/>
    <w:rsid w:val="00D052E5"/>
    <w:rsid w:val="00D05F0F"/>
    <w:rsid w:val="00D06776"/>
    <w:rsid w:val="00D13151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20C"/>
    <w:rsid w:val="00D65B61"/>
    <w:rsid w:val="00D65CB7"/>
    <w:rsid w:val="00D66702"/>
    <w:rsid w:val="00D73B02"/>
    <w:rsid w:val="00D749C0"/>
    <w:rsid w:val="00D76BC8"/>
    <w:rsid w:val="00D83EC3"/>
    <w:rsid w:val="00D9469F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D6FB6"/>
    <w:rsid w:val="00DE0EE9"/>
    <w:rsid w:val="00DE1639"/>
    <w:rsid w:val="00DE720A"/>
    <w:rsid w:val="00DF3199"/>
    <w:rsid w:val="00DF48EC"/>
    <w:rsid w:val="00E041E8"/>
    <w:rsid w:val="00E054BA"/>
    <w:rsid w:val="00E07D95"/>
    <w:rsid w:val="00E10EFD"/>
    <w:rsid w:val="00E13EAB"/>
    <w:rsid w:val="00E1454C"/>
    <w:rsid w:val="00E1641F"/>
    <w:rsid w:val="00E23287"/>
    <w:rsid w:val="00E25C1E"/>
    <w:rsid w:val="00E33480"/>
    <w:rsid w:val="00E35188"/>
    <w:rsid w:val="00E356FA"/>
    <w:rsid w:val="00E41E8B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97FFE"/>
    <w:rsid w:val="00EA3288"/>
    <w:rsid w:val="00EA5094"/>
    <w:rsid w:val="00EB17FB"/>
    <w:rsid w:val="00EB1AC4"/>
    <w:rsid w:val="00EB2BA0"/>
    <w:rsid w:val="00EC3C34"/>
    <w:rsid w:val="00EC6402"/>
    <w:rsid w:val="00ED2E7A"/>
    <w:rsid w:val="00ED5508"/>
    <w:rsid w:val="00ED57DE"/>
    <w:rsid w:val="00ED6871"/>
    <w:rsid w:val="00EE14B3"/>
    <w:rsid w:val="00EE25BC"/>
    <w:rsid w:val="00EE3452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79E"/>
    <w:rsid w:val="00F35999"/>
    <w:rsid w:val="00F35D5B"/>
    <w:rsid w:val="00F42345"/>
    <w:rsid w:val="00F43774"/>
    <w:rsid w:val="00F531C1"/>
    <w:rsid w:val="00F54060"/>
    <w:rsid w:val="00F5793C"/>
    <w:rsid w:val="00F65A36"/>
    <w:rsid w:val="00F66103"/>
    <w:rsid w:val="00F66A40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A2718"/>
    <w:rsid w:val="00FB0199"/>
    <w:rsid w:val="00FB1D1B"/>
    <w:rsid w:val="00FB3F58"/>
    <w:rsid w:val="00FC3A95"/>
    <w:rsid w:val="00FC76AF"/>
    <w:rsid w:val="00FD113E"/>
    <w:rsid w:val="00FD7AB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21DE9"/>
    <w:pPr>
      <w:keepNext/>
      <w:numPr>
        <w:numId w:val="3"/>
      </w:numPr>
      <w:pBdr>
        <w:bottom w:val="single" w:sz="2" w:space="1" w:color="4BACC6"/>
      </w:pBdr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21DE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  <w:style w:type="table" w:customStyle="1" w:styleId="Tabela-Siatka1">
    <w:name w:val="Tabela - Siatka1"/>
    <w:basedOn w:val="Standardowy"/>
    <w:next w:val="Tabela-Siatka"/>
    <w:uiPriority w:val="59"/>
    <w:rsid w:val="00CE3ACD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E13AB-EDF4-4C2C-A326-BE4594B8E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26</Pages>
  <Words>9665</Words>
  <Characters>57992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52</cp:revision>
  <cp:lastPrinted>2024-06-12T08:43:00Z</cp:lastPrinted>
  <dcterms:created xsi:type="dcterms:W3CDTF">2023-11-06T10:30:00Z</dcterms:created>
  <dcterms:modified xsi:type="dcterms:W3CDTF">2024-06-18T10:43:00Z</dcterms:modified>
</cp:coreProperties>
</file>