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99B10" w14:textId="26C46C90" w:rsidR="00126D6B" w:rsidRDefault="00126D6B" w:rsidP="00B96358">
      <w:pPr>
        <w:tabs>
          <w:tab w:val="left" w:pos="8100"/>
        </w:tabs>
        <w:spacing w:line="259" w:lineRule="auto"/>
        <w:contextualSpacing/>
        <w:jc w:val="right"/>
        <w:rPr>
          <w:i/>
          <w:iCs/>
          <w:kern w:val="0"/>
          <w:sz w:val="24"/>
          <w:szCs w:val="24"/>
          <w14:ligatures w14:val="none"/>
        </w:rPr>
      </w:pPr>
      <w:r w:rsidRPr="00126D6B">
        <w:rPr>
          <w:i/>
          <w:iCs/>
          <w:kern w:val="0"/>
          <w:sz w:val="24"/>
          <w:szCs w:val="24"/>
          <w14:ligatures w14:val="none"/>
        </w:rPr>
        <w:t>ZAŁĄCZNIK nr 1 do Zmiany Treści SWZ nr 1</w:t>
      </w:r>
    </w:p>
    <w:p w14:paraId="1F5C9918" w14:textId="4069C7FA" w:rsidR="00B96358" w:rsidRPr="00B96358" w:rsidRDefault="00B96358" w:rsidP="00B96358">
      <w:pPr>
        <w:tabs>
          <w:tab w:val="left" w:pos="8100"/>
        </w:tabs>
        <w:spacing w:line="259" w:lineRule="auto"/>
        <w:contextualSpacing/>
        <w:jc w:val="right"/>
        <w:rPr>
          <w:i/>
          <w:iCs/>
          <w:kern w:val="0"/>
          <w:sz w:val="24"/>
          <w:szCs w:val="24"/>
          <w14:ligatures w14:val="none"/>
        </w:rPr>
      </w:pPr>
      <w:r w:rsidRPr="00B96358">
        <w:rPr>
          <w:i/>
          <w:iCs/>
          <w:kern w:val="0"/>
          <w:sz w:val="24"/>
          <w:szCs w:val="24"/>
          <w14:ligatures w14:val="none"/>
        </w:rPr>
        <w:t>Załącznik nr 1 do umowy – szczegółowy zakres</w:t>
      </w:r>
    </w:p>
    <w:p w14:paraId="37DC86ED" w14:textId="77777777" w:rsidR="00B96358" w:rsidRDefault="00B96358" w:rsidP="00A67197">
      <w:pPr>
        <w:tabs>
          <w:tab w:val="left" w:pos="8100"/>
        </w:tabs>
        <w:spacing w:line="259" w:lineRule="auto"/>
        <w:contextualSpacing/>
        <w:rPr>
          <w:kern w:val="0"/>
          <w:sz w:val="24"/>
          <w:szCs w:val="24"/>
          <w14:ligatures w14:val="none"/>
        </w:rPr>
      </w:pPr>
    </w:p>
    <w:p w14:paraId="4F41E0BF" w14:textId="77777777" w:rsidR="00B96358" w:rsidRDefault="00B96358" w:rsidP="00A67197">
      <w:pPr>
        <w:tabs>
          <w:tab w:val="left" w:pos="8100"/>
        </w:tabs>
        <w:spacing w:line="259" w:lineRule="auto"/>
        <w:contextualSpacing/>
        <w:rPr>
          <w:kern w:val="0"/>
          <w:sz w:val="24"/>
          <w:szCs w:val="24"/>
          <w14:ligatures w14:val="none"/>
        </w:rPr>
      </w:pPr>
    </w:p>
    <w:p w14:paraId="6B15252E" w14:textId="2C6AFC44" w:rsidR="00A67197" w:rsidRPr="00926F6E" w:rsidRDefault="00A67197" w:rsidP="00A67197">
      <w:pPr>
        <w:tabs>
          <w:tab w:val="left" w:pos="8100"/>
        </w:tabs>
        <w:spacing w:line="259" w:lineRule="auto"/>
        <w:contextualSpacing/>
        <w:rPr>
          <w:b/>
          <w:bCs/>
          <w:kern w:val="0"/>
          <w:sz w:val="24"/>
          <w:szCs w:val="24"/>
          <w14:ligatures w14:val="none"/>
        </w:rPr>
      </w:pPr>
      <w:r w:rsidRPr="00926F6E">
        <w:rPr>
          <w:kern w:val="0"/>
          <w:sz w:val="24"/>
          <w:szCs w:val="24"/>
          <w14:ligatures w14:val="none"/>
        </w:rPr>
        <w:t xml:space="preserve">Wykonanie dokumentacji projektowej przebudowy odcinka trakcyjnego </w:t>
      </w:r>
      <w:r w:rsidRPr="00926F6E">
        <w:rPr>
          <w:b/>
          <w:bCs/>
          <w:kern w:val="0"/>
          <w:sz w:val="24"/>
          <w:szCs w:val="24"/>
          <w14:ligatures w14:val="none"/>
        </w:rPr>
        <w:t xml:space="preserve">w ul. 3 Maja </w:t>
      </w:r>
      <w:r w:rsidRPr="00926F6E">
        <w:rPr>
          <w:kern w:val="0"/>
          <w:sz w:val="24"/>
          <w:szCs w:val="24"/>
          <w14:ligatures w14:val="none"/>
        </w:rPr>
        <w:t xml:space="preserve">w Elblągu </w:t>
      </w:r>
      <w:r w:rsidRPr="00926F6E">
        <w:rPr>
          <w:b/>
          <w:bCs/>
          <w:kern w:val="0"/>
          <w:sz w:val="24"/>
          <w:szCs w:val="24"/>
          <w14:ligatures w14:val="none"/>
        </w:rPr>
        <w:t>od Pl. Konstytucji do Pl. Grunwaldzkiego.</w:t>
      </w:r>
    </w:p>
    <w:p w14:paraId="7BF1A992" w14:textId="77777777" w:rsidR="006E0451" w:rsidRPr="00926F6E" w:rsidRDefault="006E0451" w:rsidP="006E045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4883767" w14:textId="346D67D2" w:rsidR="006E0451" w:rsidRPr="00926F6E" w:rsidRDefault="00F8216D" w:rsidP="006E0451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926F6E">
        <w:rPr>
          <w:rFonts w:cstheme="minorHAnsi"/>
          <w:b/>
          <w:bCs/>
          <w:sz w:val="28"/>
          <w:szCs w:val="28"/>
        </w:rPr>
        <w:t xml:space="preserve">Opis przedmiotu zamówienia </w:t>
      </w:r>
    </w:p>
    <w:p w14:paraId="1D39D400" w14:textId="77777777" w:rsidR="005A371C" w:rsidRPr="00926F6E" w:rsidRDefault="005A371C" w:rsidP="006E0451">
      <w:pPr>
        <w:spacing w:after="0" w:line="276" w:lineRule="auto"/>
        <w:rPr>
          <w:rFonts w:cstheme="minorHAnsi"/>
          <w:sz w:val="24"/>
          <w:szCs w:val="24"/>
        </w:rPr>
      </w:pPr>
    </w:p>
    <w:p w14:paraId="2D902891" w14:textId="4BFED871" w:rsidR="00CC5037" w:rsidRPr="00926F6E" w:rsidRDefault="00CC5037" w:rsidP="006E0451">
      <w:pPr>
        <w:spacing w:after="0" w:line="276" w:lineRule="auto"/>
        <w:jc w:val="both"/>
        <w:rPr>
          <w:b/>
          <w:bCs/>
          <w:kern w:val="0"/>
          <w:sz w:val="24"/>
          <w:szCs w:val="24"/>
          <w14:ligatures w14:val="none"/>
        </w:rPr>
      </w:pPr>
      <w:r w:rsidRPr="00926F6E">
        <w:rPr>
          <w:rFonts w:cstheme="minorHAnsi"/>
          <w:sz w:val="24"/>
          <w:szCs w:val="24"/>
        </w:rPr>
        <w:t xml:space="preserve">Przedmiotem zamówienia jest opracowanie dokumentacji projektowej </w:t>
      </w:r>
      <w:r w:rsidR="00A67197" w:rsidRPr="00926F6E">
        <w:rPr>
          <w:kern w:val="0"/>
          <w:sz w:val="24"/>
          <w:szCs w:val="24"/>
          <w14:ligatures w14:val="none"/>
        </w:rPr>
        <w:t xml:space="preserve">przebudowy odcinka trakcyjnego </w:t>
      </w:r>
      <w:r w:rsidR="00A67197" w:rsidRPr="00926F6E">
        <w:rPr>
          <w:b/>
          <w:bCs/>
          <w:kern w:val="0"/>
          <w:sz w:val="24"/>
          <w:szCs w:val="24"/>
          <w14:ligatures w14:val="none"/>
        </w:rPr>
        <w:t xml:space="preserve">w ul. 3 Maja </w:t>
      </w:r>
      <w:r w:rsidR="00A67197" w:rsidRPr="00926F6E">
        <w:rPr>
          <w:kern w:val="0"/>
          <w:sz w:val="24"/>
          <w:szCs w:val="24"/>
          <w14:ligatures w14:val="none"/>
        </w:rPr>
        <w:t xml:space="preserve">w Elblągu </w:t>
      </w:r>
      <w:r w:rsidR="00A67197" w:rsidRPr="00926F6E">
        <w:rPr>
          <w:b/>
          <w:bCs/>
          <w:kern w:val="0"/>
          <w:sz w:val="24"/>
          <w:szCs w:val="24"/>
          <w14:ligatures w14:val="none"/>
        </w:rPr>
        <w:t>od Pl. Konstytucji do Pl. Grunwaldzkiego.</w:t>
      </w:r>
    </w:p>
    <w:p w14:paraId="5BB0006F" w14:textId="77777777" w:rsidR="00A67197" w:rsidRPr="00926F6E" w:rsidRDefault="00A67197" w:rsidP="006E045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AF6A75" w14:textId="7FAD04CF" w:rsidR="00CC5037" w:rsidRPr="00926F6E" w:rsidRDefault="00CC5037" w:rsidP="002B6BF9">
      <w:pPr>
        <w:pStyle w:val="Akapitzlist"/>
        <w:numPr>
          <w:ilvl w:val="0"/>
          <w:numId w:val="8"/>
        </w:numPr>
        <w:spacing w:after="0" w:line="276" w:lineRule="auto"/>
        <w:ind w:left="426" w:hanging="491"/>
        <w:jc w:val="both"/>
        <w:rPr>
          <w:rFonts w:cstheme="minorHAnsi"/>
          <w:b/>
          <w:bCs/>
          <w:sz w:val="24"/>
          <w:szCs w:val="24"/>
        </w:rPr>
      </w:pPr>
      <w:r w:rsidRPr="00926F6E">
        <w:rPr>
          <w:rFonts w:cstheme="minorHAnsi"/>
          <w:b/>
          <w:bCs/>
          <w:sz w:val="24"/>
          <w:szCs w:val="24"/>
        </w:rPr>
        <w:t>Charakterystyka stanu istniejącego</w:t>
      </w:r>
      <w:r w:rsidR="00973CE6" w:rsidRPr="00926F6E">
        <w:rPr>
          <w:rFonts w:cstheme="minorHAnsi"/>
          <w:b/>
          <w:bCs/>
          <w:sz w:val="24"/>
          <w:szCs w:val="24"/>
        </w:rPr>
        <w:t>.</w:t>
      </w:r>
    </w:p>
    <w:p w14:paraId="6B3B7A9C" w14:textId="77777777" w:rsidR="006E0451" w:rsidRPr="00926F6E" w:rsidRDefault="006E0451" w:rsidP="006E0451">
      <w:pPr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14:paraId="0E62B1EE" w14:textId="5A2D91DC" w:rsidR="00412AE1" w:rsidRPr="00926F6E" w:rsidRDefault="00126940" w:rsidP="00B71DF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Torowisko w</w:t>
      </w:r>
      <w:r w:rsidR="00973CE6" w:rsidRPr="00926F6E">
        <w:rPr>
          <w:rFonts w:cstheme="minorHAnsi"/>
          <w:sz w:val="24"/>
          <w:szCs w:val="24"/>
        </w:rPr>
        <w:t xml:space="preserve"> </w:t>
      </w:r>
      <w:r w:rsidR="007034C9" w:rsidRPr="00926F6E">
        <w:rPr>
          <w:rFonts w:cstheme="minorHAnsi"/>
          <w:sz w:val="24"/>
          <w:szCs w:val="24"/>
        </w:rPr>
        <w:t xml:space="preserve">ul. 3 Maja na odcinku od budynku ul. 3 Maja 2 do peronów przystankowych na Placu Grunwaldzkim jest torowiskiem wydzielonym, podwójnym </w:t>
      </w:r>
      <w:r w:rsidR="0056104D" w:rsidRPr="00926F6E">
        <w:rPr>
          <w:rFonts w:cstheme="minorHAnsi"/>
          <w:sz w:val="24"/>
          <w:szCs w:val="24"/>
        </w:rPr>
        <w:t xml:space="preserve">                 </w:t>
      </w:r>
      <w:r w:rsidR="007034C9" w:rsidRPr="00926F6E">
        <w:rPr>
          <w:rFonts w:cstheme="minorHAnsi"/>
          <w:sz w:val="24"/>
          <w:szCs w:val="24"/>
        </w:rPr>
        <w:t>o szerokości torów 1000 mm.</w:t>
      </w:r>
      <w:r w:rsidR="00B71DF3" w:rsidRPr="00926F6E">
        <w:rPr>
          <w:rFonts w:cstheme="minorHAnsi"/>
          <w:sz w:val="24"/>
          <w:szCs w:val="24"/>
        </w:rPr>
        <w:t xml:space="preserve"> Słupy trakcyjne zlokalizowane są po zewnętrznej stronie torów.</w:t>
      </w:r>
      <w:r w:rsidR="008874AB" w:rsidRPr="00926F6E">
        <w:rPr>
          <w:rFonts w:cstheme="minorHAnsi"/>
          <w:sz w:val="24"/>
          <w:szCs w:val="24"/>
        </w:rPr>
        <w:t xml:space="preserve"> </w:t>
      </w:r>
      <w:r w:rsidR="00541326" w:rsidRPr="00926F6E">
        <w:rPr>
          <w:rFonts w:cstheme="minorHAnsi"/>
          <w:sz w:val="24"/>
          <w:szCs w:val="24"/>
        </w:rPr>
        <w:t xml:space="preserve"> Na całym odcinku obserwuje się duże zużycie eksploatacyjne elementów torowiska w zakresie: </w:t>
      </w:r>
    </w:p>
    <w:p w14:paraId="4DA20869" w14:textId="2659C901" w:rsidR="00541326" w:rsidRPr="00926F6E" w:rsidRDefault="00541326" w:rsidP="0054132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szerokości torów,</w:t>
      </w:r>
    </w:p>
    <w:p w14:paraId="2926094C" w14:textId="2FE70006" w:rsidR="00541326" w:rsidRPr="00926F6E" w:rsidRDefault="00541326" w:rsidP="0054132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zużycia pionowego i bocznego główek szyn,</w:t>
      </w:r>
    </w:p>
    <w:p w14:paraId="1D399C0A" w14:textId="6439E974" w:rsidR="00541326" w:rsidRPr="00926F6E" w:rsidRDefault="00541326" w:rsidP="0054132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przytwierdzeń szynowych,</w:t>
      </w:r>
    </w:p>
    <w:p w14:paraId="3F2A03CA" w14:textId="584520E1" w:rsidR="00541326" w:rsidRPr="00926F6E" w:rsidRDefault="00541326" w:rsidP="0054132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podkładów i podsypki tłuczniowej</w:t>
      </w:r>
    </w:p>
    <w:p w14:paraId="450176DE" w14:textId="1CCBE619" w:rsidR="00541326" w:rsidRPr="00926F6E" w:rsidRDefault="00541326" w:rsidP="0054132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nieliniowości powierzchni szyn tocznych w stykach,</w:t>
      </w:r>
    </w:p>
    <w:p w14:paraId="078CD636" w14:textId="7B1C3354" w:rsidR="00B71DF3" w:rsidRPr="00926F6E" w:rsidRDefault="00B71DF3" w:rsidP="00B71DF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odchyleń od wymaganej przechyłki w łukach, </w:t>
      </w:r>
    </w:p>
    <w:p w14:paraId="3AAD89CA" w14:textId="200C9896" w:rsidR="00541326" w:rsidRPr="00926F6E" w:rsidRDefault="00541326" w:rsidP="0054132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nierówności i ubytków nawierzchni drogowej na przejściach przez tory</w:t>
      </w:r>
      <w:r w:rsidR="00B71DF3" w:rsidRPr="00926F6E">
        <w:rPr>
          <w:rFonts w:cstheme="minorHAnsi"/>
          <w:sz w:val="24"/>
          <w:szCs w:val="24"/>
        </w:rPr>
        <w:t>.</w:t>
      </w:r>
    </w:p>
    <w:p w14:paraId="5C2DE2FD" w14:textId="77777777" w:rsidR="00B71DF3" w:rsidRPr="00926F6E" w:rsidRDefault="00E23455" w:rsidP="00B71DF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Torowisko nie posiada odwodnienia odprowadzającego wody deszczowe do kanalizacji miejskiej, co dodatkowo pogłębia deformację torów w postaci znacznych nierówności pionowych i poziomych. </w:t>
      </w:r>
    </w:p>
    <w:p w14:paraId="75EC6513" w14:textId="4AC25A7E" w:rsidR="00724FA3" w:rsidRPr="00926F6E" w:rsidRDefault="00B71DF3" w:rsidP="00B71DF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Nawierzchnia stalowa torów wykonana jest z szyn rowkowych przymocowanych do podkładów drewnianych </w:t>
      </w:r>
      <w:r w:rsidR="00B22C23" w:rsidRPr="00926F6E">
        <w:rPr>
          <w:rFonts w:cstheme="minorHAnsi"/>
          <w:sz w:val="24"/>
          <w:szCs w:val="24"/>
        </w:rPr>
        <w:t>i żelbetowych z wykorzystaniem mocowań śrubowych                           i mocowań sprężystych. Pod podkładami znajduje się warstwa podsypki z tłucznia kamiennego.</w:t>
      </w:r>
    </w:p>
    <w:p w14:paraId="3539C0B1" w14:textId="2A611394" w:rsidR="009C4906" w:rsidRPr="00926F6E" w:rsidRDefault="009C4906" w:rsidP="009C490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Torowisko posiada zabudowę trawiastą. </w:t>
      </w:r>
    </w:p>
    <w:p w14:paraId="3D8AF9D4" w14:textId="1FA029B8" w:rsidR="009C77C4" w:rsidRPr="00926F6E" w:rsidRDefault="009C77C4" w:rsidP="002B6BF9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Torowisko nie posiada odwodnienia wgłębnego. </w:t>
      </w:r>
    </w:p>
    <w:p w14:paraId="6C7F3506" w14:textId="62FD6873" w:rsidR="00B22C23" w:rsidRPr="00926F6E" w:rsidRDefault="00653E34" w:rsidP="002B6BF9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Odcinek wyposażony jest w</w:t>
      </w:r>
      <w:r w:rsidR="00B22C23" w:rsidRPr="00926F6E">
        <w:rPr>
          <w:rFonts w:cstheme="minorHAnsi"/>
          <w:sz w:val="24"/>
          <w:szCs w:val="24"/>
        </w:rPr>
        <w:t xml:space="preserve"> dwa perony przystankowe o nienormatywnej wysokości.</w:t>
      </w:r>
      <w:r w:rsidR="0056104D" w:rsidRPr="00926F6E">
        <w:rPr>
          <w:rFonts w:cstheme="minorHAnsi"/>
          <w:sz w:val="24"/>
          <w:szCs w:val="24"/>
        </w:rPr>
        <w:t xml:space="preserve"> Nawierzchnia peronów wykonana jest z betonowej kostki brukowej. Perony wyposażone są w wiaty przystankowe.</w:t>
      </w:r>
    </w:p>
    <w:p w14:paraId="1DB6CE10" w14:textId="5A69B633" w:rsidR="00C5361E" w:rsidRPr="00926F6E" w:rsidRDefault="00653E34" w:rsidP="009C4906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Na trasie znajdują się trzy przejścia dla pieszych przez tory zabudowane nawierzchnią                z kostki brukowej, w tym jedno przejście dla pieszych </w:t>
      </w:r>
      <w:r w:rsidR="009C4906" w:rsidRPr="00926F6E">
        <w:rPr>
          <w:rFonts w:cstheme="minorHAnsi"/>
          <w:sz w:val="24"/>
          <w:szCs w:val="24"/>
        </w:rPr>
        <w:t>wyposażone jest w labirynt bezpieczeństwa.</w:t>
      </w:r>
    </w:p>
    <w:p w14:paraId="05FE0D92" w14:textId="099DBADA" w:rsidR="00E97E1B" w:rsidRPr="00926F6E" w:rsidRDefault="00E97E1B" w:rsidP="009C4906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lastRenderedPageBreak/>
        <w:t xml:space="preserve">Na całej długości odcinka, po zewnętrznych stronach torowiska znajdują się stalowe wygrodzenia torowe. </w:t>
      </w:r>
    </w:p>
    <w:p w14:paraId="5C09254F" w14:textId="05F952C3" w:rsidR="00EA18DC" w:rsidRPr="00926F6E" w:rsidRDefault="00EA18DC" w:rsidP="002B6BF9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Długość odcinka wynosi około </w:t>
      </w:r>
      <w:r w:rsidR="009C4906" w:rsidRPr="00926F6E">
        <w:rPr>
          <w:rFonts w:cstheme="minorHAnsi"/>
          <w:sz w:val="24"/>
          <w:szCs w:val="24"/>
        </w:rPr>
        <w:t>614 mtp.</w:t>
      </w:r>
    </w:p>
    <w:p w14:paraId="23704A0C" w14:textId="77777777" w:rsidR="009C4906" w:rsidRPr="00926F6E" w:rsidRDefault="009C4906" w:rsidP="009C4906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0DBD360E" w14:textId="77777777" w:rsidR="00B71DF3" w:rsidRPr="00926F6E" w:rsidRDefault="00B71DF3" w:rsidP="00B71DF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Konsekwencją zużycia torowiska jest pogorszenie parametrów bezpieczeństwa użytkowania, stabilności biegu tramwajów, zagrożenie wykolejeniem oraz wpływ na wzrost poziomu hałasu generowanego do otoczenia. </w:t>
      </w:r>
    </w:p>
    <w:p w14:paraId="1126C1F4" w14:textId="012F8FCE" w:rsidR="00B71DF3" w:rsidRPr="00926F6E" w:rsidRDefault="00B71DF3" w:rsidP="00B71DF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Z uwagi na powyższe, przedmiotowy odcinek torowy wymaga pilnej przebudowy. </w:t>
      </w:r>
    </w:p>
    <w:p w14:paraId="282E2DC5" w14:textId="77777777" w:rsidR="002D4D94" w:rsidRPr="00926F6E" w:rsidRDefault="002D4D94" w:rsidP="00A1716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214B4E" w14:textId="5B3F4913" w:rsidR="0056104D" w:rsidRPr="00926F6E" w:rsidRDefault="0056104D" w:rsidP="00A67197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926F6E">
        <w:rPr>
          <w:rFonts w:cstheme="minorHAnsi"/>
          <w:b/>
          <w:bCs/>
          <w:sz w:val="24"/>
          <w:szCs w:val="24"/>
        </w:rPr>
        <w:t>Warunki wstępne do opracowania dokumentacji projektowej</w:t>
      </w:r>
      <w:r w:rsidR="00F63178" w:rsidRPr="00926F6E">
        <w:rPr>
          <w:rFonts w:cstheme="minorHAnsi"/>
          <w:b/>
          <w:bCs/>
          <w:sz w:val="24"/>
          <w:szCs w:val="24"/>
        </w:rPr>
        <w:t xml:space="preserve"> – torowisko tramwajowe. </w:t>
      </w:r>
    </w:p>
    <w:p w14:paraId="2F3D9D28" w14:textId="77777777" w:rsidR="0056104D" w:rsidRPr="00926F6E" w:rsidRDefault="0056104D" w:rsidP="0056104D">
      <w:pPr>
        <w:pStyle w:val="Akapitzlist"/>
        <w:spacing w:after="0" w:line="276" w:lineRule="auto"/>
        <w:ind w:left="0"/>
        <w:jc w:val="both"/>
        <w:rPr>
          <w:rFonts w:cstheme="minorHAnsi"/>
          <w:b/>
          <w:bCs/>
          <w:sz w:val="12"/>
          <w:szCs w:val="12"/>
        </w:rPr>
      </w:pPr>
    </w:p>
    <w:p w14:paraId="40C2D7F3" w14:textId="6AEA07E4" w:rsidR="0056104D" w:rsidRPr="00926F6E" w:rsidRDefault="0056104D" w:rsidP="0056104D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Torowisko tramwajowe</w:t>
      </w:r>
      <w:r w:rsidRPr="00926F6E">
        <w:rPr>
          <w:rFonts w:cstheme="minorHAnsi"/>
          <w:b/>
          <w:bCs/>
          <w:sz w:val="24"/>
          <w:szCs w:val="24"/>
        </w:rPr>
        <w:t xml:space="preserve"> </w:t>
      </w:r>
      <w:r w:rsidRPr="00926F6E">
        <w:rPr>
          <w:rFonts w:cstheme="minorHAnsi"/>
          <w:sz w:val="24"/>
          <w:szCs w:val="24"/>
        </w:rPr>
        <w:t>powinno być wykonane w technologii umożliwiającej maksymalne wytłumienie wibracji, drgań i hałasu (zgodnie z obowiązującymi normami i przepisami w tym zakresie) oraz zapewniającej elektryczną izolację torowiska. Przed wykonaniem dokumentacji projektowej należy wykonać badania geotechniczne gruntu.</w:t>
      </w:r>
    </w:p>
    <w:p w14:paraId="7155ED53" w14:textId="77777777" w:rsidR="0056104D" w:rsidRPr="00926F6E" w:rsidRDefault="0056104D" w:rsidP="0056104D">
      <w:pPr>
        <w:pStyle w:val="Akapitzlist"/>
        <w:spacing w:after="0" w:line="276" w:lineRule="auto"/>
        <w:ind w:left="0"/>
        <w:jc w:val="both"/>
        <w:rPr>
          <w:rFonts w:cstheme="minorHAnsi"/>
          <w:b/>
          <w:bCs/>
          <w:sz w:val="12"/>
          <w:szCs w:val="12"/>
        </w:rPr>
      </w:pPr>
    </w:p>
    <w:p w14:paraId="75A824FF" w14:textId="10778CEB" w:rsidR="0056104D" w:rsidRPr="00926F6E" w:rsidRDefault="0056104D" w:rsidP="0056104D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Zalecane rozwiązania konstrukcyjne to:</w:t>
      </w:r>
    </w:p>
    <w:p w14:paraId="4B0D673A" w14:textId="77777777" w:rsidR="0056104D" w:rsidRPr="00926F6E" w:rsidRDefault="0056104D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Torowisko dwutorowe o rozstawie torów 1000 mm, wydzielone, o konstrukcji podsypkowej, zaprojektowane po istniejącej trasie z niewielką korektą układu geometrycznego, możliwą do zastosowania w istniejących warunkach terenowych. </w:t>
      </w:r>
      <w:bookmarkStart w:id="0" w:name="_Hlk159569577"/>
    </w:p>
    <w:p w14:paraId="2293FA25" w14:textId="77777777" w:rsidR="0056104D" w:rsidRPr="00926F6E" w:rsidRDefault="0056104D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Torowisko powinno być wykonane z zastosowaniem szyn rowkowych 60R2 (gatunek stali R260) na podkładach strunobetonowych, w systemie przytwierdzenia sprężystego typu SB. Pomiędzy szyną a podkładem należy zastosować przekładkę podszynową. </w:t>
      </w:r>
      <w:bookmarkEnd w:id="0"/>
    </w:p>
    <w:p w14:paraId="5615558D" w14:textId="77777777" w:rsidR="00A67197" w:rsidRPr="00926F6E" w:rsidRDefault="0056104D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Torowisko w łukach powinno być zaprojektowane z szyn 60R2 utwardzanych powierzchniowo o obniżonej zawartości węgla, np. szyny ze stali gat. R290GHT.</w:t>
      </w:r>
      <w:bookmarkStart w:id="1" w:name="_Hlk161131484"/>
    </w:p>
    <w:p w14:paraId="5384B2FB" w14:textId="1642CB38" w:rsidR="00F63178" w:rsidRPr="00926F6E" w:rsidRDefault="00A67197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Wtórny moduł odkształcenia podłoża, badany na poziomie spodu podbudowy pomocniczej (warstwy ochronnej) torowiska nie może być mniejszy niż E</w:t>
      </w:r>
      <w:r w:rsidRPr="00926F6E">
        <w:rPr>
          <w:rFonts w:cstheme="minorHAnsi"/>
          <w:sz w:val="14"/>
          <w:szCs w:val="14"/>
        </w:rPr>
        <w:t>2,v</w:t>
      </w:r>
      <w:r w:rsidRPr="00926F6E">
        <w:rPr>
          <w:rFonts w:cstheme="minorHAnsi"/>
          <w:sz w:val="24"/>
          <w:szCs w:val="24"/>
        </w:rPr>
        <w:t xml:space="preserve">=45 </w:t>
      </w:r>
      <w:proofErr w:type="spellStart"/>
      <w:r w:rsidRPr="00926F6E">
        <w:rPr>
          <w:rFonts w:cstheme="minorHAnsi"/>
          <w:sz w:val="24"/>
          <w:szCs w:val="24"/>
        </w:rPr>
        <w:t>MPa</w:t>
      </w:r>
      <w:proofErr w:type="spellEnd"/>
      <w:r w:rsidRPr="00926F6E">
        <w:rPr>
          <w:rFonts w:cstheme="minorHAnsi"/>
          <w:sz w:val="24"/>
          <w:szCs w:val="24"/>
        </w:rPr>
        <w:t>.</w:t>
      </w:r>
      <w:r w:rsidRPr="00926F6E">
        <w:rPr>
          <w:rFonts w:ascii="Garamond" w:hAnsi="Garamond" w:cs="Garamond"/>
          <w:sz w:val="24"/>
          <w:szCs w:val="24"/>
        </w:rPr>
        <w:t xml:space="preserve"> </w:t>
      </w:r>
    </w:p>
    <w:p w14:paraId="20FF735B" w14:textId="14CEDE8A" w:rsidR="00F63178" w:rsidRPr="00926F6E" w:rsidRDefault="00F63178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Wtórny moduł odkształcenia podbudowy pomocniczej (warstwy ochronnej) torowiska, badany na poziomie spodu zasadniczej podbudowy torowiska nie powinien być mniejszy niż E2,v=120 </w:t>
      </w:r>
      <w:proofErr w:type="spellStart"/>
      <w:r w:rsidRPr="00926F6E">
        <w:rPr>
          <w:rFonts w:cstheme="minorHAnsi"/>
          <w:sz w:val="24"/>
          <w:szCs w:val="24"/>
        </w:rPr>
        <w:t>MPa</w:t>
      </w:r>
      <w:proofErr w:type="spellEnd"/>
      <w:r w:rsidRPr="00926F6E">
        <w:rPr>
          <w:rFonts w:cstheme="minorHAnsi"/>
          <w:sz w:val="24"/>
          <w:szCs w:val="24"/>
        </w:rPr>
        <w:t>. Grubość podbudowy pomocniczej nie może być mniejsza niż 20 cm. Podbudowa pomocnicza powinna być układana na wyprofilowanym podłożu z nachyleniami poprzecznymi o wartości 3 – 5%                              w kierunku drenażu. Podbudowa pomocnicza powinna uniemożliwiać migrację drobnych cząstek gruntów podłoża w podsypkę</w:t>
      </w:r>
      <w:r w:rsidRPr="00926F6E">
        <w:rPr>
          <w:rFonts w:ascii="Calibri" w:hAnsi="Calibri" w:cs="Calibri"/>
          <w:sz w:val="24"/>
          <w:szCs w:val="24"/>
        </w:rPr>
        <w:t xml:space="preserve">. </w:t>
      </w:r>
      <w:r w:rsidRPr="00926F6E">
        <w:rPr>
          <w:rFonts w:ascii="Calibri" w:hAnsi="Calibri" w:cs="Calibri"/>
          <w:kern w:val="0"/>
          <w:sz w:val="24"/>
          <w:szCs w:val="24"/>
        </w:rPr>
        <w:t xml:space="preserve"> Na pomocniczą podbudowę torowiska należy zastosować kruszywo naturalne o wymiarze 0/31,5 mm (nie może być sztuczne ani z recyklingu), ze skały jednego rodzaju.</w:t>
      </w:r>
      <w:bookmarkEnd w:id="1"/>
    </w:p>
    <w:p w14:paraId="2F1E652D" w14:textId="73941265" w:rsidR="00010FA4" w:rsidRPr="00926F6E" w:rsidRDefault="00010FA4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Podsypka torowiska powinna być wykonana z zastosowaniem kruszywa łamanego – tłuczeń 31,5/50 klasy 1, gatunku 1</w:t>
      </w:r>
      <w:r w:rsidR="00F63178" w:rsidRPr="00926F6E">
        <w:rPr>
          <w:rFonts w:cstheme="minorHAnsi"/>
          <w:sz w:val="24"/>
          <w:szCs w:val="24"/>
        </w:rPr>
        <w:t xml:space="preserve"> wg Id-110. </w:t>
      </w:r>
      <w:r w:rsidRPr="00926F6E">
        <w:rPr>
          <w:rFonts w:cstheme="minorHAnsi"/>
          <w:sz w:val="24"/>
          <w:szCs w:val="24"/>
        </w:rPr>
        <w:t>Grubość podsypki, po zagęszczeniu, mierzona pod szyną powinna wynosić min. 20 cm.</w:t>
      </w:r>
    </w:p>
    <w:p w14:paraId="158D9C52" w14:textId="77777777" w:rsidR="00010FA4" w:rsidRPr="00926F6E" w:rsidRDefault="00010FA4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Na projektowanym odcinku należy zastosować matę antywibracyjną. </w:t>
      </w:r>
    </w:p>
    <w:p w14:paraId="253AB364" w14:textId="77777777" w:rsidR="00010FA4" w:rsidRPr="00926F6E" w:rsidRDefault="00010FA4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Tor należy projektować jako bezstykowy, spawany termitowo metodą SoWoS.</w:t>
      </w:r>
    </w:p>
    <w:p w14:paraId="149ACEDF" w14:textId="77777777" w:rsidR="00010FA4" w:rsidRPr="00926F6E" w:rsidRDefault="00010FA4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W celu ograniczenia wyboczeń torów, spowodowanych różnicą temperatury przewidzieć montaż przyrządów wyrównawczych. </w:t>
      </w:r>
    </w:p>
    <w:p w14:paraId="3950BC15" w14:textId="5A71B06C" w:rsidR="00010FA4" w:rsidRPr="00926F6E" w:rsidRDefault="00010FA4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lastRenderedPageBreak/>
        <w:t xml:space="preserve">Nawierzchnie przejść dla pieszych przez tory zaprojektować z betonowej kostki brukowej na podbudowie z betonu cementowego. Na przejściu przy ul. Bałuckiego należy zastosować labirynt bezpieczeństwa. </w:t>
      </w:r>
    </w:p>
    <w:p w14:paraId="031715FF" w14:textId="77777777" w:rsidR="00010FA4" w:rsidRPr="00926F6E" w:rsidRDefault="00010FA4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Odwodnienie powierzchniowe torów powinno być przyłączone do miejskiej kanalizacji deszczowej.</w:t>
      </w:r>
    </w:p>
    <w:p w14:paraId="65865577" w14:textId="4ABB00B6" w:rsidR="00010FA4" w:rsidRPr="00926F6E" w:rsidRDefault="00010FA4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Parametry techniczne peronów przystankowych:</w:t>
      </w:r>
    </w:p>
    <w:p w14:paraId="6D89A3EC" w14:textId="77777777" w:rsidR="00010FA4" w:rsidRPr="00926F6E" w:rsidRDefault="00010FA4" w:rsidP="00A67197">
      <w:pPr>
        <w:pStyle w:val="Akapitzlist"/>
        <w:numPr>
          <w:ilvl w:val="3"/>
          <w:numId w:val="8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długość peronów przystanków tramwajowych (bez rampy) powinna być nie mniejsza niż 30 m, wyniesienie peronów: 0,19 m w stosunku do główki szyny,</w:t>
      </w:r>
    </w:p>
    <w:p w14:paraId="546291F0" w14:textId="77777777" w:rsidR="00010FA4" w:rsidRPr="00926F6E" w:rsidRDefault="00010FA4" w:rsidP="00A67197">
      <w:pPr>
        <w:pStyle w:val="Akapitzlist"/>
        <w:numPr>
          <w:ilvl w:val="3"/>
          <w:numId w:val="8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szerokość użytkowa peronów, w miejscach gdzie jest to możliwe, powinna zapewniać bezpieczne poruszanie się pasażerów,</w:t>
      </w:r>
    </w:p>
    <w:p w14:paraId="6485921B" w14:textId="77777777" w:rsidR="00010FA4" w:rsidRPr="00926F6E" w:rsidRDefault="00010FA4" w:rsidP="00A67197">
      <w:pPr>
        <w:pStyle w:val="Akapitzlist"/>
        <w:numPr>
          <w:ilvl w:val="3"/>
          <w:numId w:val="8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urządzenia techniczne peronu powinny być oddalone od krawędzi peronu co najmniej 0,75 m,</w:t>
      </w:r>
    </w:p>
    <w:p w14:paraId="7343018D" w14:textId="77777777" w:rsidR="00010FA4" w:rsidRPr="00926F6E" w:rsidRDefault="00010FA4" w:rsidP="00A67197">
      <w:pPr>
        <w:pStyle w:val="Akapitzlist"/>
        <w:numPr>
          <w:ilvl w:val="3"/>
          <w:numId w:val="8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rampa łącząca perony z przejściem dla pieszych powinna mieć szerokość równą peronowi i pochylenie poprzeczne nie większe niż 8 %. Od strony torów perony powinny być ograniczone krawężnikiem peronowym w kształcie litery „L”. Odległość pomiędzy osią toru a krawężnikiem peronów powinna wynosić 1,25 m,</w:t>
      </w:r>
    </w:p>
    <w:p w14:paraId="6C9F8611" w14:textId="77777777" w:rsidR="00010FA4" w:rsidRPr="00926F6E" w:rsidRDefault="00010FA4" w:rsidP="00A67197">
      <w:pPr>
        <w:pStyle w:val="Akapitzlist"/>
        <w:numPr>
          <w:ilvl w:val="3"/>
          <w:numId w:val="8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na całej długości peronów umieścić pas ostrzegawczy w postaci płytek integracyjnych koloru żółtego,</w:t>
      </w:r>
    </w:p>
    <w:p w14:paraId="4FBFF117" w14:textId="296D705C" w:rsidR="00010FA4" w:rsidRPr="00926F6E" w:rsidRDefault="00010FA4" w:rsidP="00A67197">
      <w:pPr>
        <w:pStyle w:val="Akapitzlist"/>
        <w:numPr>
          <w:ilvl w:val="3"/>
          <w:numId w:val="8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perony wyposażyć w wiaty przystankowe z gablotami na rozkłady jazdy i znaki informacyjne. </w:t>
      </w:r>
    </w:p>
    <w:p w14:paraId="1E981A2D" w14:textId="5519A5A4" w:rsidR="00010FA4" w:rsidRPr="00926F6E" w:rsidRDefault="00010FA4" w:rsidP="00A6719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Wygrodzenia torowe:</w:t>
      </w:r>
    </w:p>
    <w:p w14:paraId="18E5FAFD" w14:textId="77777777" w:rsidR="00A67197" w:rsidRPr="00926F6E" w:rsidRDefault="00010FA4" w:rsidP="00A67197">
      <w:pPr>
        <w:pStyle w:val="Akapitzlist"/>
        <w:numPr>
          <w:ilvl w:val="3"/>
          <w:numId w:val="8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zaprojektować wygrodzenia torowe wzorowane na stosowanych w Elblągu,</w:t>
      </w:r>
    </w:p>
    <w:p w14:paraId="0B9DDBF2" w14:textId="49DA8AA9" w:rsidR="00010FA4" w:rsidRPr="00926F6E" w:rsidRDefault="00010FA4" w:rsidP="00A67197">
      <w:pPr>
        <w:pStyle w:val="Akapitzlist"/>
        <w:numPr>
          <w:ilvl w:val="3"/>
          <w:numId w:val="8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kolor wygrodzeń i barier: szary RAL 7037.</w:t>
      </w:r>
    </w:p>
    <w:p w14:paraId="2368FF0E" w14:textId="77777777" w:rsidR="0056104D" w:rsidRPr="00926F6E" w:rsidRDefault="0056104D" w:rsidP="00010FA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4C9E45" w14:textId="377B5659" w:rsidR="002F6FA9" w:rsidRPr="00926F6E" w:rsidRDefault="00A17160" w:rsidP="00010FA4">
      <w:pPr>
        <w:pStyle w:val="Akapitzlist"/>
        <w:numPr>
          <w:ilvl w:val="0"/>
          <w:numId w:val="8"/>
        </w:numPr>
        <w:spacing w:after="0" w:line="276" w:lineRule="auto"/>
        <w:ind w:left="720" w:hanging="360"/>
        <w:jc w:val="both"/>
        <w:rPr>
          <w:rFonts w:cstheme="minorHAnsi"/>
          <w:b/>
          <w:bCs/>
          <w:sz w:val="24"/>
          <w:szCs w:val="24"/>
        </w:rPr>
      </w:pPr>
      <w:r w:rsidRPr="00926F6E">
        <w:rPr>
          <w:rFonts w:cstheme="minorHAnsi"/>
          <w:b/>
          <w:bCs/>
          <w:sz w:val="24"/>
          <w:szCs w:val="24"/>
        </w:rPr>
        <w:t xml:space="preserve"> </w:t>
      </w:r>
      <w:r w:rsidR="002F6FA9" w:rsidRPr="00926F6E">
        <w:rPr>
          <w:rFonts w:cstheme="minorHAnsi"/>
          <w:b/>
          <w:bCs/>
          <w:sz w:val="24"/>
          <w:szCs w:val="24"/>
        </w:rPr>
        <w:t xml:space="preserve">Warunki do opracowania dokumentacji projektowej – sieć trakcyjna. </w:t>
      </w:r>
    </w:p>
    <w:p w14:paraId="66ECCD68" w14:textId="77777777" w:rsidR="002F6FA9" w:rsidRPr="00926F6E" w:rsidRDefault="002F6FA9" w:rsidP="002F6FA9">
      <w:pPr>
        <w:pStyle w:val="Akapitzlist"/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14:paraId="1615A4E8" w14:textId="77777777" w:rsidR="002F6FA9" w:rsidRPr="00926F6E" w:rsidRDefault="002F6FA9" w:rsidP="00B76FD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Przebudowa punktu zasilającego "3-go Maja" i punktu kabli powrotnych "3-go Maja" wraz z wymianą słupa trakcyjnego. </w:t>
      </w:r>
    </w:p>
    <w:p w14:paraId="46AC32A8" w14:textId="77777777" w:rsidR="002F6FA9" w:rsidRPr="00926F6E" w:rsidRDefault="002F6FA9" w:rsidP="00B76FD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Wymiana słupa trakcyjnego przy ul. Oboźnej wraz z zawiesiem poprzecznym.</w:t>
      </w:r>
    </w:p>
    <w:p w14:paraId="1C597EB2" w14:textId="6C8DA8CE" w:rsidR="002F6FA9" w:rsidRPr="00926F6E" w:rsidRDefault="002F6FA9" w:rsidP="00B76FD7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Przebudowa sieci powrotnej w </w:t>
      </w:r>
      <w:r w:rsidR="00A67197" w:rsidRPr="00926F6E">
        <w:rPr>
          <w:rFonts w:cstheme="minorHAnsi"/>
          <w:sz w:val="24"/>
          <w:szCs w:val="24"/>
        </w:rPr>
        <w:t>przebudowywanym</w:t>
      </w:r>
      <w:r w:rsidRPr="00926F6E">
        <w:rPr>
          <w:rFonts w:cstheme="minorHAnsi"/>
          <w:sz w:val="24"/>
          <w:szCs w:val="24"/>
        </w:rPr>
        <w:t xml:space="preserve"> torowisku (połączenia wyrównawcze wzdłużne i poprzeczne).</w:t>
      </w:r>
    </w:p>
    <w:p w14:paraId="42DD102D" w14:textId="77777777" w:rsidR="00196B15" w:rsidRPr="00926F6E" w:rsidRDefault="00196B15" w:rsidP="00196B15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Przebudowa sieci powrotnej w remontowanym torowisku (połączenia wyrównawcze wzdłużne i poprzeczne), zgodnie z wymogami normy PN-EN 50122-2:2011E.</w:t>
      </w:r>
    </w:p>
    <w:p w14:paraId="35C25B86" w14:textId="77777777" w:rsidR="00196B15" w:rsidRPr="00926F6E" w:rsidRDefault="00196B15" w:rsidP="00196B15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Jako konstrukcje wsporcze nowo posadowione należy zaprojektować słupy trakcyjne (trakcyjno-oświetleniowe) stalowe, rurowe zbieżne, ocynkowane i pomalowane dwukrotnie farbą nawierzchniową w kolorze RAL 7024. Należy zastosować słupy do posadowienia w fundamencie wylewanym betonem z gniazdem o głębokości od 130 do 150 cm. Słupy należy zaprojektować z pasem ochronnym w strefie styku z gruntem (nawierzchnią), wykonanym ze stali nierdzewnej.</w:t>
      </w:r>
    </w:p>
    <w:p w14:paraId="71B7E309" w14:textId="0BAE4686" w:rsidR="00196B15" w:rsidRPr="00926F6E" w:rsidRDefault="00196B15" w:rsidP="00196B15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Sieć trakcyjna górna dla odcinka toru podwójnego nie podlega przebudowie</w:t>
      </w:r>
    </w:p>
    <w:p w14:paraId="368DD245" w14:textId="12AFF2AB" w:rsidR="00196B15" w:rsidRPr="00926F6E" w:rsidRDefault="00196B15" w:rsidP="00196B15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Nowe projektowane konstrukcje wsporcze należy lokalizować w pasie drogowym.</w:t>
      </w:r>
    </w:p>
    <w:p w14:paraId="7F027148" w14:textId="46804954" w:rsidR="00196B15" w:rsidRPr="00926F6E" w:rsidRDefault="00196B15" w:rsidP="00196B15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lastRenderedPageBreak/>
        <w:t>Projektowane konstrukcje nośne należy zaprojektować jako zawieszenia poprzeczne z lin stalowych nierdzewnych, z wykorzystaniem istniejących i projektowanych konstrukcji wsporczych;</w:t>
      </w:r>
    </w:p>
    <w:p w14:paraId="4CE25AE6" w14:textId="77777777" w:rsidR="00196B15" w:rsidRPr="00926F6E" w:rsidRDefault="00196B15" w:rsidP="00196B15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Należy zastosować typowy osprzęt do budowy sieci trakcyjnej tramwajowej.</w:t>
      </w:r>
    </w:p>
    <w:p w14:paraId="2475A9DE" w14:textId="321872E5" w:rsidR="00153126" w:rsidRPr="00926F6E" w:rsidRDefault="00153126" w:rsidP="00153126">
      <w:pPr>
        <w:pStyle w:val="Akapitzlist"/>
        <w:numPr>
          <w:ilvl w:val="2"/>
          <w:numId w:val="8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W przypadku zmian geometrii torów w obrębie przebudowywanego odcinka należy przewidzieć w projekcie sprawdzenie i regulację sieci trakcyjnej górnej w zakresie normatywnej wysokości zawieszenia sieci oraz </w:t>
      </w:r>
      <w:proofErr w:type="spellStart"/>
      <w:r w:rsidRPr="00926F6E">
        <w:rPr>
          <w:rFonts w:cstheme="minorHAnsi"/>
          <w:sz w:val="24"/>
          <w:szCs w:val="24"/>
        </w:rPr>
        <w:t>odsuwów</w:t>
      </w:r>
      <w:proofErr w:type="spellEnd"/>
      <w:r w:rsidR="00196B15" w:rsidRPr="00926F6E">
        <w:rPr>
          <w:rFonts w:cstheme="minorHAnsi"/>
          <w:sz w:val="24"/>
          <w:szCs w:val="24"/>
        </w:rPr>
        <w:t>;</w:t>
      </w:r>
    </w:p>
    <w:p w14:paraId="1023202A" w14:textId="69540E62" w:rsidR="00196B15" w:rsidRPr="00926F6E" w:rsidRDefault="00196B15" w:rsidP="00196B15">
      <w:pPr>
        <w:pStyle w:val="Akapitzlist"/>
        <w:numPr>
          <w:ilvl w:val="2"/>
          <w:numId w:val="8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W projekcie należy przewidzieć przeniesienie i modernizację punktu zasilacza „Plac Grunwaldzki”.</w:t>
      </w:r>
    </w:p>
    <w:p w14:paraId="2E95AD0C" w14:textId="4F11C0D2" w:rsidR="00196B15" w:rsidRPr="00926F6E" w:rsidRDefault="00196B15" w:rsidP="00196B15">
      <w:pPr>
        <w:pStyle w:val="Akapitzlist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Zasilacz jednokablowy należy wyprowadzić na słup trakcyjny poprzez rozłącznik trakcyjny z napędem elektrycznym, sterowanym lokalnie (z możliwością późniejszej rozbudowy o moduł sterowania zdalnego).</w:t>
      </w:r>
    </w:p>
    <w:p w14:paraId="3F1C6B45" w14:textId="77777777" w:rsidR="00196B15" w:rsidRPr="00926F6E" w:rsidRDefault="00196B15" w:rsidP="00196B15">
      <w:pPr>
        <w:pStyle w:val="Akapitzlist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Punkt zasilający należy doposażyć w ochronę przepięciową w postaci </w:t>
      </w:r>
      <w:proofErr w:type="spellStart"/>
      <w:r w:rsidRPr="00926F6E">
        <w:rPr>
          <w:rFonts w:cstheme="minorHAnsi"/>
          <w:sz w:val="24"/>
          <w:szCs w:val="24"/>
        </w:rPr>
        <w:t>warystorowego</w:t>
      </w:r>
      <w:proofErr w:type="spellEnd"/>
      <w:r w:rsidRPr="00926F6E">
        <w:rPr>
          <w:rFonts w:cstheme="minorHAnsi"/>
          <w:sz w:val="24"/>
          <w:szCs w:val="24"/>
        </w:rPr>
        <w:t xml:space="preserve"> ogranicznika przepięć 1,0 </w:t>
      </w:r>
      <w:proofErr w:type="spellStart"/>
      <w:r w:rsidRPr="00926F6E">
        <w:rPr>
          <w:rFonts w:cstheme="minorHAnsi"/>
          <w:sz w:val="24"/>
          <w:szCs w:val="24"/>
        </w:rPr>
        <w:t>kV</w:t>
      </w:r>
      <w:proofErr w:type="spellEnd"/>
      <w:r w:rsidRPr="00926F6E">
        <w:rPr>
          <w:rFonts w:cstheme="minorHAnsi"/>
          <w:sz w:val="24"/>
          <w:szCs w:val="24"/>
        </w:rPr>
        <w:t xml:space="preserve"> DC.</w:t>
      </w:r>
    </w:p>
    <w:p w14:paraId="404BFB9A" w14:textId="3C418393" w:rsidR="00196B15" w:rsidRPr="00926F6E" w:rsidRDefault="00196B15" w:rsidP="00196B15">
      <w:pPr>
        <w:pStyle w:val="Akapitzlist"/>
        <w:numPr>
          <w:ilvl w:val="2"/>
          <w:numId w:val="8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W projekcie należy przewidzieć przebudowę punktu kabli powrotnych „Plac Grunwaldzki”. Jako kabel trakcyjny należy zastosować kabel YAKY 1x630/ 1kV.</w:t>
      </w:r>
    </w:p>
    <w:p w14:paraId="3E000C00" w14:textId="045E392B" w:rsidR="00196B15" w:rsidRPr="00926F6E" w:rsidRDefault="00196B15" w:rsidP="00196B15">
      <w:pPr>
        <w:pStyle w:val="Akapitzlist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Punkt kabli powrotnych należy zaprojektować jako szafę </w:t>
      </w:r>
      <w:proofErr w:type="spellStart"/>
      <w:r w:rsidRPr="00926F6E">
        <w:rPr>
          <w:rFonts w:cstheme="minorHAnsi"/>
          <w:sz w:val="24"/>
          <w:szCs w:val="24"/>
        </w:rPr>
        <w:t>złączowąj</w:t>
      </w:r>
      <w:proofErr w:type="spellEnd"/>
      <w:r w:rsidRPr="00926F6E">
        <w:rPr>
          <w:rFonts w:cstheme="minorHAnsi"/>
          <w:sz w:val="24"/>
          <w:szCs w:val="24"/>
        </w:rPr>
        <w:t xml:space="preserve"> ustawioną na fundamencie, w których zabudowana będą szyny zbiorcza do przyłączenia głowic kabli trakcyjnych oraz przewodów przyłączeniowych do szyn jezdnych, poprzez zwieracze nożowe 1000A.</w:t>
      </w:r>
    </w:p>
    <w:p w14:paraId="22D939AA" w14:textId="55D6039E" w:rsidR="00196B15" w:rsidRPr="00926F6E" w:rsidRDefault="00196B15" w:rsidP="00196B15">
      <w:pPr>
        <w:pStyle w:val="Akapitzlist"/>
        <w:numPr>
          <w:ilvl w:val="2"/>
          <w:numId w:val="8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W obrębie przebudowywanego odcinka trakcyjnego występują izolatory sekcyjne  sieci płaskiej pomiędzy sekcjami zasilania trakcyjnego „Plac Grunwaldzki – 3-go Maja”. Lokalizacja w/w urządzenia pozostaje bez zmian. W projekcie należy przewidzieć zastosowanie izolatorów sekcyjnych z rożkami opalnymi i magnesami trwałymi do wydmuchu łuku elektrycznego, przystosowanego do ruchu dwukierunkowego.</w:t>
      </w:r>
    </w:p>
    <w:p w14:paraId="43C9DC62" w14:textId="4DEFF32B" w:rsidR="00196B15" w:rsidRPr="00926F6E" w:rsidRDefault="00196B15" w:rsidP="00196B15">
      <w:pPr>
        <w:pStyle w:val="Akapitzlist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Zwieranie sekcji powinno być realizowane poprzez zamontowany na słupie rozłącznik trakcyjny z napędem elektrycznym, sterowanym lokalnie (z możliwością późniejszej rozbudowy o moduł sterowania zdalnego). </w:t>
      </w:r>
    </w:p>
    <w:p w14:paraId="6555B7B6" w14:textId="77777777" w:rsidR="00153126" w:rsidRPr="00926F6E" w:rsidRDefault="00153126" w:rsidP="00153126">
      <w:pPr>
        <w:pStyle w:val="Akapitzlist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47DC1806" w14:textId="77777777" w:rsidR="002F6FA9" w:rsidRPr="00926F6E" w:rsidRDefault="002F6FA9" w:rsidP="002F6FA9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14:paraId="4418F4EE" w14:textId="65732483" w:rsidR="00010FA4" w:rsidRPr="00926F6E" w:rsidRDefault="00010FA4" w:rsidP="00010FA4">
      <w:pPr>
        <w:pStyle w:val="Akapitzlist"/>
        <w:numPr>
          <w:ilvl w:val="0"/>
          <w:numId w:val="8"/>
        </w:numPr>
        <w:spacing w:after="0" w:line="276" w:lineRule="auto"/>
        <w:ind w:left="720" w:hanging="360"/>
        <w:jc w:val="both"/>
        <w:rPr>
          <w:rFonts w:cstheme="minorHAnsi"/>
          <w:b/>
          <w:bCs/>
          <w:sz w:val="24"/>
          <w:szCs w:val="24"/>
        </w:rPr>
      </w:pPr>
      <w:r w:rsidRPr="00926F6E">
        <w:rPr>
          <w:rFonts w:cstheme="minorHAnsi"/>
          <w:b/>
          <w:bCs/>
          <w:sz w:val="24"/>
          <w:szCs w:val="24"/>
        </w:rPr>
        <w:t>Przepisy prawne i normy związane z projektowanym zamierzeniem.</w:t>
      </w:r>
    </w:p>
    <w:p w14:paraId="0C79357E" w14:textId="77777777" w:rsidR="00010FA4" w:rsidRPr="00926F6E" w:rsidRDefault="00010FA4" w:rsidP="00010FA4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2105CCE3" w14:textId="77777777" w:rsidR="00010FA4" w:rsidRPr="00926F6E" w:rsidRDefault="00010FA4" w:rsidP="00010FA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Opracowana dokumentacja projektowa oraz realizacja robót muszą być zgodne                                             z następującymi przepisami i dokumentami normatywnymi:</w:t>
      </w:r>
    </w:p>
    <w:p w14:paraId="7691D716" w14:textId="77777777" w:rsidR="00010FA4" w:rsidRPr="00926F6E" w:rsidRDefault="00010FA4" w:rsidP="00010F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Ustawa z dnia 07 lipca 1994 r. Prawo budowlane</w:t>
      </w:r>
    </w:p>
    <w:p w14:paraId="53F550CA" w14:textId="77777777" w:rsidR="00010FA4" w:rsidRPr="00926F6E" w:rsidRDefault="00010FA4" w:rsidP="00010F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Ustawa z dnia 21 marca 1985 r. o drogach publicznych</w:t>
      </w:r>
    </w:p>
    <w:p w14:paraId="05294182" w14:textId="77777777" w:rsidR="00010FA4" w:rsidRPr="00926F6E" w:rsidRDefault="00010FA4" w:rsidP="00010F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Ustawa z dnia 11 września 2019 r. Prawo zamówień publicznych</w:t>
      </w:r>
    </w:p>
    <w:p w14:paraId="1AC2CFD3" w14:textId="77777777" w:rsidR="00010FA4" w:rsidRPr="00926F6E" w:rsidRDefault="00010FA4" w:rsidP="00010F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Ustawa z dnia 27 kwietnia 2001 r. Prawo ochrony środowiska</w:t>
      </w:r>
    </w:p>
    <w:p w14:paraId="3EABA2F3" w14:textId="77777777" w:rsidR="00010FA4" w:rsidRPr="00926F6E" w:rsidRDefault="00010FA4" w:rsidP="00010F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Rozporządzenie Ministra Rozwoju i Technologii z dnia 20 grudnia 2001 r. w sprawie szczegółowego zakresu i formy dokumentacji projektowej oraz programu funkcjonalno-użytkowego (Dz.U. 2021 poz. 2454)</w:t>
      </w:r>
    </w:p>
    <w:p w14:paraId="59972130" w14:textId="77777777" w:rsidR="00010FA4" w:rsidRPr="00926F6E" w:rsidRDefault="00010FA4" w:rsidP="00010F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lastRenderedPageBreak/>
        <w:t>Rozporządzenie Ministra Infrastruktury z dnia 24 czerwca 2022 r. w sprawie przepisów techniczno-budowlanych dotyczących dróg publicznych (Dz.U. 2022 poz. 1518)</w:t>
      </w:r>
    </w:p>
    <w:p w14:paraId="15E11145" w14:textId="77777777" w:rsidR="00010FA4" w:rsidRPr="00926F6E" w:rsidRDefault="00010FA4" w:rsidP="00B76FD7">
      <w:pPr>
        <w:pStyle w:val="Akapitzlist"/>
        <w:numPr>
          <w:ilvl w:val="0"/>
          <w:numId w:val="20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PN-K-92002:1997 – Komunikacja miejska. Sieć jezdna tramwajowa i trolejbusowa. Wymagania.</w:t>
      </w:r>
    </w:p>
    <w:p w14:paraId="3ACA9CCC" w14:textId="77777777" w:rsidR="00B76FD7" w:rsidRPr="00926F6E" w:rsidRDefault="00B76FD7" w:rsidP="00B76FD7">
      <w:pPr>
        <w:pStyle w:val="Akapitzlist"/>
        <w:numPr>
          <w:ilvl w:val="0"/>
          <w:numId w:val="20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PN-EN 50122-1:2011E ˗ Zastosowanie kolejowe. Urządzenia stacjonarne. Bezpieczeństwo elektryczne, uziemianie i sieć powrotna Część 1: Środki ochrony przed porażeniem elektrycznym, </w:t>
      </w:r>
    </w:p>
    <w:p w14:paraId="09EE060B" w14:textId="77777777" w:rsidR="00B76FD7" w:rsidRPr="00926F6E" w:rsidRDefault="00B76FD7" w:rsidP="00B76FD7">
      <w:pPr>
        <w:pStyle w:val="Akapitzlist"/>
        <w:numPr>
          <w:ilvl w:val="0"/>
          <w:numId w:val="20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PN-EN 50122-2:2011E ˗ Zastosowanie kolejowe. Urządzenia stacjonarne. Bezpieczeństwo elektryczne, uziemianie i sieć powrotna Część 2: Środki ochrony przed skutkami prądów błądzących powodowanych przez systemy trakcji prądu stałego, </w:t>
      </w:r>
    </w:p>
    <w:p w14:paraId="0B6A95DD" w14:textId="77777777" w:rsidR="00B76FD7" w:rsidRPr="00926F6E" w:rsidRDefault="00B76FD7" w:rsidP="00B76FD7">
      <w:pPr>
        <w:pStyle w:val="Akapitzlist"/>
        <w:numPr>
          <w:ilvl w:val="0"/>
          <w:numId w:val="20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PN-EN 50526-1:2012E ˗ Zastosowanie kolejowe. Urządzenia stacjonarne. Ograniczniki przepięć prądu stałego i urządzenia ograniczające napięcie. Część 1: Ograniczniki przepięć prądu stałego, </w:t>
      </w:r>
    </w:p>
    <w:p w14:paraId="4F19BE2B" w14:textId="0E98F090" w:rsidR="00B76FD7" w:rsidRPr="00926F6E" w:rsidRDefault="00B76FD7" w:rsidP="00B76FD7">
      <w:pPr>
        <w:pStyle w:val="Akapitzlist"/>
        <w:numPr>
          <w:ilvl w:val="0"/>
          <w:numId w:val="20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PN-EN 50526-2:2014E ˗ Zastosowanie kolejowe. Urządzenia stacjonarne. Ograniczniki przepięć prądu stałego i urządzenia ograniczające napięcie. Część 2: Urządzenia ograniczające napięcie.</w:t>
      </w:r>
    </w:p>
    <w:p w14:paraId="76604DF1" w14:textId="77777777" w:rsidR="00010FA4" w:rsidRPr="00926F6E" w:rsidRDefault="00010FA4" w:rsidP="00010F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Wytyczne techniczne projektowania budowy i utrzymania torów tramwajowych, Warszawa 1983 r., wprowadzone przez Ministerstwo Administracji, Gospodarki Terenowej i Ochrony Środowiska, Departament Komunikacji Miejskiej i Dróg.</w:t>
      </w:r>
    </w:p>
    <w:p w14:paraId="679B1A7F" w14:textId="77777777" w:rsidR="00010FA4" w:rsidRPr="00926F6E" w:rsidRDefault="00010FA4" w:rsidP="00010F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>WR-D-43-3: Wytyczne projektowania infrastruktury transportu zbiorowego, Część 3: Projektowanie transportu tramwajowego, Wzorce i standardy rekomendowane przez Ministra Właściwego ds. transportu, 2023 r.</w:t>
      </w:r>
    </w:p>
    <w:p w14:paraId="44547565" w14:textId="77777777" w:rsidR="00010FA4" w:rsidRPr="00926F6E" w:rsidRDefault="00010FA4" w:rsidP="00010F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26F6E">
        <w:rPr>
          <w:rFonts w:cstheme="minorHAnsi"/>
          <w:sz w:val="24"/>
          <w:szCs w:val="24"/>
        </w:rPr>
        <w:t xml:space="preserve">Inne obowiązujące przepisy w tym zakresie. </w:t>
      </w:r>
    </w:p>
    <w:p w14:paraId="772875CF" w14:textId="77777777" w:rsidR="00010FA4" w:rsidRPr="00926F6E" w:rsidRDefault="00010FA4" w:rsidP="00010FA4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14:paraId="663C8966" w14:textId="77777777" w:rsidR="00010FA4" w:rsidRPr="00926F6E" w:rsidRDefault="00010FA4" w:rsidP="00010FA4">
      <w:pPr>
        <w:pStyle w:val="Akapitzlist"/>
        <w:numPr>
          <w:ilvl w:val="0"/>
          <w:numId w:val="8"/>
        </w:numPr>
        <w:spacing w:after="0" w:line="276" w:lineRule="auto"/>
        <w:ind w:left="720" w:hanging="360"/>
        <w:jc w:val="both"/>
        <w:rPr>
          <w:rFonts w:cstheme="minorHAnsi"/>
          <w:b/>
          <w:bCs/>
          <w:sz w:val="24"/>
          <w:szCs w:val="24"/>
        </w:rPr>
      </w:pPr>
      <w:r w:rsidRPr="00926F6E">
        <w:rPr>
          <w:rFonts w:cstheme="minorHAnsi"/>
          <w:b/>
          <w:bCs/>
          <w:sz w:val="24"/>
          <w:szCs w:val="24"/>
        </w:rPr>
        <w:t xml:space="preserve">Uwagi. </w:t>
      </w:r>
    </w:p>
    <w:p w14:paraId="3B6FE9FE" w14:textId="77777777" w:rsidR="00010FA4" w:rsidRPr="00926F6E" w:rsidRDefault="00010FA4" w:rsidP="00010FA4">
      <w:pPr>
        <w:spacing w:after="0" w:line="276" w:lineRule="auto"/>
        <w:ind w:left="360"/>
        <w:jc w:val="both"/>
        <w:rPr>
          <w:rFonts w:cstheme="minorHAnsi"/>
          <w:b/>
          <w:bCs/>
          <w:sz w:val="12"/>
          <w:szCs w:val="12"/>
        </w:rPr>
      </w:pPr>
    </w:p>
    <w:p w14:paraId="57B39924" w14:textId="77777777" w:rsidR="00126D6B" w:rsidRDefault="00126D6B" w:rsidP="00126D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Przedstawiona powyżej charakterystyka zakresu przebudowy zastała ustalona wstępnie. Ostateczny zakres przebudowy rzeczowy i ilościowy będzie wynikał z przeprowadzonej wizji w terenie oraz szczegółowych rozwiązań przyjętych przez Wykonawcę w dokumentacji projektowej, uzgadnianych na bieżąco z właścicielem infrastruktury trakcyjnej, Spółką z o.o. Tramwaje Elbląskie, Departamentem Zarząd Dróg Urzędu Miejskiego w Elblągu oraz z Zarządem Komunikacji Miejskiej w Elblągu w zakresie lokalizacji przystanków tramwajowych. </w:t>
      </w:r>
    </w:p>
    <w:p w14:paraId="434155EB" w14:textId="77777777" w:rsidR="00126D6B" w:rsidRDefault="00126D6B" w:rsidP="00126D6B">
      <w:pPr>
        <w:pStyle w:val="Default"/>
        <w:rPr>
          <w:i/>
          <w:iCs/>
          <w:sz w:val="23"/>
          <w:szCs w:val="23"/>
        </w:rPr>
      </w:pPr>
    </w:p>
    <w:p w14:paraId="3C89FD4D" w14:textId="77777777" w:rsidR="00126D6B" w:rsidRDefault="00126D6B" w:rsidP="00126D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Projektowane rozwiązania techniczne i sposób prowadzenia robót budowlanych muszą być </w:t>
      </w:r>
      <w:r>
        <w:rPr>
          <w:b/>
          <w:bCs/>
          <w:sz w:val="23"/>
          <w:szCs w:val="23"/>
        </w:rPr>
        <w:t>zgodne z zasadą DNSH</w:t>
      </w:r>
      <w:r>
        <w:rPr>
          <w:sz w:val="23"/>
          <w:szCs w:val="23"/>
        </w:rPr>
        <w:t xml:space="preserve"> (nie czyń poważnych szkód) i zapewniać m.in. możliwość realizacji projektu w sposób:</w:t>
      </w:r>
    </w:p>
    <w:p w14:paraId="14C74027" w14:textId="77777777" w:rsidR="00126D6B" w:rsidRDefault="00126D6B" w:rsidP="00126D6B">
      <w:pPr>
        <w:pStyle w:val="Default"/>
        <w:numPr>
          <w:ilvl w:val="0"/>
          <w:numId w:val="2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przyjazny środowisku poprzez odpowiedzialne zarządzanie odpadami generowanymi w projekcie/ lub na potrzeby projektu podczas ich całego cyklu życia (prewencja, redukcja, recykling i ponowne użycie), m.in.: stosowanie materiałów z recyklingu; obniżenie emisji z transportu materiałów ciężkich, </w:t>
      </w:r>
    </w:p>
    <w:p w14:paraId="3AF4CF17" w14:textId="77777777" w:rsidR="00126D6B" w:rsidRDefault="00126D6B" w:rsidP="00126D6B">
      <w:pPr>
        <w:pStyle w:val="Default"/>
        <w:numPr>
          <w:ilvl w:val="0"/>
          <w:numId w:val="2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gwarantujący odporność wspartej infrastruktury na zagrożenia klimatyczne i katastrofy naturalne, </w:t>
      </w:r>
    </w:p>
    <w:p w14:paraId="5CB984AA" w14:textId="77777777" w:rsidR="00126D6B" w:rsidRDefault="00126D6B" w:rsidP="00126D6B">
      <w:pPr>
        <w:pStyle w:val="Default"/>
        <w:numPr>
          <w:ilvl w:val="0"/>
          <w:numId w:val="2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niepowodujący degradacji naturalnych siedlisk.</w:t>
      </w:r>
    </w:p>
    <w:p w14:paraId="54234965" w14:textId="77777777" w:rsidR="00126D6B" w:rsidRDefault="00126D6B" w:rsidP="00126D6B">
      <w:pPr>
        <w:pStyle w:val="Default"/>
        <w:rPr>
          <w:sz w:val="23"/>
          <w:szCs w:val="23"/>
        </w:rPr>
      </w:pPr>
    </w:p>
    <w:p w14:paraId="68C38726" w14:textId="112092C2" w:rsidR="00126D6B" w:rsidRDefault="00126D6B" w:rsidP="00126D6B">
      <w:pPr>
        <w:jc w:val="both"/>
        <w:rPr>
          <w14:ligatures w14:val="none"/>
        </w:rPr>
      </w:pPr>
      <w:r>
        <w:lastRenderedPageBreak/>
        <w:t xml:space="preserve">W ramach potwierdzenia spełnienia zasady „nie czyń poważnych szkód” należy odnieść się do Oceny „Do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” (DNSH) dla rodzajów działań, poprzez wypełnienie dokumentu „Ocena DNSH”, który </w:t>
      </w:r>
      <w:r w:rsidRPr="00126D6B">
        <w:t xml:space="preserve">stanowi załącznik nr </w:t>
      </w:r>
      <w:r w:rsidRPr="00126D6B">
        <w:t xml:space="preserve">2 </w:t>
      </w:r>
      <w:r w:rsidRPr="00126D6B">
        <w:t xml:space="preserve">do </w:t>
      </w:r>
      <w:r w:rsidRPr="00126D6B">
        <w:t>Projektu Umowy</w:t>
      </w:r>
      <w:r w:rsidRPr="00126D6B">
        <w:t xml:space="preserve">. </w:t>
      </w:r>
      <w:r w:rsidRPr="00126D6B">
        <w:rPr>
          <w14:ligatures w14:val="none"/>
        </w:rPr>
        <w:t xml:space="preserve">Uzupełnienia </w:t>
      </w:r>
      <w:r>
        <w:rPr>
          <w14:ligatures w14:val="none"/>
        </w:rPr>
        <w:t>wymagają zapisy kolumny ‘</w:t>
      </w:r>
      <w:r>
        <w:rPr>
          <w:b/>
          <w:bCs/>
        </w:rPr>
        <w:t>Uzasadnienie,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przypadku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gdy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zaznaczone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pole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4"/>
        </w:rPr>
        <w:t xml:space="preserve">"Nie" </w:t>
      </w:r>
      <w:r>
        <w:rPr>
          <w:spacing w:val="-4"/>
        </w:rPr>
        <w:t xml:space="preserve">oraz kolumny </w:t>
      </w:r>
      <w:r>
        <w:rPr>
          <w:b/>
          <w:bCs/>
        </w:rPr>
        <w:t xml:space="preserve">Uzasadnienie merytoryczne </w:t>
      </w:r>
      <w:r>
        <w:t>w wierszach zaznaczonych na żółto.</w:t>
      </w:r>
    </w:p>
    <w:p w14:paraId="3024A661" w14:textId="77777777" w:rsidR="00126D6B" w:rsidRDefault="00126D6B" w:rsidP="00126D6B"/>
    <w:p w14:paraId="090FAE75" w14:textId="77777777" w:rsidR="00126D6B" w:rsidRDefault="00126D6B" w:rsidP="00126D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Ponadto w ramach projektowanych rozwiązań należy dążyć do ich zgodności z zasadami </w:t>
      </w:r>
      <w:r>
        <w:rPr>
          <w:b/>
          <w:bCs/>
          <w:sz w:val="23"/>
          <w:szCs w:val="23"/>
        </w:rPr>
        <w:t xml:space="preserve">inicjatywy Nowy Europejski </w:t>
      </w:r>
      <w:proofErr w:type="spellStart"/>
      <w:r>
        <w:rPr>
          <w:b/>
          <w:bCs/>
          <w:sz w:val="23"/>
          <w:szCs w:val="23"/>
        </w:rPr>
        <w:t>Bauhaus</w:t>
      </w:r>
      <w:proofErr w:type="spellEnd"/>
      <w:r>
        <w:rPr>
          <w:sz w:val="23"/>
          <w:szCs w:val="23"/>
        </w:rPr>
        <w:t xml:space="preserve"> (z ang. New </w:t>
      </w:r>
      <w:proofErr w:type="spellStart"/>
      <w:r>
        <w:rPr>
          <w:sz w:val="23"/>
          <w:szCs w:val="23"/>
        </w:rPr>
        <w:t>European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Bauhaus</w:t>
      </w:r>
      <w:proofErr w:type="spellEnd"/>
      <w:r>
        <w:rPr>
          <w:sz w:val="23"/>
          <w:szCs w:val="23"/>
        </w:rPr>
        <w:t xml:space="preserve">, NEB). NEB jest horyzontalnym projektem ekologiczno-gospodarczo-kulturalnym, stanowiącym praktyczną realizację założeń Europejskiego Zielonego Ładu w przestrzeni mieszkalnej. Zgodność z NEB zapewnia się poprzez wypełnienie trzech podstawowych wartości, takich jak: </w:t>
      </w:r>
    </w:p>
    <w:p w14:paraId="39A48277" w14:textId="77777777" w:rsidR="00126D6B" w:rsidRDefault="00126D6B" w:rsidP="00126D6B">
      <w:pPr>
        <w:pStyle w:val="Default"/>
        <w:numPr>
          <w:ilvl w:val="0"/>
          <w:numId w:val="22"/>
        </w:numPr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zrównoważenie środowiskowe/balans środowiskowy, w tym m.in. wkomponowanie elementów przyrody w tkankę miejską, zbilansowanie stref zabudowy miejskiej dbałością o różnorodność biologiczną, </w:t>
      </w:r>
    </w:p>
    <w:p w14:paraId="772DDF67" w14:textId="77777777" w:rsidR="00126D6B" w:rsidRDefault="00126D6B" w:rsidP="00126D6B">
      <w:pPr>
        <w:pStyle w:val="Default"/>
        <w:numPr>
          <w:ilvl w:val="0"/>
          <w:numId w:val="22"/>
        </w:numPr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estetyka - uwzględnianie - poza funkcjonalnością - również elementów kompozycji architektonicznej uwzględniającej harmonię, dbałość o jakość i styl przestrzeni - rozwiązania oparte o aspekty przyrodnicze, </w:t>
      </w:r>
    </w:p>
    <w:p w14:paraId="35E059E5" w14:textId="77777777" w:rsidR="00126D6B" w:rsidRDefault="00126D6B" w:rsidP="00126D6B">
      <w:pPr>
        <w:pStyle w:val="Default"/>
        <w:numPr>
          <w:ilvl w:val="0"/>
          <w:numId w:val="22"/>
        </w:numPr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włączenie społeczne - tworzenie przestrzeni publicznej zachowującej funkcje przyrodnicze z uwzględnieniem aspektu równości i dostępności.</w:t>
      </w:r>
    </w:p>
    <w:p w14:paraId="0898D4D1" w14:textId="77777777" w:rsidR="000C63DB" w:rsidRPr="00926F6E" w:rsidRDefault="000C63DB" w:rsidP="000C63DB">
      <w:pPr>
        <w:jc w:val="both"/>
        <w:rPr>
          <w:rFonts w:cstheme="minorHAnsi"/>
          <w:sz w:val="24"/>
          <w:szCs w:val="24"/>
        </w:rPr>
      </w:pPr>
    </w:p>
    <w:p w14:paraId="3127F7F0" w14:textId="2B74459D" w:rsidR="00657409" w:rsidRPr="00926F6E" w:rsidRDefault="00657409" w:rsidP="000C63DB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sectPr w:rsidR="00657409" w:rsidRPr="00926F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EFFD1" w14:textId="77777777" w:rsidR="007C2F6B" w:rsidRDefault="007C2F6B" w:rsidP="008D1E88">
      <w:pPr>
        <w:spacing w:after="0" w:line="240" w:lineRule="auto"/>
      </w:pPr>
      <w:r>
        <w:separator/>
      </w:r>
    </w:p>
  </w:endnote>
  <w:endnote w:type="continuationSeparator" w:id="0">
    <w:p w14:paraId="7CA94510" w14:textId="77777777" w:rsidR="007C2F6B" w:rsidRDefault="007C2F6B" w:rsidP="008D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5789058"/>
      <w:docPartObj>
        <w:docPartGallery w:val="Page Numbers (Bottom of Page)"/>
        <w:docPartUnique/>
      </w:docPartObj>
    </w:sdtPr>
    <w:sdtContent>
      <w:p w14:paraId="1C144246" w14:textId="49CE3772" w:rsidR="008D1E88" w:rsidRDefault="008D1E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6E">
          <w:rPr>
            <w:noProof/>
          </w:rPr>
          <w:t>5</w:t>
        </w:r>
        <w:r>
          <w:fldChar w:fldCharType="end"/>
        </w:r>
      </w:p>
    </w:sdtContent>
  </w:sdt>
  <w:p w14:paraId="4955D9A2" w14:textId="77777777" w:rsidR="008D1E88" w:rsidRDefault="008D1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52ECC" w14:textId="77777777" w:rsidR="007C2F6B" w:rsidRDefault="007C2F6B" w:rsidP="008D1E88">
      <w:pPr>
        <w:spacing w:after="0" w:line="240" w:lineRule="auto"/>
      </w:pPr>
      <w:r>
        <w:separator/>
      </w:r>
    </w:p>
  </w:footnote>
  <w:footnote w:type="continuationSeparator" w:id="0">
    <w:p w14:paraId="53A8E2F7" w14:textId="77777777" w:rsidR="007C2F6B" w:rsidRDefault="007C2F6B" w:rsidP="008D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7D11"/>
    <w:multiLevelType w:val="hybridMultilevel"/>
    <w:tmpl w:val="8B66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6DF5"/>
    <w:multiLevelType w:val="hybridMultilevel"/>
    <w:tmpl w:val="AB2E9D98"/>
    <w:lvl w:ilvl="0" w:tplc="430ED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3C5F"/>
    <w:multiLevelType w:val="hybridMultilevel"/>
    <w:tmpl w:val="A358E166"/>
    <w:lvl w:ilvl="0" w:tplc="430ED6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B77DAD"/>
    <w:multiLevelType w:val="multilevel"/>
    <w:tmpl w:val="075CC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440F0C"/>
    <w:multiLevelType w:val="hybridMultilevel"/>
    <w:tmpl w:val="37F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B6E"/>
    <w:multiLevelType w:val="hybridMultilevel"/>
    <w:tmpl w:val="98384C3E"/>
    <w:lvl w:ilvl="0" w:tplc="430ED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458C"/>
    <w:multiLevelType w:val="hybridMultilevel"/>
    <w:tmpl w:val="407A15E0"/>
    <w:lvl w:ilvl="0" w:tplc="5D24C66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9B2431A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CC9"/>
    <w:multiLevelType w:val="hybridMultilevel"/>
    <w:tmpl w:val="34D41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3F75"/>
    <w:multiLevelType w:val="hybridMultilevel"/>
    <w:tmpl w:val="06A43810"/>
    <w:lvl w:ilvl="0" w:tplc="430ED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C3244"/>
    <w:multiLevelType w:val="hybridMultilevel"/>
    <w:tmpl w:val="42A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F249D"/>
    <w:multiLevelType w:val="hybridMultilevel"/>
    <w:tmpl w:val="FDAA1E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16F4"/>
    <w:multiLevelType w:val="multilevel"/>
    <w:tmpl w:val="66DC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3D41AC"/>
    <w:multiLevelType w:val="hybridMultilevel"/>
    <w:tmpl w:val="BF302B0E"/>
    <w:lvl w:ilvl="0" w:tplc="430ED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C754C"/>
    <w:multiLevelType w:val="multilevel"/>
    <w:tmpl w:val="68AACD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B401E00"/>
    <w:multiLevelType w:val="hybridMultilevel"/>
    <w:tmpl w:val="9A9A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06A"/>
    <w:multiLevelType w:val="hybridMultilevel"/>
    <w:tmpl w:val="9618A01E"/>
    <w:lvl w:ilvl="0" w:tplc="430ED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492189"/>
    <w:multiLevelType w:val="hybridMultilevel"/>
    <w:tmpl w:val="7908CC96"/>
    <w:lvl w:ilvl="0" w:tplc="430ED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6190D"/>
    <w:multiLevelType w:val="hybridMultilevel"/>
    <w:tmpl w:val="9B1CF6AC"/>
    <w:lvl w:ilvl="0" w:tplc="430ED6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A0516B"/>
    <w:multiLevelType w:val="hybridMultilevel"/>
    <w:tmpl w:val="8CFC0C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21E1D"/>
    <w:multiLevelType w:val="multilevel"/>
    <w:tmpl w:val="C0A873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335E61"/>
    <w:multiLevelType w:val="hybridMultilevel"/>
    <w:tmpl w:val="5310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75388"/>
    <w:multiLevelType w:val="hybridMultilevel"/>
    <w:tmpl w:val="D890936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30ED6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183849">
    <w:abstractNumId w:val="14"/>
  </w:num>
  <w:num w:numId="2" w16cid:durableId="1622106421">
    <w:abstractNumId w:val="17"/>
  </w:num>
  <w:num w:numId="3" w16cid:durableId="2081437214">
    <w:abstractNumId w:val="20"/>
  </w:num>
  <w:num w:numId="4" w16cid:durableId="472983710">
    <w:abstractNumId w:val="1"/>
  </w:num>
  <w:num w:numId="5" w16cid:durableId="752164862">
    <w:abstractNumId w:val="5"/>
  </w:num>
  <w:num w:numId="6" w16cid:durableId="1821925069">
    <w:abstractNumId w:val="8"/>
  </w:num>
  <w:num w:numId="7" w16cid:durableId="247738483">
    <w:abstractNumId w:val="16"/>
  </w:num>
  <w:num w:numId="8" w16cid:durableId="987174985">
    <w:abstractNumId w:val="19"/>
  </w:num>
  <w:num w:numId="9" w16cid:durableId="2023818058">
    <w:abstractNumId w:val="0"/>
  </w:num>
  <w:num w:numId="10" w16cid:durableId="92016884">
    <w:abstractNumId w:val="18"/>
  </w:num>
  <w:num w:numId="11" w16cid:durableId="670062687">
    <w:abstractNumId w:val="2"/>
  </w:num>
  <w:num w:numId="12" w16cid:durableId="513619491">
    <w:abstractNumId w:val="12"/>
  </w:num>
  <w:num w:numId="13" w16cid:durableId="943727810">
    <w:abstractNumId w:val="13"/>
  </w:num>
  <w:num w:numId="14" w16cid:durableId="109328432">
    <w:abstractNumId w:val="11"/>
  </w:num>
  <w:num w:numId="15" w16cid:durableId="569849745">
    <w:abstractNumId w:val="3"/>
  </w:num>
  <w:num w:numId="16" w16cid:durableId="1661230108">
    <w:abstractNumId w:val="7"/>
  </w:num>
  <w:num w:numId="17" w16cid:durableId="1170023116">
    <w:abstractNumId w:val="15"/>
  </w:num>
  <w:num w:numId="18" w16cid:durableId="1823350454">
    <w:abstractNumId w:val="10"/>
  </w:num>
  <w:num w:numId="19" w16cid:durableId="638269229">
    <w:abstractNumId w:val="21"/>
  </w:num>
  <w:num w:numId="20" w16cid:durableId="1327174250">
    <w:abstractNumId w:val="6"/>
  </w:num>
  <w:num w:numId="21" w16cid:durableId="210286825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813604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37"/>
    <w:rsid w:val="00010FA4"/>
    <w:rsid w:val="00024039"/>
    <w:rsid w:val="000C63DB"/>
    <w:rsid w:val="000D7FDA"/>
    <w:rsid w:val="00123D8A"/>
    <w:rsid w:val="00126940"/>
    <w:rsid w:val="00126D6B"/>
    <w:rsid w:val="00153126"/>
    <w:rsid w:val="001548AC"/>
    <w:rsid w:val="00196B15"/>
    <w:rsid w:val="001A04EA"/>
    <w:rsid w:val="001A1FB8"/>
    <w:rsid w:val="0022242D"/>
    <w:rsid w:val="00290AD5"/>
    <w:rsid w:val="002B37CA"/>
    <w:rsid w:val="002B6BF9"/>
    <w:rsid w:val="002D4D94"/>
    <w:rsid w:val="002F6FA9"/>
    <w:rsid w:val="0033558E"/>
    <w:rsid w:val="00381AA4"/>
    <w:rsid w:val="003C7D79"/>
    <w:rsid w:val="003F10C7"/>
    <w:rsid w:val="003F484F"/>
    <w:rsid w:val="00412AE1"/>
    <w:rsid w:val="004147D7"/>
    <w:rsid w:val="00461086"/>
    <w:rsid w:val="0049550A"/>
    <w:rsid w:val="004C1D41"/>
    <w:rsid w:val="00505A65"/>
    <w:rsid w:val="00514DE4"/>
    <w:rsid w:val="00520C51"/>
    <w:rsid w:val="00541326"/>
    <w:rsid w:val="0054708B"/>
    <w:rsid w:val="0056104D"/>
    <w:rsid w:val="005847E5"/>
    <w:rsid w:val="005A0622"/>
    <w:rsid w:val="005A371C"/>
    <w:rsid w:val="005B38EE"/>
    <w:rsid w:val="005F7C7D"/>
    <w:rsid w:val="006529D6"/>
    <w:rsid w:val="00653E34"/>
    <w:rsid w:val="00657409"/>
    <w:rsid w:val="00671659"/>
    <w:rsid w:val="006B4E44"/>
    <w:rsid w:val="006C5C57"/>
    <w:rsid w:val="006D1956"/>
    <w:rsid w:val="006E0451"/>
    <w:rsid w:val="006F3B49"/>
    <w:rsid w:val="007034C9"/>
    <w:rsid w:val="00724FA3"/>
    <w:rsid w:val="00726978"/>
    <w:rsid w:val="00744951"/>
    <w:rsid w:val="007512A0"/>
    <w:rsid w:val="007908F3"/>
    <w:rsid w:val="007C2F6B"/>
    <w:rsid w:val="00812CF5"/>
    <w:rsid w:val="00865287"/>
    <w:rsid w:val="008874AB"/>
    <w:rsid w:val="008D1E88"/>
    <w:rsid w:val="008E4C3B"/>
    <w:rsid w:val="008F3821"/>
    <w:rsid w:val="00926F6E"/>
    <w:rsid w:val="00932F32"/>
    <w:rsid w:val="009612D6"/>
    <w:rsid w:val="00973CE6"/>
    <w:rsid w:val="009A244C"/>
    <w:rsid w:val="009C4906"/>
    <w:rsid w:val="009C77C4"/>
    <w:rsid w:val="00A17160"/>
    <w:rsid w:val="00A23504"/>
    <w:rsid w:val="00A3546D"/>
    <w:rsid w:val="00A63FB0"/>
    <w:rsid w:val="00A67197"/>
    <w:rsid w:val="00A70A7C"/>
    <w:rsid w:val="00A71BF7"/>
    <w:rsid w:val="00AA32A5"/>
    <w:rsid w:val="00AA4DAE"/>
    <w:rsid w:val="00AB7AC8"/>
    <w:rsid w:val="00B10C30"/>
    <w:rsid w:val="00B144B9"/>
    <w:rsid w:val="00B16C27"/>
    <w:rsid w:val="00B20CA6"/>
    <w:rsid w:val="00B22C23"/>
    <w:rsid w:val="00B71DF3"/>
    <w:rsid w:val="00B76FD7"/>
    <w:rsid w:val="00B96358"/>
    <w:rsid w:val="00C5361E"/>
    <w:rsid w:val="00CC5037"/>
    <w:rsid w:val="00D45F66"/>
    <w:rsid w:val="00D52769"/>
    <w:rsid w:val="00D70F1F"/>
    <w:rsid w:val="00D916D7"/>
    <w:rsid w:val="00D927B8"/>
    <w:rsid w:val="00DE5BE5"/>
    <w:rsid w:val="00E23455"/>
    <w:rsid w:val="00E3003C"/>
    <w:rsid w:val="00E50280"/>
    <w:rsid w:val="00E90AB7"/>
    <w:rsid w:val="00E939BA"/>
    <w:rsid w:val="00E97E1B"/>
    <w:rsid w:val="00EA18DC"/>
    <w:rsid w:val="00EE6DF7"/>
    <w:rsid w:val="00F25C3D"/>
    <w:rsid w:val="00F40C51"/>
    <w:rsid w:val="00F46F07"/>
    <w:rsid w:val="00F50BC5"/>
    <w:rsid w:val="00F63178"/>
    <w:rsid w:val="00F8216D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269D"/>
  <w15:docId w15:val="{B655EC07-7764-410C-98FD-DE73F3C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0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037"/>
    <w:pPr>
      <w:ind w:left="720"/>
      <w:contextualSpacing/>
    </w:pPr>
  </w:style>
  <w:style w:type="table" w:styleId="Tabela-Siatka">
    <w:name w:val="Table Grid"/>
    <w:basedOn w:val="Standardowy"/>
    <w:uiPriority w:val="39"/>
    <w:rsid w:val="00A1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E88"/>
  </w:style>
  <w:style w:type="paragraph" w:styleId="Stopka">
    <w:name w:val="footer"/>
    <w:basedOn w:val="Normalny"/>
    <w:link w:val="StopkaZnak"/>
    <w:uiPriority w:val="99"/>
    <w:unhideWhenUsed/>
    <w:rsid w:val="008D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E88"/>
  </w:style>
  <w:style w:type="paragraph" w:customStyle="1" w:styleId="Default">
    <w:name w:val="Default"/>
    <w:basedOn w:val="Normalny"/>
    <w:rsid w:val="00126D6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PamelaI</dc:creator>
  <cp:keywords/>
  <dc:description/>
  <cp:lastModifiedBy>Krzysztof Łubniewski</cp:lastModifiedBy>
  <cp:revision>6</cp:revision>
  <cp:lastPrinted>2024-02-27T07:00:00Z</cp:lastPrinted>
  <dcterms:created xsi:type="dcterms:W3CDTF">2024-03-14T08:04:00Z</dcterms:created>
  <dcterms:modified xsi:type="dcterms:W3CDTF">2024-04-29T07:35:00Z</dcterms:modified>
</cp:coreProperties>
</file>