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6F37" w14:textId="00E5E47C" w:rsidR="00DB56B9" w:rsidRDefault="00C974BE" w:rsidP="00DB56B9">
      <w:pPr>
        <w:pStyle w:val="Nagwek1"/>
        <w:rPr>
          <w:color w:val="000000" w:themeColor="text1"/>
          <w:u w:val="single" w:color="ED7D31"/>
        </w:rPr>
      </w:pPr>
      <w:r>
        <w:rPr>
          <w:color w:val="000000" w:themeColor="text1"/>
          <w:u w:val="single" w:color="ED7D31"/>
        </w:rPr>
        <w:t>Oświadczenie</w:t>
      </w:r>
    </w:p>
    <w:p w14:paraId="0E7B2A50" w14:textId="77777777" w:rsidR="00C974BE" w:rsidRPr="00C974BE" w:rsidRDefault="00C974BE" w:rsidP="00C974BE"/>
    <w:p w14:paraId="00119F33" w14:textId="080A089A" w:rsidR="00A7434F" w:rsidRDefault="00C974BE" w:rsidP="00A7434F">
      <w:pPr>
        <w:rPr>
          <w:rFonts w:ascii="Arial" w:hAnsi="Arial" w:cs="Arial"/>
          <w:color w:val="000000" w:themeColor="text1"/>
        </w:rPr>
      </w:pPr>
      <w:r w:rsidRPr="00C974BE">
        <w:rPr>
          <w:rFonts w:ascii="Arial" w:hAnsi="Arial" w:cs="Arial"/>
          <w:color w:val="000000" w:themeColor="text1"/>
        </w:rPr>
        <w:t>Laboratorium oświadcza, że dla poniższych metod stosuje inne metody niż wskazane w aktach prawnych stanowiących cel zlecanych badań:</w:t>
      </w:r>
    </w:p>
    <w:p w14:paraId="03F8B2F2" w14:textId="77777777" w:rsidR="00C974BE" w:rsidRPr="00C974BE" w:rsidRDefault="00C974BE" w:rsidP="00A7434F">
      <w:pPr>
        <w:rPr>
          <w:rFonts w:ascii="Arial" w:hAnsi="Arial" w:cs="Arial"/>
          <w:color w:val="000000" w:themeColor="text1"/>
        </w:rPr>
      </w:pPr>
    </w:p>
    <w:p w14:paraId="3AFABD65" w14:textId="7CD3B9AD" w:rsidR="00C12D2D" w:rsidRPr="00C974BE" w:rsidRDefault="00C974BE" w:rsidP="003B5A9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974BE">
        <w:rPr>
          <w:rFonts w:ascii="Arial" w:hAnsi="Arial" w:cs="Arial"/>
          <w:i/>
          <w:iCs/>
          <w:color w:val="000000" w:themeColor="text1"/>
        </w:rPr>
        <w:t xml:space="preserve">badanie wody zgodnie z </w:t>
      </w:r>
      <w:r w:rsidRPr="00C974BE">
        <w:rPr>
          <w:rFonts w:ascii="Arial" w:hAnsi="Arial" w:cs="Arial"/>
          <w:i/>
          <w:iCs/>
          <w:color w:val="000000" w:themeColor="text1"/>
        </w:rPr>
        <w:t>Dz.U.2017, poz.2294</w:t>
      </w:r>
      <w:r w:rsidR="003B5A98">
        <w:rPr>
          <w:rFonts w:ascii="Arial" w:hAnsi="Arial" w:cs="Arial"/>
          <w:i/>
          <w:iCs/>
          <w:color w:val="000000" w:themeColor="text1"/>
        </w:rPr>
        <w:t xml:space="preserve"> lub </w:t>
      </w:r>
      <w:r w:rsidR="003B5A98" w:rsidRPr="003B5A98">
        <w:rPr>
          <w:rFonts w:ascii="Arial" w:hAnsi="Arial" w:cs="Arial"/>
          <w:i/>
          <w:iCs/>
          <w:color w:val="000000" w:themeColor="text1"/>
        </w:rPr>
        <w:t xml:space="preserve">Dz.U.2015,poz.2016 </w:t>
      </w:r>
      <w:r w:rsidR="003B5A98">
        <w:rPr>
          <w:rFonts w:ascii="Arial" w:hAnsi="Arial" w:cs="Arial"/>
          <w:i/>
          <w:iCs/>
          <w:color w:val="000000" w:themeColor="text1"/>
        </w:rPr>
        <w:t xml:space="preserve">- </w:t>
      </w:r>
      <w:r w:rsidRPr="00C974BE">
        <w:rPr>
          <w:rFonts w:ascii="Arial" w:hAnsi="Arial" w:cs="Arial"/>
          <w:color w:val="000000" w:themeColor="text1"/>
        </w:rPr>
        <w:t xml:space="preserve"> laboratorium stosuje najlepszą dostępną technikę  niepowodującą nadmiernych kosztów uzyskując następujące parametry charakterystyczne metody:</w:t>
      </w:r>
    </w:p>
    <w:p w14:paraId="1F3199B1" w14:textId="77777777" w:rsidR="00C974BE" w:rsidRDefault="00C974BE" w:rsidP="00C974BE">
      <w:pPr>
        <w:pStyle w:val="Akapitzlist"/>
        <w:spacing w:line="276" w:lineRule="auto"/>
        <w:ind w:firstLine="0"/>
        <w:rPr>
          <w:color w:val="000000" w:themeColor="text1"/>
        </w:rPr>
      </w:pPr>
    </w:p>
    <w:tbl>
      <w:tblPr>
        <w:tblStyle w:val="Tabelasiatki1jasna"/>
        <w:tblpPr w:leftFromText="141" w:rightFromText="141" w:vertAnchor="text" w:horzAnchor="page" w:tblpX="1840" w:tblpY="224"/>
        <w:tblW w:w="9062" w:type="dxa"/>
        <w:tblLook w:val="04A0" w:firstRow="1" w:lastRow="0" w:firstColumn="1" w:lastColumn="0" w:noHBand="0" w:noVBand="1"/>
      </w:tblPr>
      <w:tblGrid>
        <w:gridCol w:w="996"/>
        <w:gridCol w:w="2346"/>
        <w:gridCol w:w="1405"/>
        <w:gridCol w:w="1393"/>
        <w:gridCol w:w="1513"/>
        <w:gridCol w:w="1409"/>
      </w:tblGrid>
      <w:tr w:rsidR="00C974BE" w:rsidRPr="00C12D2D" w14:paraId="5CA97F8A" w14:textId="3D2BC665" w:rsidTr="00C9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22C0EE36" w14:textId="74092183" w:rsidR="00C974BE" w:rsidRPr="00C12D2D" w:rsidRDefault="00C974BE" w:rsidP="00C974BE">
            <w:pPr>
              <w:pStyle w:val="Normal1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Badany parametr</w:t>
            </w:r>
          </w:p>
        </w:tc>
        <w:tc>
          <w:tcPr>
            <w:tcW w:w="2418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5E7F5E17" w14:textId="68AA5DBD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</w:t>
            </w:r>
          </w:p>
        </w:tc>
        <w:tc>
          <w:tcPr>
            <w:tcW w:w="1412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5C9ED723" w14:textId="6FED8CFF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  <w:r w:rsidR="003B5A98">
              <w:rPr>
                <w:rFonts w:ascii="Kelson" w:hAnsi="Kelson"/>
                <w:color w:val="000000" w:themeColor="text1"/>
              </w:rPr>
              <w:t>*</w:t>
            </w:r>
          </w:p>
          <w:p w14:paraId="0EB4649D" w14:textId="77777777" w:rsidR="00C974BE" w:rsidRDefault="003B5A98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/</w:t>
            </w:r>
          </w:p>
          <w:p w14:paraId="57497557" w14:textId="592D7E7B" w:rsidR="003B5A98" w:rsidRPr="00C12D2D" w:rsidRDefault="003B5A98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Dolny zakres metody</w:t>
            </w:r>
          </w:p>
        </w:tc>
        <w:tc>
          <w:tcPr>
            <w:tcW w:w="1412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38277468" w14:textId="4C226D56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Niepewność dla wartości </w:t>
            </w:r>
            <w:r w:rsidR="003B5A98">
              <w:rPr>
                <w:rFonts w:ascii="Kelson" w:hAnsi="Kelson"/>
                <w:color w:val="000000" w:themeColor="text1"/>
              </w:rPr>
              <w:t>dolnego zakresu metody</w:t>
            </w:r>
          </w:p>
        </w:tc>
        <w:tc>
          <w:tcPr>
            <w:tcW w:w="1412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76DF8AC2" w14:textId="460CB93E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Niepewność dla wartości </w:t>
            </w:r>
            <w:r>
              <w:rPr>
                <w:rFonts w:ascii="Kelson" w:hAnsi="Kelson"/>
                <w:color w:val="000000" w:themeColor="text1"/>
              </w:rPr>
              <w:t>parametrycznej metody</w:t>
            </w:r>
          </w:p>
        </w:tc>
        <w:tc>
          <w:tcPr>
            <w:tcW w:w="1412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921D386" w14:textId="77777777" w:rsidR="00C974BE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Posiadane zatwierdzenie systemu jakości przez Sanepid</w:t>
            </w:r>
          </w:p>
          <w:p w14:paraId="5366E330" w14:textId="21C69391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Tak/Nie</w:t>
            </w:r>
          </w:p>
        </w:tc>
      </w:tr>
      <w:tr w:rsidR="00C974BE" w:rsidRPr="00C12D2D" w14:paraId="070CC22C" w14:textId="2D2681C1" w:rsidTr="00C974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tcBorders>
              <w:top w:val="single" w:sz="4" w:space="0" w:color="auto"/>
            </w:tcBorders>
            <w:vAlign w:val="center"/>
          </w:tcPr>
          <w:p w14:paraId="6D8EAF17" w14:textId="22D61139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14:paraId="15DFFD05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4CFA5F70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3C2C357D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0D192208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394C905F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66074ED4" w14:textId="494B5C63" w:rsidTr="00C974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14:paraId="0F81C996" w14:textId="095F76BA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14:paraId="011F2A6E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3AB7483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3A18210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5D6AD9E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6B240D91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077C03AF" w14:textId="61295814" w:rsidTr="00C974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14:paraId="41680740" w14:textId="2E5A67D5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14:paraId="4EEAF785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72677E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9D33A9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7B7AC56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A24E065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7362F538" w14:textId="43C13019" w:rsidTr="00C974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14:paraId="3BA60CF8" w14:textId="5D4E1AF0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14:paraId="6C4C4901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5998D12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EC5BFF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0D24182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655F0BC4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2A5D63E0" w14:textId="0A53527F" w:rsidTr="00C974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14:paraId="36665AE8" w14:textId="186C4ABF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14:paraId="0FBA4FF9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99AC730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1D8846F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13F95FD6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9908204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3944C74F" w14:textId="77D8AFE9" w:rsidTr="00C974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14:paraId="5BCD6223" w14:textId="0D7C47E6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418" w:type="dxa"/>
            <w:tcBorders>
              <w:bottom w:val="single" w:sz="4" w:space="0" w:color="999999" w:themeColor="text1" w:themeTint="66"/>
            </w:tcBorders>
            <w:vAlign w:val="center"/>
          </w:tcPr>
          <w:p w14:paraId="713AC9C7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75BDB2A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19F3CE79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9C4C6AE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EE18364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</w:tbl>
    <w:p w14:paraId="4E86131F" w14:textId="76F5ADD3" w:rsidR="00C974BE" w:rsidRDefault="00C974BE" w:rsidP="00C974BE">
      <w:pPr>
        <w:pStyle w:val="Akapitzlist"/>
        <w:spacing w:line="600" w:lineRule="auto"/>
        <w:ind w:firstLine="0"/>
        <w:rPr>
          <w:color w:val="000000" w:themeColor="text1"/>
        </w:rPr>
      </w:pPr>
    </w:p>
    <w:p w14:paraId="4A1A7588" w14:textId="741BC23D" w:rsidR="00C974BE" w:rsidRDefault="00C974BE" w:rsidP="00C974BE">
      <w:pPr>
        <w:pStyle w:val="Akapitzlist"/>
        <w:spacing w:line="600" w:lineRule="auto"/>
        <w:ind w:firstLine="0"/>
        <w:rPr>
          <w:color w:val="000000" w:themeColor="text1"/>
        </w:rPr>
      </w:pPr>
    </w:p>
    <w:p w14:paraId="29B79103" w14:textId="77777777" w:rsidR="00C974BE" w:rsidRDefault="00C974BE" w:rsidP="00C974BE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……………………………………………</w:t>
      </w:r>
    </w:p>
    <w:p w14:paraId="0242DF42" w14:textId="77777777" w:rsidR="00C974BE" w:rsidRDefault="00C974BE" w:rsidP="00C974BE">
      <w:pPr>
        <w:jc w:val="right"/>
        <w:rPr>
          <w:color w:val="000000" w:themeColor="text1"/>
        </w:rPr>
      </w:pPr>
    </w:p>
    <w:p w14:paraId="5A7B9F2C" w14:textId="77777777" w:rsidR="00C974BE" w:rsidRDefault="00C974BE" w:rsidP="00C974BE">
      <w:pPr>
        <w:jc w:val="right"/>
        <w:rPr>
          <w:color w:val="000000" w:themeColor="text1"/>
        </w:rPr>
      </w:pPr>
    </w:p>
    <w:p w14:paraId="53963DAB" w14:textId="77777777" w:rsidR="00C974BE" w:rsidRDefault="00C974BE" w:rsidP="00C974BE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Data, podpis</w:t>
      </w:r>
    </w:p>
    <w:p w14:paraId="67F78436" w14:textId="1D97F4BE" w:rsidR="00C974BE" w:rsidRPr="003B5A98" w:rsidRDefault="00C974BE" w:rsidP="00C974BE">
      <w:pPr>
        <w:pStyle w:val="Akapitzlist"/>
        <w:spacing w:line="600" w:lineRule="auto"/>
        <w:ind w:firstLine="0"/>
        <w:rPr>
          <w:color w:val="000000" w:themeColor="text1"/>
          <w:sz w:val="18"/>
          <w:szCs w:val="18"/>
        </w:rPr>
      </w:pPr>
    </w:p>
    <w:p w14:paraId="6994F0CB" w14:textId="74BEDE46" w:rsidR="00C974BE" w:rsidRPr="003B5A98" w:rsidRDefault="003B5A98" w:rsidP="003B5A98">
      <w:pPr>
        <w:pStyle w:val="Akapitzlist"/>
        <w:spacing w:line="276" w:lineRule="auto"/>
        <w:ind w:left="142" w:firstLine="0"/>
        <w:jc w:val="both"/>
        <w:rPr>
          <w:color w:val="000000" w:themeColor="text1"/>
          <w:sz w:val="18"/>
          <w:szCs w:val="18"/>
        </w:rPr>
      </w:pPr>
      <w:r w:rsidRPr="003B5A98">
        <w:rPr>
          <w:color w:val="000000" w:themeColor="text1"/>
          <w:sz w:val="18"/>
          <w:szCs w:val="18"/>
        </w:rPr>
        <w:t>* Granica oznaczalności oznacza określoną wielokrotność granicy wykrywalności przy danym</w:t>
      </w:r>
      <w:r w:rsidRPr="003B5A98">
        <w:rPr>
          <w:color w:val="000000" w:themeColor="text1"/>
          <w:sz w:val="18"/>
          <w:szCs w:val="18"/>
        </w:rPr>
        <w:t xml:space="preserve"> </w:t>
      </w:r>
      <w:r w:rsidRPr="003B5A98">
        <w:rPr>
          <w:color w:val="000000" w:themeColor="text1"/>
          <w:sz w:val="18"/>
          <w:szCs w:val="18"/>
        </w:rPr>
        <w:t>stężeniu substancji oznaczanej, możliwą do wyznaczenia z akceptowalną dokładnością i</w:t>
      </w:r>
      <w:r w:rsidRPr="003B5A98">
        <w:rPr>
          <w:color w:val="000000" w:themeColor="text1"/>
          <w:sz w:val="18"/>
          <w:szCs w:val="18"/>
        </w:rPr>
        <w:t xml:space="preserve"> </w:t>
      </w:r>
      <w:r w:rsidRPr="003B5A98">
        <w:rPr>
          <w:color w:val="000000" w:themeColor="text1"/>
          <w:sz w:val="18"/>
          <w:szCs w:val="18"/>
        </w:rPr>
        <w:t>precyzją. Granica oznaczalności może być obliczana za pomocą odpowiedniej normy lub próbki i</w:t>
      </w:r>
      <w:r w:rsidRPr="003B5A98">
        <w:rPr>
          <w:color w:val="000000" w:themeColor="text1"/>
          <w:sz w:val="18"/>
          <w:szCs w:val="18"/>
        </w:rPr>
        <w:t xml:space="preserve"> </w:t>
      </w:r>
      <w:r w:rsidRPr="003B5A98">
        <w:rPr>
          <w:color w:val="000000" w:themeColor="text1"/>
          <w:sz w:val="18"/>
          <w:szCs w:val="18"/>
        </w:rPr>
        <w:t>może zostać wyznaczona na podstawie najniższego punktu kalibracji na krzywej kalibracyjnej</w:t>
      </w:r>
      <w:r w:rsidRPr="003B5A98">
        <w:rPr>
          <w:color w:val="000000" w:themeColor="text1"/>
          <w:sz w:val="18"/>
          <w:szCs w:val="18"/>
        </w:rPr>
        <w:t xml:space="preserve"> </w:t>
      </w:r>
      <w:r w:rsidRPr="003B5A98">
        <w:rPr>
          <w:color w:val="000000" w:themeColor="text1"/>
          <w:sz w:val="18"/>
          <w:szCs w:val="18"/>
        </w:rPr>
        <w:t>bez próbki ślepej.</w:t>
      </w:r>
    </w:p>
    <w:p w14:paraId="51A70840" w14:textId="0FF4557F" w:rsidR="00C974BE" w:rsidRDefault="00C974BE" w:rsidP="00C974BE">
      <w:pPr>
        <w:pStyle w:val="Akapitzlist"/>
        <w:spacing w:line="600" w:lineRule="auto"/>
        <w:ind w:firstLine="0"/>
        <w:rPr>
          <w:color w:val="000000" w:themeColor="text1"/>
        </w:rPr>
      </w:pPr>
    </w:p>
    <w:p w14:paraId="2B809F3D" w14:textId="0069A02F" w:rsidR="00C974BE" w:rsidRDefault="00C974BE" w:rsidP="00C974BE">
      <w:pPr>
        <w:pStyle w:val="Akapitzlist"/>
        <w:spacing w:line="600" w:lineRule="auto"/>
        <w:ind w:firstLine="0"/>
        <w:rPr>
          <w:color w:val="000000" w:themeColor="text1"/>
        </w:rPr>
      </w:pPr>
    </w:p>
    <w:p w14:paraId="6F32E750" w14:textId="0EE0E9C5" w:rsidR="00C974BE" w:rsidRDefault="00C974BE" w:rsidP="00C974BE">
      <w:pPr>
        <w:pStyle w:val="Akapitzlist"/>
        <w:spacing w:line="600" w:lineRule="auto"/>
        <w:ind w:firstLine="0"/>
        <w:rPr>
          <w:color w:val="000000" w:themeColor="text1"/>
        </w:rPr>
      </w:pPr>
    </w:p>
    <w:p w14:paraId="6574D63F" w14:textId="4E4C2B1E" w:rsidR="00C974BE" w:rsidRDefault="00C974BE" w:rsidP="00C974BE">
      <w:pPr>
        <w:pStyle w:val="Akapitzlist"/>
        <w:spacing w:line="600" w:lineRule="auto"/>
        <w:ind w:firstLine="0"/>
        <w:rPr>
          <w:color w:val="000000" w:themeColor="text1"/>
        </w:rPr>
      </w:pPr>
    </w:p>
    <w:p w14:paraId="32BA860E" w14:textId="77777777" w:rsidR="00C974BE" w:rsidRDefault="00C974BE" w:rsidP="00C974BE">
      <w:pPr>
        <w:pStyle w:val="Nagwek1"/>
        <w:rPr>
          <w:color w:val="000000" w:themeColor="text1"/>
          <w:u w:val="single" w:color="ED7D31"/>
        </w:rPr>
      </w:pPr>
      <w:r>
        <w:rPr>
          <w:color w:val="000000" w:themeColor="text1"/>
          <w:u w:val="single" w:color="ED7D31"/>
        </w:rPr>
        <w:t>Oświadczenie</w:t>
      </w:r>
    </w:p>
    <w:p w14:paraId="38B599E2" w14:textId="77777777" w:rsidR="00C974BE" w:rsidRPr="00C974BE" w:rsidRDefault="00C974BE" w:rsidP="00C974BE"/>
    <w:p w14:paraId="29DD41EE" w14:textId="77777777" w:rsidR="00C974BE" w:rsidRDefault="00C974BE" w:rsidP="00C974BE">
      <w:pPr>
        <w:rPr>
          <w:rFonts w:ascii="Arial" w:hAnsi="Arial" w:cs="Arial"/>
          <w:color w:val="000000" w:themeColor="text1"/>
        </w:rPr>
      </w:pPr>
      <w:r w:rsidRPr="00C974BE">
        <w:rPr>
          <w:rFonts w:ascii="Arial" w:hAnsi="Arial" w:cs="Arial"/>
          <w:color w:val="000000" w:themeColor="text1"/>
        </w:rPr>
        <w:t>Laboratorium oświadcza, że dla poniższych metod stosuje inne metody niż wskazane w aktach prawnych stanowiących cel zlecanych badań:</w:t>
      </w:r>
    </w:p>
    <w:p w14:paraId="2836FE3C" w14:textId="77777777" w:rsidR="00C974BE" w:rsidRPr="00C974BE" w:rsidRDefault="00C974BE" w:rsidP="00C974BE">
      <w:pPr>
        <w:rPr>
          <w:rFonts w:ascii="Arial" w:hAnsi="Arial" w:cs="Arial"/>
          <w:color w:val="000000" w:themeColor="text1"/>
        </w:rPr>
      </w:pPr>
    </w:p>
    <w:p w14:paraId="5975C618" w14:textId="1C9284D5" w:rsidR="00C974BE" w:rsidRPr="00C974BE" w:rsidRDefault="00C974BE" w:rsidP="00C974B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 w:rsidRPr="00C974BE">
        <w:rPr>
          <w:rFonts w:ascii="Arial" w:hAnsi="Arial" w:cs="Arial"/>
          <w:i/>
          <w:iCs/>
          <w:color w:val="000000" w:themeColor="text1"/>
        </w:rPr>
        <w:t xml:space="preserve">badanie </w:t>
      </w:r>
      <w:r w:rsidRPr="00C974BE">
        <w:rPr>
          <w:rFonts w:ascii="Arial" w:hAnsi="Arial" w:cs="Arial"/>
          <w:i/>
          <w:iCs/>
          <w:color w:val="000000" w:themeColor="text1"/>
        </w:rPr>
        <w:t xml:space="preserve">ścieków </w:t>
      </w:r>
      <w:r>
        <w:rPr>
          <w:rFonts w:ascii="Arial" w:hAnsi="Arial" w:cs="Arial"/>
          <w:i/>
          <w:iCs/>
          <w:color w:val="000000" w:themeColor="text1"/>
        </w:rPr>
        <w:t>zgodnie z Dz. U. 2019 poz. 1311</w:t>
      </w:r>
      <w:r w:rsidR="003B5A98">
        <w:rPr>
          <w:rFonts w:ascii="Arial" w:hAnsi="Arial" w:cs="Arial"/>
          <w:i/>
          <w:iCs/>
          <w:color w:val="000000" w:themeColor="text1"/>
        </w:rPr>
        <w:t xml:space="preserve">, </w:t>
      </w:r>
      <w:r w:rsidR="003B5A98" w:rsidRPr="003B5A98">
        <w:rPr>
          <w:rFonts w:ascii="Arial" w:hAnsi="Arial" w:cs="Arial"/>
          <w:i/>
          <w:iCs/>
          <w:color w:val="000000" w:themeColor="text1"/>
        </w:rPr>
        <w:t>Dz.U.2006, poz. 964 nr 136</w:t>
      </w:r>
      <w:r w:rsidR="003B5A98">
        <w:rPr>
          <w:rFonts w:ascii="Arial" w:hAnsi="Arial" w:cs="Arial"/>
          <w:i/>
          <w:iCs/>
          <w:color w:val="000000" w:themeColor="text1"/>
        </w:rPr>
        <w:t xml:space="preserve"> lub </w:t>
      </w:r>
      <w:r w:rsidR="003B5A98" w:rsidRPr="003B5A98">
        <w:rPr>
          <w:rFonts w:ascii="Arial" w:hAnsi="Arial" w:cs="Arial"/>
          <w:i/>
          <w:iCs/>
          <w:color w:val="000000" w:themeColor="text1"/>
        </w:rPr>
        <w:t>Dz. U. 2016, poz. 1757</w:t>
      </w:r>
      <w:r w:rsidR="003B5A98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Pr="00C974BE">
        <w:rPr>
          <w:rFonts w:ascii="Arial" w:hAnsi="Arial" w:cs="Arial"/>
          <w:color w:val="000000" w:themeColor="text1"/>
        </w:rPr>
        <w:t xml:space="preserve">laboratorium </w:t>
      </w:r>
      <w:r w:rsidRPr="00C974BE">
        <w:rPr>
          <w:rFonts w:ascii="Arial" w:hAnsi="Arial" w:cs="Arial"/>
          <w:color w:val="000000" w:themeColor="text1"/>
        </w:rPr>
        <w:t>przekazuje porównanie parametrów charakterystycznych stosowanej metody z metodą referencyjną</w:t>
      </w:r>
      <w:r w:rsidR="003B5A98">
        <w:rPr>
          <w:rFonts w:ascii="Arial" w:hAnsi="Arial" w:cs="Arial"/>
          <w:color w:val="000000" w:themeColor="text1"/>
        </w:rPr>
        <w:t xml:space="preserve"> wskazaną w </w:t>
      </w:r>
      <w:r w:rsidR="003B5A98">
        <w:rPr>
          <w:rFonts w:ascii="Arial" w:hAnsi="Arial" w:cs="Arial"/>
          <w:i/>
          <w:iCs/>
          <w:color w:val="000000" w:themeColor="text1"/>
        </w:rPr>
        <w:t>Dz. U. 2019 poz. 1311</w:t>
      </w:r>
      <w:r w:rsidRPr="00C974BE">
        <w:rPr>
          <w:rFonts w:ascii="Arial" w:hAnsi="Arial" w:cs="Arial"/>
          <w:color w:val="000000" w:themeColor="text1"/>
        </w:rPr>
        <w:t>:</w:t>
      </w:r>
    </w:p>
    <w:tbl>
      <w:tblPr>
        <w:tblStyle w:val="Tabelasiatki1jasna"/>
        <w:tblpPr w:leftFromText="141" w:rightFromText="141" w:vertAnchor="text" w:horzAnchor="page" w:tblpX="1421" w:tblpY="422"/>
        <w:tblW w:w="5000" w:type="pct"/>
        <w:tblLook w:val="04A0" w:firstRow="1" w:lastRow="0" w:firstColumn="1" w:lastColumn="0" w:noHBand="0" w:noVBand="1"/>
      </w:tblPr>
      <w:tblGrid>
        <w:gridCol w:w="473"/>
        <w:gridCol w:w="810"/>
        <w:gridCol w:w="1268"/>
        <w:gridCol w:w="975"/>
        <w:gridCol w:w="822"/>
        <w:gridCol w:w="810"/>
        <w:gridCol w:w="837"/>
        <w:gridCol w:w="833"/>
        <w:gridCol w:w="837"/>
        <w:gridCol w:w="1397"/>
      </w:tblGrid>
      <w:tr w:rsidR="003B5A98" w:rsidRPr="00C12D2D" w14:paraId="1277543F" w14:textId="02835B8B" w:rsidTr="00C9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51D8C949" w14:textId="39DC3400" w:rsidR="00C974BE" w:rsidRPr="00C12D2D" w:rsidRDefault="00C974BE" w:rsidP="00C974BE">
            <w:pPr>
              <w:pStyle w:val="Normal1"/>
              <w:keepNext/>
              <w:keepLines/>
              <w:tabs>
                <w:tab w:val="center" w:pos="229"/>
                <w:tab w:val="right" w:pos="9072"/>
              </w:tabs>
              <w:spacing w:before="0"/>
              <w:ind w:left="113" w:right="113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R/NR*</w:t>
            </w:r>
          </w:p>
        </w:tc>
        <w:tc>
          <w:tcPr>
            <w:tcW w:w="462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04AEE577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Badany parametr</w:t>
            </w:r>
          </w:p>
        </w:tc>
        <w:tc>
          <w:tcPr>
            <w:tcW w:w="708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44A5C7F1" w14:textId="77777777" w:rsidR="00C974BE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</w:t>
            </w:r>
          </w:p>
          <w:p w14:paraId="26F44DD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/procedury badawcze</w:t>
            </w:r>
          </w:p>
        </w:tc>
        <w:tc>
          <w:tcPr>
            <w:tcW w:w="462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055B9438" w14:textId="4AFF1B62" w:rsidR="00C974BE" w:rsidRPr="003B5A98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  <w:vertAlign w:val="superscript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  <w:r w:rsidR="003B5A98">
              <w:rPr>
                <w:rFonts w:ascii="Kelson" w:hAnsi="Kelson"/>
                <w:color w:val="000000" w:themeColor="text1"/>
                <w:vertAlign w:val="superscript"/>
              </w:rPr>
              <w:t>1)</w:t>
            </w:r>
          </w:p>
          <w:p w14:paraId="1B62A3A7" w14:textId="77777777" w:rsidR="003B5A98" w:rsidRDefault="003B5A98" w:rsidP="003B5A98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/</w:t>
            </w:r>
          </w:p>
          <w:p w14:paraId="2551CAAA" w14:textId="322D09F2" w:rsidR="00C974BE" w:rsidRPr="00C12D2D" w:rsidRDefault="003B5A98" w:rsidP="003B5A98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Dolny zakres metody</w:t>
            </w:r>
          </w:p>
        </w:tc>
        <w:tc>
          <w:tcPr>
            <w:tcW w:w="462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4DD89693" w14:textId="3A6CE24B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Niepewność dla </w:t>
            </w:r>
            <w:r w:rsidR="003B5A98">
              <w:rPr>
                <w:rFonts w:ascii="Kelson" w:hAnsi="Kelson"/>
                <w:color w:val="000000" w:themeColor="text1"/>
              </w:rPr>
              <w:t xml:space="preserve"> </w:t>
            </w:r>
            <w:r w:rsidR="003B5A98">
              <w:rPr>
                <w:rFonts w:ascii="Kelson" w:hAnsi="Kelson"/>
                <w:color w:val="000000" w:themeColor="text1"/>
              </w:rPr>
              <w:t>wartości dolnego zakresu metody</w:t>
            </w:r>
          </w:p>
        </w:tc>
        <w:tc>
          <w:tcPr>
            <w:tcW w:w="455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091575C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Niepewność dla wartości parametrycznej metody</w:t>
            </w:r>
          </w:p>
        </w:tc>
        <w:tc>
          <w:tcPr>
            <w:tcW w:w="470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1754D845" w14:textId="08B998B5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Dokładność </w:t>
            </w:r>
            <w:r w:rsidR="003B5A98">
              <w:rPr>
                <w:rFonts w:ascii="Kelson" w:hAnsi="Kelson"/>
                <w:color w:val="000000" w:themeColor="text1"/>
                <w:vertAlign w:val="superscript"/>
              </w:rPr>
              <w:t>3)</w:t>
            </w:r>
            <w:r>
              <w:rPr>
                <w:rFonts w:ascii="Kelson" w:hAnsi="Kelson"/>
                <w:color w:val="000000" w:themeColor="text1"/>
              </w:rPr>
              <w:t xml:space="preserve"> dla wartości granicy </w:t>
            </w:r>
            <w:r w:rsidR="003B5A98">
              <w:rPr>
                <w:rFonts w:ascii="Kelson" w:hAnsi="Kelson"/>
                <w:color w:val="000000" w:themeColor="text1"/>
              </w:rPr>
              <w:t>wykrywalności</w:t>
            </w:r>
          </w:p>
        </w:tc>
        <w:tc>
          <w:tcPr>
            <w:tcW w:w="468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2CF99BA5" w14:textId="0F32F3BE" w:rsidR="00C974BE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Precyzja </w:t>
            </w:r>
            <w:r w:rsidR="003B5A98">
              <w:rPr>
                <w:rFonts w:ascii="Kelson" w:hAnsi="Kelson"/>
                <w:color w:val="000000" w:themeColor="text1"/>
                <w:vertAlign w:val="superscript"/>
              </w:rPr>
              <w:t>2)</w:t>
            </w:r>
            <w:r>
              <w:rPr>
                <w:rFonts w:ascii="Kelson" w:hAnsi="Kelson"/>
                <w:color w:val="000000" w:themeColor="text1"/>
              </w:rPr>
              <w:t xml:space="preserve"> dla wartości granicy </w:t>
            </w:r>
            <w:r w:rsidR="003B5A98">
              <w:rPr>
                <w:rFonts w:ascii="Kelson" w:hAnsi="Kelson"/>
                <w:color w:val="000000" w:themeColor="text1"/>
              </w:rPr>
              <w:t>wykrywalności</w:t>
            </w:r>
          </w:p>
        </w:tc>
        <w:tc>
          <w:tcPr>
            <w:tcW w:w="470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7ED4D4D7" w14:textId="4FC3BD17" w:rsidR="00C974BE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Posiadane dowody na równoważność metod*</w:t>
            </w:r>
            <w:r>
              <w:rPr>
                <w:rFonts w:ascii="Kelson" w:hAnsi="Kelson"/>
                <w:color w:val="000000" w:themeColor="text1"/>
              </w:rPr>
              <w:t>*</w:t>
            </w:r>
          </w:p>
          <w:p w14:paraId="45F63C62" w14:textId="77777777" w:rsidR="00C974BE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Tak/Nie</w:t>
            </w:r>
          </w:p>
        </w:tc>
        <w:tc>
          <w:tcPr>
            <w:tcW w:w="779" w:type="pct"/>
            <w:tcBorders>
              <w:top w:val="single" w:sz="12" w:space="0" w:color="666666" w:themeColor="text1" w:themeTint="99"/>
              <w:bottom w:val="single" w:sz="4" w:space="0" w:color="auto"/>
            </w:tcBorders>
            <w:textDirection w:val="btLr"/>
            <w:vAlign w:val="center"/>
          </w:tcPr>
          <w:p w14:paraId="045B8C56" w14:textId="2965B5B0" w:rsidR="00C974BE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Uwagi</w:t>
            </w:r>
          </w:p>
        </w:tc>
      </w:tr>
      <w:tr w:rsidR="00C974BE" w:rsidRPr="00C12D2D" w14:paraId="0CF84BFF" w14:textId="4723727F" w:rsidTr="00C974BE">
        <w:trPr>
          <w:cantSplit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E7A3CC" w14:textId="149FDB66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R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vAlign w:val="center"/>
          </w:tcPr>
          <w:p w14:paraId="7F837158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14:paraId="70A02B8F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4BB4110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55FEDC30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2D520DAE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3FE3A9C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1BF5CBEE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D349D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EC45E6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63FAF273" w14:textId="444255F5" w:rsidTr="00C974BE">
        <w:trPr>
          <w:cantSplit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82AC3" w14:textId="3A4CAAE5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NR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vAlign w:val="center"/>
          </w:tcPr>
          <w:p w14:paraId="7EDD4C5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14:paraId="0AC7573E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1C6A95B4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3FFDEC5D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0B617AB0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35AC6FAE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33453377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D41A20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E863D5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0E43DF93" w14:textId="514AB553" w:rsidTr="00C974BE">
        <w:trPr>
          <w:cantSplit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401CB" w14:textId="2A44D78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R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vAlign w:val="center"/>
          </w:tcPr>
          <w:p w14:paraId="3F3589C9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14:paraId="03F3B0FA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36D908D7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3F34E56A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6B51EE05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41251FD7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484355D8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411808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1B0DEA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3666C260" w14:textId="3AF19EE7" w:rsidTr="00C974BE">
        <w:trPr>
          <w:cantSplit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E4B6C2" w14:textId="48F8D989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NR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vAlign w:val="center"/>
          </w:tcPr>
          <w:p w14:paraId="4D441EB2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14:paraId="495A73E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2E1DF5B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4E68EE56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2A8C2632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5DA2148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2DFB042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BC023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69D60A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0F51FD44" w14:textId="11451A79" w:rsidTr="00C974BE">
        <w:trPr>
          <w:cantSplit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BB78A" w14:textId="0DBE3291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R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vAlign w:val="center"/>
          </w:tcPr>
          <w:p w14:paraId="50FCFAB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14:paraId="142BAA5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6A333767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49E15C29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65996064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4813D1D1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3B651193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5FF54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154975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974BE" w:rsidRPr="00C12D2D" w14:paraId="422DD22D" w14:textId="02AFDB82" w:rsidTr="00C974BE">
        <w:trPr>
          <w:cantSplit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6DC3F6" w14:textId="16084344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NR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vAlign w:val="center"/>
          </w:tcPr>
          <w:p w14:paraId="29039F4B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14:paraId="0B02BB71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2DDA490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BFED8DF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4AD28B1A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0A2F35BD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02D3AEC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A5077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4C113" w14:textId="77777777" w:rsidR="00C974BE" w:rsidRPr="00C12D2D" w:rsidRDefault="00C974BE" w:rsidP="00C974BE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</w:tbl>
    <w:p w14:paraId="108BD70B" w14:textId="15D8C497" w:rsidR="00C974BE" w:rsidRDefault="00C974BE" w:rsidP="00C974BE">
      <w:pPr>
        <w:spacing w:line="276" w:lineRule="auto"/>
        <w:rPr>
          <w:color w:val="000000" w:themeColor="text1"/>
        </w:rPr>
      </w:pPr>
    </w:p>
    <w:p w14:paraId="37FA918C" w14:textId="77777777" w:rsidR="00C974BE" w:rsidRPr="00C974BE" w:rsidRDefault="00C974BE" w:rsidP="00C974BE">
      <w:pPr>
        <w:spacing w:line="276" w:lineRule="auto"/>
        <w:rPr>
          <w:color w:val="000000" w:themeColor="text1"/>
        </w:rPr>
      </w:pPr>
    </w:p>
    <w:p w14:paraId="3C89C6C6" w14:textId="510EC217" w:rsidR="00C974BE" w:rsidRPr="003B5A98" w:rsidRDefault="00C974BE" w:rsidP="00C974BE">
      <w:pPr>
        <w:spacing w:line="276" w:lineRule="auto"/>
        <w:ind w:right="-567"/>
        <w:jc w:val="both"/>
        <w:rPr>
          <w:color w:val="000000" w:themeColor="text1"/>
          <w:sz w:val="18"/>
          <w:szCs w:val="18"/>
        </w:rPr>
      </w:pPr>
      <w:r w:rsidRPr="003B5A98">
        <w:rPr>
          <w:color w:val="000000" w:themeColor="text1"/>
          <w:sz w:val="18"/>
          <w:szCs w:val="18"/>
        </w:rPr>
        <w:t>*  w odpowiednich wierszach wpisać dane metody referencyjnej (R), w kolejn</w:t>
      </w:r>
      <w:r w:rsidR="003B5A98">
        <w:rPr>
          <w:color w:val="000000" w:themeColor="text1"/>
          <w:sz w:val="18"/>
          <w:szCs w:val="18"/>
        </w:rPr>
        <w:t>ym</w:t>
      </w:r>
      <w:r w:rsidRPr="003B5A98">
        <w:rPr>
          <w:color w:val="000000" w:themeColor="text1"/>
          <w:sz w:val="18"/>
          <w:szCs w:val="18"/>
        </w:rPr>
        <w:t xml:space="preserve"> parametry metody równoważnej (NR)</w:t>
      </w:r>
    </w:p>
    <w:p w14:paraId="6B858A05" w14:textId="6B18AFA5" w:rsidR="00C974BE" w:rsidRPr="003B5A98" w:rsidRDefault="00C974BE" w:rsidP="00C974BE">
      <w:pPr>
        <w:spacing w:line="276" w:lineRule="auto"/>
        <w:ind w:right="-426"/>
        <w:jc w:val="both"/>
        <w:rPr>
          <w:b/>
          <w:bCs/>
          <w:color w:val="000000" w:themeColor="text1"/>
          <w:sz w:val="18"/>
          <w:szCs w:val="18"/>
        </w:rPr>
      </w:pPr>
      <w:r w:rsidRPr="003B5A98">
        <w:rPr>
          <w:color w:val="000000" w:themeColor="text1"/>
          <w:sz w:val="18"/>
          <w:szCs w:val="18"/>
        </w:rPr>
        <w:t>** Zgodnie z Prawem wodnym „D</w:t>
      </w:r>
      <w:r w:rsidRPr="003B5A98">
        <w:rPr>
          <w:color w:val="000000" w:themeColor="text1"/>
          <w:sz w:val="18"/>
          <w:szCs w:val="18"/>
        </w:rPr>
        <w:t>opuszcza się stosowanie innej metodyki, jeżeli umożliwia ona uzyskanie dokładniejszych wyników, a uzasadnieniem jej zastosowania są zjawiska meteorologiczne, mechanizmy fizyczne i procesy chemiczne, jakim podlegają substancje lub energie, a podmiot obowiązany do prowadzenia pomiarów udowodni pełną równoważność uzyskanych wyników</w:t>
      </w:r>
      <w:r w:rsidRPr="003B5A98">
        <w:rPr>
          <w:color w:val="000000" w:themeColor="text1"/>
          <w:sz w:val="18"/>
          <w:szCs w:val="18"/>
        </w:rPr>
        <w:t>” oraz Prawem ochrony środowiska „</w:t>
      </w:r>
      <w:r w:rsidRPr="003B5A98">
        <w:rPr>
          <w:color w:val="000000" w:themeColor="text1"/>
          <w:sz w:val="18"/>
          <w:szCs w:val="18"/>
        </w:rPr>
        <w:t>Jeżeli na podstawie ustawy wprowadzono obowiązek korzystania z metodyki referencyjnej, jest dopuszczalne stosowanie innej metodyki, pod warunkiem</w:t>
      </w:r>
      <w:r w:rsidRPr="003B5A98">
        <w:rPr>
          <w:color w:val="000000" w:themeColor="text1"/>
          <w:sz w:val="18"/>
          <w:szCs w:val="18"/>
        </w:rPr>
        <w:t xml:space="preserve">: … </w:t>
      </w:r>
      <w:r w:rsidRPr="003B5A98">
        <w:rPr>
          <w:color w:val="000000" w:themeColor="text1"/>
          <w:sz w:val="18"/>
          <w:szCs w:val="18"/>
        </w:rPr>
        <w:t>udowodnienia pełnej równoważności uzyskiwanych wyników</w:t>
      </w:r>
      <w:r w:rsidRPr="003B5A98">
        <w:rPr>
          <w:color w:val="000000" w:themeColor="text1"/>
          <w:sz w:val="18"/>
          <w:szCs w:val="18"/>
        </w:rPr>
        <w:t xml:space="preserve">” </w:t>
      </w:r>
      <w:r w:rsidRPr="003B5A98">
        <w:rPr>
          <w:b/>
          <w:bCs/>
          <w:color w:val="000000" w:themeColor="text1"/>
          <w:sz w:val="18"/>
          <w:szCs w:val="18"/>
        </w:rPr>
        <w:t>– posiadane dowody do wglądu zleceniodawcy.</w:t>
      </w:r>
    </w:p>
    <w:p w14:paraId="2D174115" w14:textId="70288B15" w:rsidR="003B5A98" w:rsidRDefault="003B5A98" w:rsidP="00C974BE">
      <w:pPr>
        <w:spacing w:line="276" w:lineRule="auto"/>
        <w:ind w:right="-426"/>
        <w:jc w:val="both"/>
        <w:rPr>
          <w:b/>
          <w:bCs/>
          <w:color w:val="000000" w:themeColor="text1"/>
        </w:rPr>
      </w:pPr>
    </w:p>
    <w:p w14:paraId="5AFB1AA4" w14:textId="6E39FAD7" w:rsidR="003B5A98" w:rsidRDefault="003B5A98" w:rsidP="003B5A98">
      <w:pPr>
        <w:spacing w:line="276" w:lineRule="auto"/>
        <w:ind w:left="0" w:right="-426" w:firstLine="0"/>
        <w:jc w:val="both"/>
        <w:rPr>
          <w:b/>
          <w:bCs/>
          <w:color w:val="000000" w:themeColor="text1"/>
        </w:rPr>
      </w:pPr>
    </w:p>
    <w:p w14:paraId="5D4A2F36" w14:textId="77777777" w:rsidR="003B5A98" w:rsidRDefault="003B5A98" w:rsidP="003B5A98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……………………………………………</w:t>
      </w:r>
    </w:p>
    <w:p w14:paraId="02020330" w14:textId="77777777" w:rsidR="003B5A98" w:rsidRDefault="003B5A98" w:rsidP="003B5A98">
      <w:pPr>
        <w:jc w:val="right"/>
        <w:rPr>
          <w:color w:val="000000" w:themeColor="text1"/>
        </w:rPr>
      </w:pPr>
    </w:p>
    <w:p w14:paraId="2240F060" w14:textId="77777777" w:rsidR="003B5A98" w:rsidRDefault="003B5A98" w:rsidP="003B5A98">
      <w:pPr>
        <w:jc w:val="right"/>
        <w:rPr>
          <w:color w:val="000000" w:themeColor="text1"/>
        </w:rPr>
      </w:pPr>
    </w:p>
    <w:p w14:paraId="30526599" w14:textId="77777777" w:rsidR="003B5A98" w:rsidRDefault="003B5A98" w:rsidP="003B5A98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Data, podpis</w:t>
      </w:r>
    </w:p>
    <w:p w14:paraId="4158EE36" w14:textId="0BB75ADF" w:rsidR="003B5A98" w:rsidRDefault="003B5A98" w:rsidP="00C974BE">
      <w:pPr>
        <w:spacing w:line="276" w:lineRule="auto"/>
        <w:ind w:right="-426"/>
        <w:jc w:val="both"/>
        <w:rPr>
          <w:b/>
          <w:bCs/>
          <w:color w:val="000000" w:themeColor="text1"/>
        </w:rPr>
      </w:pPr>
    </w:p>
    <w:p w14:paraId="1425DAE8" w14:textId="0B4BAB1C" w:rsidR="003B5A98" w:rsidRDefault="003B5A98" w:rsidP="003B5A98">
      <w:pPr>
        <w:spacing w:line="276" w:lineRule="auto"/>
        <w:ind w:right="-426"/>
        <w:jc w:val="both"/>
        <w:rPr>
          <w:b/>
          <w:bCs/>
          <w:color w:val="000000" w:themeColor="text1"/>
        </w:rPr>
      </w:pPr>
    </w:p>
    <w:p w14:paraId="133BFDC0" w14:textId="4C43B49D" w:rsidR="003B5A98" w:rsidRPr="003B5A98" w:rsidRDefault="003B5A98" w:rsidP="003B5A98">
      <w:pPr>
        <w:autoSpaceDE w:val="0"/>
        <w:autoSpaceDN w:val="0"/>
        <w:adjustRightInd w:val="0"/>
        <w:spacing w:after="0" w:line="276" w:lineRule="auto"/>
        <w:ind w:left="0" w:right="-426" w:firstLine="0"/>
        <w:jc w:val="both"/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</w:pP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 xml:space="preserve">1) </w:t>
      </w:r>
      <w:r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 xml:space="preserve">oznaczalność obliczana jako dwukrotność „wykrywalności”, przy czym 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>„wykrywalność” rozumianą jako takie stężenie analitu, jakie można wykryć w badanej próbce daną metodą pomiarową, które odpowiada sygnałowi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 xml:space="preserve"> 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 xml:space="preserve">obliczonemu z wartości ślepej próby plus trzykrotność odchylenia 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>s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>tandardowego; wyznacza się ją również jako średnią obliczoną z wyników oznaczeń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 xml:space="preserve"> 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>minimum 10 próbek ślepych, po odrzuceniu wyników odbiegających, wykrytych testem Dixona;</w:t>
      </w:r>
    </w:p>
    <w:p w14:paraId="4807BC5B" w14:textId="36516190" w:rsidR="003B5A98" w:rsidRPr="003B5A98" w:rsidRDefault="003B5A98" w:rsidP="003B5A98">
      <w:pPr>
        <w:autoSpaceDE w:val="0"/>
        <w:autoSpaceDN w:val="0"/>
        <w:adjustRightInd w:val="0"/>
        <w:spacing w:after="0" w:line="276" w:lineRule="auto"/>
        <w:ind w:left="0" w:right="-426" w:firstLine="0"/>
        <w:jc w:val="both"/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</w:pP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>2) „precyzję” rozumianą jako stopień zgodności wyników wielokrotnych analiz tej samej próbki w określonych warunkach; miarą precyzji jest odchylenie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 xml:space="preserve"> </w:t>
      </w: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>standardowe (SD) lub względne odchylenie standardowe (RSD);</w:t>
      </w:r>
    </w:p>
    <w:p w14:paraId="42E0F003" w14:textId="6BD1BC28" w:rsidR="003B5A98" w:rsidRPr="003B5A98" w:rsidRDefault="003B5A98" w:rsidP="003B5A98">
      <w:pPr>
        <w:spacing w:line="276" w:lineRule="auto"/>
        <w:ind w:right="-426"/>
        <w:jc w:val="both"/>
        <w:rPr>
          <w:i/>
          <w:iCs/>
          <w:color w:val="000000" w:themeColor="text1"/>
          <w:sz w:val="18"/>
          <w:szCs w:val="18"/>
        </w:rPr>
      </w:pPr>
      <w:r w:rsidRPr="003B5A98">
        <w:rPr>
          <w:rFonts w:ascii="TimesNewRoman" w:eastAsiaTheme="minorHAnsi" w:hAnsi="TimesNewRoman" w:cs="TimesNewRoman"/>
          <w:i/>
          <w:iCs/>
          <w:color w:val="auto"/>
          <w:sz w:val="18"/>
          <w:szCs w:val="18"/>
          <w:lang w:eastAsia="en-US"/>
        </w:rPr>
        <w:t>3) „dokładność” rozumianą jako stopień zgodności między średnim wynikiem uzyskanym w szeregu powtórzeń a wartością prawdziwą mierzonej wartości.</w:t>
      </w:r>
    </w:p>
    <w:p w14:paraId="79160040" w14:textId="65323FF9" w:rsidR="00C12D2D" w:rsidRPr="00C12D2D" w:rsidRDefault="00C12D2D" w:rsidP="00C12D2D">
      <w:pPr>
        <w:pStyle w:val="Akapitzlist"/>
        <w:rPr>
          <w:color w:val="000000" w:themeColor="text1"/>
        </w:rPr>
      </w:pPr>
    </w:p>
    <w:p w14:paraId="72A607C1" w14:textId="66847178" w:rsidR="00C12D2D" w:rsidRDefault="00C12D2D" w:rsidP="00C974BE">
      <w:pPr>
        <w:ind w:left="0" w:firstLine="0"/>
        <w:rPr>
          <w:color w:val="000000" w:themeColor="text1"/>
        </w:rPr>
      </w:pPr>
    </w:p>
    <w:p w14:paraId="0AF8F899" w14:textId="77777777" w:rsidR="003B5A98" w:rsidRDefault="003B5A98">
      <w:pPr>
        <w:jc w:val="right"/>
        <w:rPr>
          <w:color w:val="000000" w:themeColor="text1"/>
        </w:rPr>
      </w:pPr>
    </w:p>
    <w:sectPr w:rsidR="003B5A98" w:rsidSect="00C12D2D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AABE" w14:textId="77777777" w:rsidR="00C12D2D" w:rsidRDefault="00C12D2D" w:rsidP="00C12D2D">
      <w:pPr>
        <w:spacing w:after="0" w:line="240" w:lineRule="auto"/>
      </w:pPr>
      <w:r>
        <w:separator/>
      </w:r>
    </w:p>
  </w:endnote>
  <w:endnote w:type="continuationSeparator" w:id="0">
    <w:p w14:paraId="4F5486E7" w14:textId="77777777" w:rsidR="00C12D2D" w:rsidRDefault="00C12D2D" w:rsidP="00C1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l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891C" w14:textId="77777777" w:rsidR="00C12D2D" w:rsidRDefault="00C12D2D" w:rsidP="00C12D2D">
      <w:pPr>
        <w:spacing w:after="0" w:line="240" w:lineRule="auto"/>
      </w:pPr>
      <w:r>
        <w:separator/>
      </w:r>
    </w:p>
  </w:footnote>
  <w:footnote w:type="continuationSeparator" w:id="0">
    <w:p w14:paraId="2C3C4FA1" w14:textId="77777777" w:rsidR="00C12D2D" w:rsidRDefault="00C12D2D" w:rsidP="00C1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D7A3" w14:textId="5C1CFCB5" w:rsidR="00C12D2D" w:rsidRDefault="00C12D2D">
    <w:pPr>
      <w:pStyle w:val="Nagwek"/>
    </w:pPr>
    <w:r>
      <w:t xml:space="preserve">Załącznik nr </w:t>
    </w:r>
    <w:r w:rsidR="00C974BE">
      <w:t>2</w:t>
    </w:r>
    <w:r>
      <w:t xml:space="preserve"> do zapytania ofertowego.</w:t>
    </w:r>
  </w:p>
  <w:p w14:paraId="48CCE93A" w14:textId="77777777" w:rsidR="00C12D2D" w:rsidRDefault="00C12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14D"/>
    <w:multiLevelType w:val="hybridMultilevel"/>
    <w:tmpl w:val="886C362A"/>
    <w:lvl w:ilvl="0" w:tplc="87706386">
      <w:start w:val="14"/>
      <w:numFmt w:val="bullet"/>
      <w:lvlText w:val=""/>
      <w:lvlJc w:val="left"/>
      <w:pPr>
        <w:ind w:left="720" w:hanging="360"/>
      </w:pPr>
      <w:rPr>
        <w:rFonts w:ascii="Symbol" w:eastAsia="Kelson" w:hAnsi="Symbol" w:cs="Kelso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9FC"/>
    <w:multiLevelType w:val="hybridMultilevel"/>
    <w:tmpl w:val="3352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8D6"/>
    <w:multiLevelType w:val="hybridMultilevel"/>
    <w:tmpl w:val="FDA2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6303"/>
    <w:multiLevelType w:val="hybridMultilevel"/>
    <w:tmpl w:val="8BA8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5EAD"/>
    <w:multiLevelType w:val="hybridMultilevel"/>
    <w:tmpl w:val="6DE2EF2E"/>
    <w:lvl w:ilvl="0" w:tplc="23000EF6">
      <w:start w:val="14"/>
      <w:numFmt w:val="bullet"/>
      <w:lvlText w:val=""/>
      <w:lvlJc w:val="left"/>
      <w:pPr>
        <w:ind w:left="720" w:hanging="360"/>
      </w:pPr>
      <w:rPr>
        <w:rFonts w:ascii="Symbol" w:eastAsia="Kelson" w:hAnsi="Symbol" w:cs="Kelso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3811"/>
    <w:multiLevelType w:val="hybridMultilevel"/>
    <w:tmpl w:val="9FBEA65C"/>
    <w:lvl w:ilvl="0" w:tplc="82DE0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8830AC"/>
    <w:multiLevelType w:val="hybridMultilevel"/>
    <w:tmpl w:val="E730C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19A5"/>
    <w:multiLevelType w:val="hybridMultilevel"/>
    <w:tmpl w:val="14AA1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A27171"/>
    <w:multiLevelType w:val="hybridMultilevel"/>
    <w:tmpl w:val="5FE6945A"/>
    <w:lvl w:ilvl="0" w:tplc="B852A5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Kelso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413D"/>
    <w:multiLevelType w:val="hybridMultilevel"/>
    <w:tmpl w:val="2438F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D3"/>
    <w:multiLevelType w:val="hybridMultilevel"/>
    <w:tmpl w:val="EDECF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84813">
    <w:abstractNumId w:val="2"/>
  </w:num>
  <w:num w:numId="2" w16cid:durableId="483280819">
    <w:abstractNumId w:val="5"/>
  </w:num>
  <w:num w:numId="3" w16cid:durableId="1609193056">
    <w:abstractNumId w:val="7"/>
  </w:num>
  <w:num w:numId="4" w16cid:durableId="471946785">
    <w:abstractNumId w:val="1"/>
  </w:num>
  <w:num w:numId="5" w16cid:durableId="116989159">
    <w:abstractNumId w:val="10"/>
  </w:num>
  <w:num w:numId="6" w16cid:durableId="266621769">
    <w:abstractNumId w:val="8"/>
  </w:num>
  <w:num w:numId="7" w16cid:durableId="1589267434">
    <w:abstractNumId w:val="3"/>
  </w:num>
  <w:num w:numId="8" w16cid:durableId="1936205971">
    <w:abstractNumId w:val="6"/>
  </w:num>
  <w:num w:numId="9" w16cid:durableId="798256801">
    <w:abstractNumId w:val="9"/>
  </w:num>
  <w:num w:numId="10" w16cid:durableId="611743301">
    <w:abstractNumId w:val="4"/>
  </w:num>
  <w:num w:numId="11" w16cid:durableId="18264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B9"/>
    <w:rsid w:val="000108AA"/>
    <w:rsid w:val="00045F7E"/>
    <w:rsid w:val="000F1BC0"/>
    <w:rsid w:val="0012010A"/>
    <w:rsid w:val="00124F0F"/>
    <w:rsid w:val="00126E69"/>
    <w:rsid w:val="00187573"/>
    <w:rsid w:val="002959B3"/>
    <w:rsid w:val="00345B44"/>
    <w:rsid w:val="003B5A98"/>
    <w:rsid w:val="00467FB1"/>
    <w:rsid w:val="00510B01"/>
    <w:rsid w:val="00547155"/>
    <w:rsid w:val="0060406C"/>
    <w:rsid w:val="00646388"/>
    <w:rsid w:val="00713622"/>
    <w:rsid w:val="00882582"/>
    <w:rsid w:val="008A6C95"/>
    <w:rsid w:val="008F44AE"/>
    <w:rsid w:val="009604DA"/>
    <w:rsid w:val="00A7434F"/>
    <w:rsid w:val="00A758B6"/>
    <w:rsid w:val="00AD77CB"/>
    <w:rsid w:val="00B339FE"/>
    <w:rsid w:val="00B97476"/>
    <w:rsid w:val="00BB235C"/>
    <w:rsid w:val="00C05BC4"/>
    <w:rsid w:val="00C12D2D"/>
    <w:rsid w:val="00C974BE"/>
    <w:rsid w:val="00CD68EA"/>
    <w:rsid w:val="00D167DA"/>
    <w:rsid w:val="00D53F21"/>
    <w:rsid w:val="00D87DCA"/>
    <w:rsid w:val="00DA501E"/>
    <w:rsid w:val="00DA7E2A"/>
    <w:rsid w:val="00DB56B9"/>
    <w:rsid w:val="00DC125C"/>
    <w:rsid w:val="00DE3E31"/>
    <w:rsid w:val="00E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BC2E"/>
  <w15:chartTrackingRefBased/>
  <w15:docId w15:val="{34D62894-E99D-44B1-BB29-6C72AFE4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6B9"/>
    <w:pPr>
      <w:spacing w:after="4" w:line="265" w:lineRule="auto"/>
      <w:ind w:left="10" w:hanging="10"/>
    </w:pPr>
    <w:rPr>
      <w:rFonts w:ascii="Kelson" w:eastAsia="Kelson" w:hAnsi="Kelson" w:cs="Kelson"/>
      <w:color w:val="041A71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B56B9"/>
    <w:pPr>
      <w:keepNext/>
      <w:keepLines/>
      <w:spacing w:after="0"/>
      <w:jc w:val="center"/>
      <w:outlineLvl w:val="0"/>
    </w:pPr>
    <w:rPr>
      <w:rFonts w:ascii="Kelson" w:eastAsia="Kelson" w:hAnsi="Kelson" w:cs="Kelson"/>
      <w:b/>
      <w:bCs/>
      <w:color w:val="5666A7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6B9"/>
    <w:rPr>
      <w:rFonts w:ascii="Kelson" w:eastAsia="Kelson" w:hAnsi="Kelson" w:cs="Kelson"/>
      <w:b/>
      <w:bCs/>
      <w:color w:val="5666A7"/>
      <w:sz w:val="40"/>
      <w:szCs w:val="40"/>
      <w:lang w:eastAsia="pl-PL"/>
    </w:rPr>
  </w:style>
  <w:style w:type="table" w:customStyle="1" w:styleId="TableGrid">
    <w:name w:val="TableGrid"/>
    <w:rsid w:val="00DB56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B56B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6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B56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6B9"/>
    <w:rPr>
      <w:rFonts w:ascii="Kelson" w:eastAsia="Kelson" w:hAnsi="Kelson" w:cs="Kelson"/>
      <w:color w:val="041A7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6B9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Calibri" w:eastAsia="Calibri" w:hAnsi="Calibr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B56B9"/>
    <w:rPr>
      <w:rFonts w:ascii="Calibri" w:eastAsia="Calibri" w:hAnsi="Calibri" w:cs="Kelson"/>
      <w:lang w:eastAsia="pl-PL"/>
    </w:rPr>
  </w:style>
  <w:style w:type="character" w:customStyle="1" w:styleId="Teksttreci">
    <w:name w:val="Tekst treści_"/>
    <w:basedOn w:val="Domylnaczcionkaakapitu"/>
    <w:link w:val="Teksttreci0"/>
    <w:rsid w:val="00DB56B9"/>
    <w:rPr>
      <w:rFonts w:ascii="Calibri" w:eastAsia="Times New Roman" w:hAnsi="Calibri" w:cs="Calibri"/>
      <w:color w:val="041A72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B56B9"/>
    <w:pPr>
      <w:widowControl w:val="0"/>
      <w:spacing w:after="80" w:line="240" w:lineRule="auto"/>
      <w:ind w:left="0" w:firstLine="0"/>
    </w:pPr>
    <w:rPr>
      <w:rFonts w:ascii="Calibri" w:eastAsia="Times New Roman" w:hAnsi="Calibri" w:cs="Calibri"/>
      <w:color w:val="041A7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6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6B9"/>
    <w:pPr>
      <w:widowControl w:val="0"/>
      <w:spacing w:after="0" w:line="240" w:lineRule="auto"/>
      <w:ind w:left="0" w:firstLine="0"/>
    </w:pPr>
    <w:rPr>
      <w:rFonts w:ascii="Courier New" w:eastAsia="Times New Roman" w:hAnsi="Courier New" w:cs="Courier New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6B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B9"/>
    <w:rPr>
      <w:rFonts w:ascii="Segoe UI" w:eastAsia="Kelson" w:hAnsi="Segoe UI" w:cs="Segoe UI"/>
      <w:color w:val="041A71"/>
      <w:sz w:val="18"/>
      <w:szCs w:val="18"/>
      <w:lang w:eastAsia="pl-PL"/>
    </w:rPr>
  </w:style>
  <w:style w:type="character" w:customStyle="1" w:styleId="Nagweklubstopka2">
    <w:name w:val="Nagłówek lub stopka (2)_"/>
    <w:basedOn w:val="Domylnaczcionkaakapitu"/>
    <w:link w:val="Nagweklubstopka20"/>
    <w:rsid w:val="00DB56B9"/>
    <w:rPr>
      <w:rFonts w:ascii="Times New Roman" w:hAnsi="Times New Roman" w:cs="Times New Roman"/>
      <w:sz w:val="20"/>
      <w:szCs w:val="20"/>
      <w:lang w:val="en-US"/>
    </w:rPr>
  </w:style>
  <w:style w:type="paragraph" w:customStyle="1" w:styleId="Nagweklubstopka20">
    <w:name w:val="Nagłówek lub stopka (2)"/>
    <w:basedOn w:val="Normalny"/>
    <w:link w:val="Nagweklubstopka2"/>
    <w:rsid w:val="00DB56B9"/>
    <w:pPr>
      <w:widowControl w:val="0"/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styleId="Odwoanieprzypisudolnego">
    <w:name w:val="footnote reference"/>
    <w:uiPriority w:val="99"/>
    <w:semiHidden/>
    <w:unhideWhenUsed/>
    <w:qFormat/>
    <w:rsid w:val="00DB56B9"/>
    <w:rPr>
      <w:vertAlign w:val="superscript"/>
    </w:rPr>
  </w:style>
  <w:style w:type="character" w:styleId="Odwoanieprzypisukocowego">
    <w:name w:val="endnote reference"/>
    <w:uiPriority w:val="99"/>
    <w:semiHidden/>
    <w:unhideWhenUsed/>
    <w:qFormat/>
    <w:rsid w:val="00DB56B9"/>
    <w:rPr>
      <w:vertAlign w:val="superscript"/>
    </w:rPr>
  </w:style>
  <w:style w:type="table" w:customStyle="1" w:styleId="TableGrid1">
    <w:name w:val="Table Grid_1"/>
    <w:basedOn w:val="Standardowy"/>
    <w:uiPriority w:val="59"/>
    <w:rsid w:val="00DB56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table" w:customStyle="1" w:styleId="Obiks">
    <w:name w:val="Obiks"/>
    <w:basedOn w:val="Standardowy"/>
    <w:uiPriority w:val="99"/>
    <w:rsid w:val="00DB56B9"/>
    <w:pPr>
      <w:spacing w:after="0" w:line="240" w:lineRule="auto"/>
    </w:pPr>
    <w:rPr>
      <w:rFonts w:ascii="Calibri" w:eastAsia="Times New Roman" w:hAnsi="Calibri" w:cs="Times New Roman"/>
      <w:color w:val="FFFFFF"/>
      <w:lang w:eastAsia="pl-PL"/>
    </w:rPr>
    <w:tblPr>
      <w:tblStyleRowBandSize w:val="1"/>
      <w:tblStyleColBandSize w:val="1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</w:tblPr>
    <w:tblStylePr w:type="firstRow">
      <w:rPr>
        <w:b/>
        <w:bCs/>
        <w:color w:val="FFFFFF"/>
      </w:rPr>
      <w:tblPr/>
      <w:tcPr>
        <w:tcBorders>
          <w:bottom w:val="single" w:sz="4" w:space="0" w:color="001A71"/>
        </w:tcBorders>
        <w:shd w:val="clear" w:color="auto" w:fill="9297C6"/>
      </w:tcPr>
    </w:tblStylePr>
    <w:tblStylePr w:type="band1Horz">
      <w:rPr>
        <w:color w:val="001A71"/>
      </w:rPr>
      <w:tblPr/>
      <w:tcPr>
        <w:tcBorders>
          <w:bottom w:val="single" w:sz="4" w:space="0" w:color="001A71"/>
        </w:tcBorders>
      </w:tcPr>
    </w:tblStylePr>
    <w:tblStylePr w:type="band2Horz">
      <w:rPr>
        <w:color w:val="001A71"/>
      </w:rPr>
      <w:tblPr/>
      <w:tcPr>
        <w:tcBorders>
          <w:bottom w:val="single" w:sz="4" w:space="0" w:color="001A71"/>
        </w:tcBorders>
        <w:shd w:val="clear" w:color="auto" w:fill="E7E8F2"/>
      </w:tcPr>
    </w:tblStylePr>
  </w:style>
  <w:style w:type="paragraph" w:customStyle="1" w:styleId="Normal2">
    <w:name w:val="Normal_2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3">
    <w:name w:val="Normal_3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4">
    <w:name w:val="Normal_4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5">
    <w:name w:val="Normal_5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6">
    <w:name w:val="Normal_6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7">
    <w:name w:val="Normal_7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8">
    <w:name w:val="Normal_8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9">
    <w:name w:val="Normal_9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table" w:styleId="Zwykatabela3">
    <w:name w:val="Plain Table 3"/>
    <w:basedOn w:val="Standardowy"/>
    <w:uiPriority w:val="43"/>
    <w:rsid w:val="00DB56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DB56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C1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6190-E2E3-4ECA-87E1-7DBF992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Czerska</dc:creator>
  <cp:keywords/>
  <dc:description/>
  <cp:lastModifiedBy>Katarzyna Czerska</cp:lastModifiedBy>
  <cp:revision>3</cp:revision>
  <cp:lastPrinted>2023-02-20T13:40:00Z</cp:lastPrinted>
  <dcterms:created xsi:type="dcterms:W3CDTF">2023-02-21T06:44:00Z</dcterms:created>
  <dcterms:modified xsi:type="dcterms:W3CDTF">2023-02-21T07:16:00Z</dcterms:modified>
</cp:coreProperties>
</file>