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41E4" w14:textId="77777777" w:rsidR="0036749E" w:rsidRDefault="0036749E" w:rsidP="00F97DF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32"/>
          <w:szCs w:val="32"/>
        </w:rPr>
      </w:pPr>
    </w:p>
    <w:p w14:paraId="35E6A5F9" w14:textId="12B20393" w:rsidR="007E4CA9" w:rsidRDefault="007E4CA9" w:rsidP="008F1B36">
      <w:pPr>
        <w:pStyle w:val="Akapitzlist"/>
        <w:ind w:left="450"/>
        <w:contextualSpacing w:val="0"/>
        <w:jc w:val="center"/>
        <w:rPr>
          <w:rFonts w:cstheme="minorHAnsi"/>
          <w:b/>
        </w:rPr>
      </w:pPr>
      <w:r w:rsidRPr="00626829">
        <w:rPr>
          <w:rFonts w:cstheme="minorHAnsi"/>
          <w:b/>
          <w:sz w:val="32"/>
          <w:szCs w:val="32"/>
        </w:rPr>
        <w:t xml:space="preserve">Opis przedmiotu </w:t>
      </w:r>
      <w:r w:rsidR="00626829" w:rsidRPr="00626829">
        <w:rPr>
          <w:rFonts w:cstheme="minorHAnsi"/>
          <w:b/>
          <w:sz w:val="32"/>
          <w:szCs w:val="32"/>
        </w:rPr>
        <w:t>zamówienia</w:t>
      </w:r>
      <w:r w:rsidR="00CD52C0">
        <w:rPr>
          <w:rFonts w:cstheme="minorHAnsi"/>
          <w:b/>
          <w:sz w:val="32"/>
          <w:szCs w:val="32"/>
        </w:rPr>
        <w:br/>
      </w:r>
      <w:r w:rsidR="00CD52C0" w:rsidRPr="00CD52C0">
        <w:rPr>
          <w:rFonts w:cstheme="minorHAnsi"/>
          <w:b/>
        </w:rPr>
        <w:t>(dalej OPZ)</w:t>
      </w:r>
    </w:p>
    <w:p w14:paraId="523FCC2F" w14:textId="77777777" w:rsidR="00CD52C0" w:rsidRPr="00626829" w:rsidRDefault="00CD52C0" w:rsidP="00CD52C0">
      <w:pPr>
        <w:pStyle w:val="Akapitzlist"/>
        <w:ind w:left="450"/>
        <w:contextualSpacing w:val="0"/>
        <w:rPr>
          <w:rFonts w:cstheme="minorHAnsi"/>
          <w:b/>
          <w:sz w:val="32"/>
          <w:szCs w:val="32"/>
        </w:rPr>
      </w:pPr>
    </w:p>
    <w:p w14:paraId="593EC289" w14:textId="39C582ED" w:rsidR="00302553" w:rsidRDefault="00CD52C0" w:rsidP="00686861">
      <w:p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Dotyczy postępowania przetargowego pn.</w:t>
      </w:r>
      <w:r w:rsidRPr="00843FE2">
        <w:rPr>
          <w:rFonts w:eastAsia="Calibri" w:cstheme="minorHAnsi"/>
          <w:b/>
          <w:bCs/>
          <w:color w:val="000000" w:themeColor="text1"/>
        </w:rPr>
        <w:t xml:space="preserve"> „Dostawa mobilnych stacji roboczych wraz z urządzeniami peryferyjnymi”.</w:t>
      </w:r>
    </w:p>
    <w:p w14:paraId="693CA007" w14:textId="77777777" w:rsidR="000F2A97" w:rsidRPr="00843FE2" w:rsidRDefault="000F2A97" w:rsidP="00686861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3272D555" w14:textId="5D950AA0" w:rsidR="00CD52C0" w:rsidRPr="000F2A97" w:rsidRDefault="00CD52C0" w:rsidP="000F2A97">
      <w:pPr>
        <w:pStyle w:val="Akapitzlist"/>
        <w:numPr>
          <w:ilvl w:val="0"/>
          <w:numId w:val="11"/>
        </w:num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b/>
          <w:bCs/>
          <w:color w:val="000000" w:themeColor="text1"/>
        </w:rPr>
        <w:t>PRZEDMIOT I CEL ZAMÓWIENIA</w:t>
      </w:r>
    </w:p>
    <w:p w14:paraId="6340486E" w14:textId="77777777" w:rsidR="00CD52C0" w:rsidRPr="00843FE2" w:rsidRDefault="00CD52C0" w:rsidP="00CD52C0">
      <w:pPr>
        <w:pStyle w:val="Akapitzlist"/>
        <w:numPr>
          <w:ilvl w:val="0"/>
          <w:numId w:val="9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Przedmiotem zamówienia jest dostawa mobilnych stacji roboczych wraz z urządzeniami peryferyjnymi.</w:t>
      </w:r>
    </w:p>
    <w:p w14:paraId="3045EB3D" w14:textId="2529E113" w:rsidR="00CD52C0" w:rsidRPr="00843FE2" w:rsidRDefault="00CD52C0" w:rsidP="00CD52C0">
      <w:pPr>
        <w:pStyle w:val="Akapitzlist"/>
        <w:numPr>
          <w:ilvl w:val="0"/>
          <w:numId w:val="9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Celem zamówienia jest wymian</w:t>
      </w:r>
      <w:r w:rsidR="00632DC2" w:rsidRPr="00843FE2">
        <w:rPr>
          <w:rFonts w:eastAsia="Calibri" w:cstheme="minorHAnsi"/>
          <w:color w:val="000000" w:themeColor="text1"/>
        </w:rPr>
        <w:t>a</w:t>
      </w:r>
      <w:r w:rsidRPr="00843FE2">
        <w:rPr>
          <w:rFonts w:eastAsia="Calibri" w:cstheme="minorHAnsi"/>
          <w:color w:val="000000" w:themeColor="text1"/>
        </w:rPr>
        <w:t xml:space="preserve"> mobilnych stacji roboczych na nowy sprzęt z najaktualniejszą wersją oprogramowania. Mając na uwadze bezpieczeństwo danych i komfort pracy </w:t>
      </w:r>
      <w:r w:rsidR="003B35D5" w:rsidRPr="00843FE2">
        <w:rPr>
          <w:rFonts w:eastAsia="Calibri" w:cstheme="minorHAnsi"/>
          <w:color w:val="000000" w:themeColor="text1"/>
        </w:rPr>
        <w:t xml:space="preserve">Zamawiający określa </w:t>
      </w:r>
      <w:r w:rsidRPr="00843FE2">
        <w:rPr>
          <w:rFonts w:eastAsia="Calibri" w:cstheme="minorHAnsi"/>
          <w:color w:val="000000" w:themeColor="text1"/>
        </w:rPr>
        <w:t xml:space="preserve"> wymagania</w:t>
      </w:r>
      <w:r w:rsidR="003B35D5" w:rsidRPr="00843FE2">
        <w:rPr>
          <w:rFonts w:eastAsia="Calibri" w:cstheme="minorHAnsi"/>
          <w:color w:val="000000" w:themeColor="text1"/>
        </w:rPr>
        <w:t xml:space="preserve"> w tabeli w pkt. III</w:t>
      </w:r>
      <w:r w:rsidRPr="00843FE2">
        <w:rPr>
          <w:rFonts w:eastAsia="Calibri" w:cstheme="minorHAnsi"/>
          <w:color w:val="000000" w:themeColor="text1"/>
        </w:rPr>
        <w:t>.</w:t>
      </w:r>
    </w:p>
    <w:p w14:paraId="2BDA85B3" w14:textId="70494CEC" w:rsidR="0044661D" w:rsidRPr="00843FE2" w:rsidRDefault="0054671F" w:rsidP="00CD52C0">
      <w:pPr>
        <w:pStyle w:val="Akapitzlist"/>
        <w:numPr>
          <w:ilvl w:val="0"/>
          <w:numId w:val="9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Mobilne stacje robocze przeznaczone będą do pracy biurowej.</w:t>
      </w:r>
    </w:p>
    <w:p w14:paraId="2549D412" w14:textId="77777777" w:rsidR="00CD52C0" w:rsidRPr="00843FE2" w:rsidRDefault="00CD52C0" w:rsidP="00CD52C0">
      <w:pPr>
        <w:spacing w:line="240" w:lineRule="auto"/>
        <w:rPr>
          <w:rFonts w:eastAsia="Calibri" w:cstheme="minorHAnsi"/>
          <w:color w:val="000000" w:themeColor="text1"/>
        </w:rPr>
      </w:pPr>
    </w:p>
    <w:p w14:paraId="0D243432" w14:textId="0B7F3022" w:rsidR="00CD52C0" w:rsidRPr="00843FE2" w:rsidRDefault="00CD52C0" w:rsidP="00A65E81">
      <w:pPr>
        <w:pStyle w:val="Akapitzlist"/>
        <w:numPr>
          <w:ilvl w:val="0"/>
          <w:numId w:val="11"/>
        </w:num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b/>
          <w:bCs/>
          <w:color w:val="000000" w:themeColor="text1"/>
        </w:rPr>
        <w:t>PRZEDMIOT ZAM</w:t>
      </w:r>
      <w:r w:rsidR="00C8249E">
        <w:rPr>
          <w:rFonts w:eastAsia="Calibri" w:cstheme="minorHAnsi"/>
          <w:b/>
          <w:bCs/>
          <w:color w:val="000000" w:themeColor="text1"/>
        </w:rPr>
        <w:t>Ó</w:t>
      </w:r>
      <w:r w:rsidRPr="00843FE2">
        <w:rPr>
          <w:rFonts w:eastAsia="Calibri" w:cstheme="minorHAnsi"/>
          <w:b/>
          <w:bCs/>
          <w:color w:val="000000" w:themeColor="text1"/>
        </w:rPr>
        <w:t>WIENIA</w:t>
      </w:r>
    </w:p>
    <w:p w14:paraId="1DFBEA9C" w14:textId="74F9D0F2" w:rsidR="00CD52C0" w:rsidRPr="00843FE2" w:rsidRDefault="00CD52C0" w:rsidP="00291D60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Mobilne stacje robocze</w:t>
      </w:r>
      <w:r w:rsidR="00291D60" w:rsidRPr="00843FE2">
        <w:rPr>
          <w:rFonts w:eastAsia="Calibri" w:cstheme="minorHAnsi"/>
          <w:color w:val="000000" w:themeColor="text1"/>
        </w:rPr>
        <w:t>: 80 sztuk</w:t>
      </w:r>
    </w:p>
    <w:p w14:paraId="2ED1CECC" w14:textId="4601EBCB" w:rsidR="00291D60" w:rsidRPr="00843FE2" w:rsidRDefault="00291D60" w:rsidP="00291D60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Monitory: 70 sztuk</w:t>
      </w:r>
    </w:p>
    <w:p w14:paraId="1797D882" w14:textId="269772D3" w:rsidR="00291D60" w:rsidRPr="00843FE2" w:rsidRDefault="00C8249E" w:rsidP="00291D60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Urządzenia</w:t>
      </w:r>
      <w:r w:rsidR="00291D60" w:rsidRPr="00843FE2">
        <w:rPr>
          <w:rFonts w:eastAsia="Calibri" w:cstheme="minorHAnsi"/>
          <w:color w:val="000000" w:themeColor="text1"/>
        </w:rPr>
        <w:t xml:space="preserve"> peryferyjn</w:t>
      </w:r>
      <w:r>
        <w:rPr>
          <w:rFonts w:eastAsia="Calibri" w:cstheme="minorHAnsi"/>
          <w:color w:val="000000" w:themeColor="text1"/>
        </w:rPr>
        <w:t>e</w:t>
      </w:r>
      <w:r w:rsidR="00605820">
        <w:rPr>
          <w:rFonts w:eastAsia="Calibri" w:cstheme="minorHAnsi"/>
          <w:color w:val="000000" w:themeColor="text1"/>
        </w:rPr>
        <w:t xml:space="preserve"> -</w:t>
      </w:r>
      <w:r w:rsidR="00291D60" w:rsidRPr="00843FE2">
        <w:rPr>
          <w:rFonts w:eastAsia="Calibri" w:cstheme="minorHAnsi"/>
          <w:color w:val="000000" w:themeColor="text1"/>
        </w:rPr>
        <w:t xml:space="preserve"> mysz i klawiatura</w:t>
      </w:r>
      <w:r w:rsidR="003B35D5" w:rsidRPr="00843FE2">
        <w:rPr>
          <w:rFonts w:eastAsia="Calibri" w:cstheme="minorHAnsi"/>
          <w:color w:val="000000" w:themeColor="text1"/>
        </w:rPr>
        <w:t xml:space="preserve"> (komplet)</w:t>
      </w:r>
      <w:r w:rsidR="00291D60" w:rsidRPr="00843FE2">
        <w:rPr>
          <w:rFonts w:eastAsia="Calibri" w:cstheme="minorHAnsi"/>
          <w:color w:val="000000" w:themeColor="text1"/>
        </w:rPr>
        <w:t>: 80 sztuk</w:t>
      </w:r>
    </w:p>
    <w:p w14:paraId="6372674B" w14:textId="0A95E2CE" w:rsidR="007E4CA9" w:rsidRPr="00843FE2" w:rsidRDefault="00291D60" w:rsidP="005E5594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Torba na laptopa: 80 sztuk</w:t>
      </w:r>
    </w:p>
    <w:p w14:paraId="332AA62B" w14:textId="1499FB14" w:rsidR="00632DC2" w:rsidRDefault="00605820" w:rsidP="000F2A9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Wyżej wymieniony sprzęt ma być fabrycznie nowy</w:t>
      </w:r>
      <w:r w:rsidR="003B1F7C">
        <w:rPr>
          <w:rFonts w:eastAsia="Calibri" w:cstheme="minorHAnsi"/>
          <w:color w:val="000000" w:themeColor="text1"/>
        </w:rPr>
        <w:t>,</w:t>
      </w:r>
      <w:r>
        <w:rPr>
          <w:rFonts w:eastAsia="Calibri" w:cstheme="minorHAnsi"/>
          <w:color w:val="000000" w:themeColor="text1"/>
        </w:rPr>
        <w:t xml:space="preserve"> wolny od wad</w:t>
      </w:r>
      <w:r w:rsidR="003B1F7C">
        <w:rPr>
          <w:rFonts w:eastAsia="Calibri" w:cstheme="minorHAnsi"/>
          <w:color w:val="000000" w:themeColor="text1"/>
        </w:rPr>
        <w:t xml:space="preserve"> wyprodukowany nie wcześniej niż 6 miesięcy przed datą otwarcia ofert.</w:t>
      </w:r>
    </w:p>
    <w:p w14:paraId="1F4FDDE4" w14:textId="77777777" w:rsidR="00605820" w:rsidRPr="00843FE2" w:rsidRDefault="00605820" w:rsidP="000F2A97">
      <w:pPr>
        <w:spacing w:line="240" w:lineRule="auto"/>
        <w:rPr>
          <w:rFonts w:eastAsia="Calibri" w:cstheme="minorHAnsi"/>
          <w:color w:val="000000" w:themeColor="text1"/>
        </w:rPr>
      </w:pPr>
    </w:p>
    <w:p w14:paraId="651235AC" w14:textId="60A71243" w:rsidR="00012F37" w:rsidRDefault="00291D60" w:rsidP="000F2A97">
      <w:pPr>
        <w:pStyle w:val="Akapitzlist"/>
        <w:numPr>
          <w:ilvl w:val="0"/>
          <w:numId w:val="11"/>
        </w:num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b/>
          <w:bCs/>
          <w:color w:val="000000" w:themeColor="text1"/>
        </w:rPr>
        <w:t>OPIS PRZEDMIOTU ZAMÓWIENIA</w:t>
      </w:r>
    </w:p>
    <w:p w14:paraId="047486AF" w14:textId="77777777" w:rsidR="00605820" w:rsidRPr="00605820" w:rsidRDefault="00605820" w:rsidP="00605820">
      <w:pPr>
        <w:pStyle w:val="Akapitzlist"/>
        <w:spacing w:line="240" w:lineRule="auto"/>
        <w:rPr>
          <w:rFonts w:eastAsia="Calibri" w:cstheme="minorHAnsi"/>
          <w:b/>
          <w:bCs/>
          <w:color w:val="000000" w:themeColor="text1"/>
        </w:rPr>
      </w:pPr>
    </w:p>
    <w:p w14:paraId="625550D5" w14:textId="60F273E6" w:rsidR="007C2E96" w:rsidRPr="00843FE2" w:rsidRDefault="00012F37" w:rsidP="00843FE2">
      <w:pPr>
        <w:pStyle w:val="Akapitzlist"/>
        <w:spacing w:line="240" w:lineRule="auto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MOBILNE STACJE ROBOCZE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1423"/>
        <w:gridCol w:w="1057"/>
        <w:gridCol w:w="3648"/>
        <w:gridCol w:w="3648"/>
      </w:tblGrid>
      <w:tr w:rsidR="00FB5C43" w:rsidRPr="00843FE2" w14:paraId="7F1FCC85" w14:textId="5D8AF3A2" w:rsidTr="00124E1D">
        <w:trPr>
          <w:trHeight w:val="350"/>
        </w:trPr>
        <w:tc>
          <w:tcPr>
            <w:tcW w:w="462" w:type="dxa"/>
            <w:shd w:val="clear" w:color="auto" w:fill="FFFF00"/>
          </w:tcPr>
          <w:p w14:paraId="54B9F8A6" w14:textId="4814A530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77" w:type="dxa"/>
            <w:shd w:val="clear" w:color="auto" w:fill="FFFF00"/>
          </w:tcPr>
          <w:p w14:paraId="58A80EE0" w14:textId="150DC001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1746" w:type="dxa"/>
            <w:shd w:val="clear" w:color="auto" w:fill="FFFF00"/>
          </w:tcPr>
          <w:p w14:paraId="27C3A361" w14:textId="7699DE68" w:rsidR="00FB5C43" w:rsidRPr="00843FE2" w:rsidRDefault="00FB5C43" w:rsidP="009E2E5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4371" w:type="dxa"/>
            <w:shd w:val="clear" w:color="auto" w:fill="FFFF00"/>
          </w:tcPr>
          <w:p w14:paraId="424F814A" w14:textId="4F77140A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 w:rsidR="00222E12"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1940" w:type="dxa"/>
            <w:shd w:val="clear" w:color="auto" w:fill="FFFF00"/>
          </w:tcPr>
          <w:p w14:paraId="36B16FB5" w14:textId="6058289B" w:rsidR="00FB5C43" w:rsidRPr="00843FE2" w:rsidRDefault="00222E12" w:rsidP="009E2E5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</w:t>
            </w:r>
            <w:r w:rsidR="001010E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JEST</w:t>
            </w:r>
          </w:p>
        </w:tc>
      </w:tr>
      <w:tr w:rsidR="00FB5C43" w:rsidRPr="00843FE2" w14:paraId="314084B7" w14:textId="50175522" w:rsidTr="00124E1D">
        <w:tc>
          <w:tcPr>
            <w:tcW w:w="462" w:type="dxa"/>
            <w:shd w:val="clear" w:color="auto" w:fill="F2F2F2" w:themeFill="background1" w:themeFillShade="F2"/>
          </w:tcPr>
          <w:p w14:paraId="11E1AE77" w14:textId="74DA54B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1F605F4" w14:textId="4D03074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Typ i Zastosowanie</w:t>
            </w:r>
          </w:p>
        </w:tc>
        <w:tc>
          <w:tcPr>
            <w:tcW w:w="1746" w:type="dxa"/>
          </w:tcPr>
          <w:p w14:paraId="47707C6A" w14:textId="4CF6B99D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564F0A07" w14:textId="1A936248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Mobilna stacja robocza będzie wykorzystywana dla potrzeb aplikacji biurowych, edukacyjnych, obliczeniowych, dostępu do Internetu oraz poczty elektronicznej.</w:t>
            </w:r>
          </w:p>
        </w:tc>
        <w:tc>
          <w:tcPr>
            <w:tcW w:w="1940" w:type="dxa"/>
          </w:tcPr>
          <w:p w14:paraId="2A29E626" w14:textId="5DB4CE30" w:rsidR="00FB5C43" w:rsidRPr="00843FE2" w:rsidRDefault="00222E12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54981803" w14:textId="246F0FC1" w:rsidTr="00124E1D">
        <w:tc>
          <w:tcPr>
            <w:tcW w:w="462" w:type="dxa"/>
            <w:shd w:val="clear" w:color="auto" w:fill="F2F2F2" w:themeFill="background1" w:themeFillShade="F2"/>
          </w:tcPr>
          <w:p w14:paraId="7A83E55B" w14:textId="4692713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330269E" w14:textId="75EC04D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1746" w:type="dxa"/>
          </w:tcPr>
          <w:p w14:paraId="602D260B" w14:textId="1EB919CF" w:rsidR="00FB5C43" w:rsidRPr="00843FE2" w:rsidRDefault="00FB5C43" w:rsidP="009E2E5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9462F79" w14:textId="4161CE1E" w:rsidR="00FB5C43" w:rsidRPr="00843FE2" w:rsidRDefault="00FB5C43" w:rsidP="009E2E5F">
            <w:pPr>
              <w:jc w:val="both"/>
              <w:outlineLvl w:val="0"/>
              <w:rPr>
                <w:rFonts w:cstheme="minorHAnsi"/>
                <w:color w:val="00B050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15.6” FHD (1920 x 1080), powłoka przeciwodblaskową, bez dotyku, jasność 250 cd/m2, kontrast 700:1, NTSC 45%</w:t>
            </w:r>
          </w:p>
        </w:tc>
        <w:tc>
          <w:tcPr>
            <w:tcW w:w="1940" w:type="dxa"/>
          </w:tcPr>
          <w:p w14:paraId="53BC31AF" w14:textId="46609E24" w:rsidR="00FB5C43" w:rsidRPr="00843FE2" w:rsidRDefault="001010E7" w:rsidP="009E2E5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20836E87" w14:textId="75CAE6DB" w:rsidTr="00124E1D">
        <w:tc>
          <w:tcPr>
            <w:tcW w:w="462" w:type="dxa"/>
            <w:shd w:val="clear" w:color="auto" w:fill="F2F2F2" w:themeFill="background1" w:themeFillShade="F2"/>
          </w:tcPr>
          <w:p w14:paraId="4C338A10" w14:textId="430C08D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9DE09DF" w14:textId="52C4350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1746" w:type="dxa"/>
          </w:tcPr>
          <w:p w14:paraId="4CEACCF3" w14:textId="68331934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062DA79A" w14:textId="3F196956" w:rsidR="00FB5C43" w:rsidRPr="00843FE2" w:rsidRDefault="00FB5C43" w:rsidP="009E2E5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Procesor osiągający w teście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Performance Test,  co najmniej 13 118 punktów w kategorii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CPU Mark. Wynik dostępny na stronie: </w:t>
            </w:r>
            <w:hyperlink r:id="rId8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https://www.cpubenchmark.net/cpu_list.php</w:t>
              </w:r>
            </w:hyperlink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14:paraId="04074910" w14:textId="58EF14CD" w:rsidR="00FB5C43" w:rsidRPr="00843FE2" w:rsidRDefault="001010E7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5DA68D3D" w14:textId="268A94B3" w:rsidTr="00124E1D">
        <w:tc>
          <w:tcPr>
            <w:tcW w:w="462" w:type="dxa"/>
            <w:shd w:val="clear" w:color="auto" w:fill="F2F2F2" w:themeFill="background1" w:themeFillShade="F2"/>
          </w:tcPr>
          <w:p w14:paraId="4F502BB5" w14:textId="2571871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D33F1A1" w14:textId="0A6E94D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1746" w:type="dxa"/>
          </w:tcPr>
          <w:p w14:paraId="4043EB32" w14:textId="7354375E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7CC99D5A" w14:textId="66C575C5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8GB DDR4 3200MHz możliwość rozbudowy do min. 64GB, nie dopuszcza się pamięci wlutowanych w płytę główną, min.  dwa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na pamięć </w:t>
            </w:r>
          </w:p>
        </w:tc>
        <w:tc>
          <w:tcPr>
            <w:tcW w:w="1940" w:type="dxa"/>
          </w:tcPr>
          <w:p w14:paraId="2D775F1C" w14:textId="4FDA1CED" w:rsidR="00FB5C43" w:rsidRPr="00843FE2" w:rsidRDefault="001010E7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61C5EBD5" w14:textId="578884F8" w:rsidTr="00124E1D">
        <w:tc>
          <w:tcPr>
            <w:tcW w:w="462" w:type="dxa"/>
            <w:shd w:val="clear" w:color="auto" w:fill="F2F2F2" w:themeFill="background1" w:themeFillShade="F2"/>
          </w:tcPr>
          <w:p w14:paraId="7314ACA3" w14:textId="7C3E1CE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59854DA0" w14:textId="72E26A4B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1746" w:type="dxa"/>
          </w:tcPr>
          <w:p w14:paraId="650016C9" w14:textId="7B54351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69FFE59D" w14:textId="08A2B4D5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1918A6DB" w14:textId="77777777" w:rsidR="00FB5C43" w:rsidRPr="00843FE2" w:rsidRDefault="00FB5C43" w:rsidP="009E2E5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Możliwość instalacji dodatkowego dysku M.2</w:t>
            </w:r>
          </w:p>
        </w:tc>
        <w:tc>
          <w:tcPr>
            <w:tcW w:w="1940" w:type="dxa"/>
          </w:tcPr>
          <w:p w14:paraId="09855F9E" w14:textId="77777777" w:rsidR="00FB5C43" w:rsidRPr="00843FE2" w:rsidRDefault="00FB5C43" w:rsidP="00FB5C4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512GB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SSD M.2 </w:t>
            </w:r>
          </w:p>
          <w:p w14:paraId="2B620918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B5C43" w:rsidRPr="00843FE2" w14:paraId="5A54BAA5" w14:textId="6B039FE1" w:rsidTr="00124E1D">
        <w:tc>
          <w:tcPr>
            <w:tcW w:w="462" w:type="dxa"/>
            <w:shd w:val="clear" w:color="auto" w:fill="F2F2F2" w:themeFill="background1" w:themeFillShade="F2"/>
          </w:tcPr>
          <w:p w14:paraId="3F200DE6" w14:textId="3C2E496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0F54724" w14:textId="7939F2A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1746" w:type="dxa"/>
          </w:tcPr>
          <w:p w14:paraId="228180BE" w14:textId="0CAEE92C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FD07B39" w14:textId="77777777" w:rsidR="00FB5C43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Wynik karty graficznej w teście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Performance Test co najmniej  2 702 punktów w </w:t>
            </w:r>
          </w:p>
          <w:p w14:paraId="6C0015E4" w14:textId="20C1A48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kategorii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9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http://www.videocardbenchmark.net/gpu_list.php</w:t>
              </w:r>
            </w:hyperlink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14:paraId="0AA75D5B" w14:textId="78F44670" w:rsidR="00FB5C43" w:rsidRDefault="00FB5C43" w:rsidP="00FB5C43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Wynik karty graficznej</w:t>
            </w:r>
            <w:r>
              <w:rPr>
                <w:rFonts w:cstheme="minorHAnsi"/>
                <w:sz w:val="20"/>
                <w:szCs w:val="20"/>
              </w:rPr>
              <w:t xml:space="preserve"> na dzień 09.03.2023</w:t>
            </w:r>
            <w:r w:rsidRPr="00843FE2">
              <w:rPr>
                <w:rFonts w:cstheme="minorHAnsi"/>
                <w:sz w:val="20"/>
                <w:szCs w:val="20"/>
              </w:rPr>
              <w:t xml:space="preserve"> w teście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Performance Test co najmniej  </w:t>
            </w:r>
            <w:r w:rsidRPr="00BC2018">
              <w:rPr>
                <w:rFonts w:cstheme="minorHAnsi"/>
                <w:b/>
                <w:bCs/>
                <w:sz w:val="20"/>
                <w:szCs w:val="20"/>
              </w:rPr>
              <w:t>2 694</w:t>
            </w:r>
            <w:r w:rsidRPr="00843FE2">
              <w:rPr>
                <w:rFonts w:cstheme="minorHAnsi"/>
                <w:sz w:val="20"/>
                <w:szCs w:val="20"/>
              </w:rPr>
              <w:t xml:space="preserve"> punktów w </w:t>
            </w:r>
          </w:p>
          <w:p w14:paraId="0519637E" w14:textId="51B52155" w:rsidR="00FB5C43" w:rsidRPr="00843FE2" w:rsidRDefault="00FB5C43" w:rsidP="00FB5C43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kategorii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G3D Rating. Dostępny na stronie: </w:t>
            </w:r>
            <w:hyperlink r:id="rId10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http://www.videocardbenchmark.net/gpu_list.php</w:t>
              </w:r>
            </w:hyperlink>
          </w:p>
        </w:tc>
      </w:tr>
      <w:tr w:rsidR="00FB5C43" w:rsidRPr="00843FE2" w14:paraId="54F132C1" w14:textId="3A0A89DA" w:rsidTr="00124E1D">
        <w:tc>
          <w:tcPr>
            <w:tcW w:w="462" w:type="dxa"/>
            <w:shd w:val="clear" w:color="auto" w:fill="F2F2F2" w:themeFill="background1" w:themeFillShade="F2"/>
          </w:tcPr>
          <w:p w14:paraId="2A01552C" w14:textId="22095BC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F893EA7" w14:textId="6CA5A6EA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1746" w:type="dxa"/>
          </w:tcPr>
          <w:p w14:paraId="4A7C88A5" w14:textId="49729631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4F359064" w14:textId="5D34B7D0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Klawiatura w układzie US – QWERTY z wydzieloną klawiaturą numeryczną, z wbudowanym podświetleniem, min 90 klawiszy. Wszystkie klawisze funkcyjne typu: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mute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, regulacja głośności,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print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screen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dostępne w ciągu klawiszy F1-F12. </w:t>
            </w:r>
          </w:p>
        </w:tc>
        <w:tc>
          <w:tcPr>
            <w:tcW w:w="1940" w:type="dxa"/>
          </w:tcPr>
          <w:p w14:paraId="4157490F" w14:textId="2101B0D5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4457CC65" w14:textId="4C9AAE9F" w:rsidTr="00124E1D">
        <w:tc>
          <w:tcPr>
            <w:tcW w:w="462" w:type="dxa"/>
            <w:shd w:val="clear" w:color="auto" w:fill="F2F2F2" w:themeFill="background1" w:themeFillShade="F2"/>
          </w:tcPr>
          <w:p w14:paraId="706CB65F" w14:textId="134E824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434FB91" w14:textId="32A49EC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1746" w:type="dxa"/>
          </w:tcPr>
          <w:p w14:paraId="6E7BE8B7" w14:textId="32915FDA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FA3C144" w14:textId="2692F2DE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Karta dźwiękowa zintegrowana z płytą główną, wbudowane dwa głośniki stereo o mocy 2x 2W. </w:t>
            </w:r>
          </w:p>
          <w:p w14:paraId="083A3482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14:paraId="3BFD1ACC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Kamera internetowa z diodą informującą o aktywności, 0.9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Mpix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>, trwale zainstalowana w obudowie matrycy, wyposażona w mechaniczną przysłonę.</w:t>
            </w:r>
          </w:p>
          <w:p w14:paraId="77F9C718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czytnik kart micro SD 4.0, 1 port audio typu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(słuchawki i mikrofon)</w:t>
            </w:r>
          </w:p>
        </w:tc>
        <w:tc>
          <w:tcPr>
            <w:tcW w:w="1940" w:type="dxa"/>
          </w:tcPr>
          <w:p w14:paraId="6529F25C" w14:textId="0C3ED9CD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2425196F" w14:textId="1543A325" w:rsidTr="00124E1D">
        <w:tc>
          <w:tcPr>
            <w:tcW w:w="462" w:type="dxa"/>
            <w:shd w:val="clear" w:color="auto" w:fill="F2F2F2" w:themeFill="background1" w:themeFillShade="F2"/>
          </w:tcPr>
          <w:p w14:paraId="3DEEA278" w14:textId="13853A2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7490F16" w14:textId="505A940D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1746" w:type="dxa"/>
          </w:tcPr>
          <w:p w14:paraId="491F1E87" w14:textId="7902906A" w:rsidR="00FB5C43" w:rsidRPr="00843FE2" w:rsidRDefault="00FB5C43" w:rsidP="009E2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Wartość minimalna</w:t>
            </w:r>
          </w:p>
        </w:tc>
        <w:tc>
          <w:tcPr>
            <w:tcW w:w="4371" w:type="dxa"/>
          </w:tcPr>
          <w:p w14:paraId="48D4BB5F" w14:textId="229BABEB" w:rsidR="00FB5C43" w:rsidRPr="00843FE2" w:rsidRDefault="00FB5C43" w:rsidP="009E2E5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Karta Wi-Fi 6E AX z transferem do 2400 </w:t>
            </w:r>
            <w:proofErr w:type="spellStart"/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Mbps</w:t>
            </w:r>
            <w:proofErr w:type="spellEnd"/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+ Bluetooth 5.2</w:t>
            </w:r>
          </w:p>
        </w:tc>
        <w:tc>
          <w:tcPr>
            <w:tcW w:w="1940" w:type="dxa"/>
          </w:tcPr>
          <w:p w14:paraId="5ED66F3F" w14:textId="1799E910" w:rsidR="00FB5C43" w:rsidRPr="00843FE2" w:rsidRDefault="001A69DC" w:rsidP="009E2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Karta Wi-Fi 6E AX z transferem do 2400 </w:t>
            </w:r>
            <w:proofErr w:type="spellStart"/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Mbps</w:t>
            </w:r>
            <w:proofErr w:type="spellEnd"/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+ </w:t>
            </w:r>
            <w:r w:rsidRPr="00F209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Bluetooth 5.1</w:t>
            </w:r>
          </w:p>
        </w:tc>
      </w:tr>
      <w:tr w:rsidR="00FB5C43" w:rsidRPr="00843FE2" w14:paraId="40565A11" w14:textId="6376B58D" w:rsidTr="00124E1D">
        <w:tc>
          <w:tcPr>
            <w:tcW w:w="462" w:type="dxa"/>
            <w:shd w:val="clear" w:color="auto" w:fill="F2F2F2" w:themeFill="background1" w:themeFillShade="F2"/>
          </w:tcPr>
          <w:p w14:paraId="67B56EDF" w14:textId="2FE2A7D1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3E4D7CB5" w14:textId="360B39C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Bateria i zasilanie</w:t>
            </w:r>
          </w:p>
        </w:tc>
        <w:tc>
          <w:tcPr>
            <w:tcW w:w="1746" w:type="dxa"/>
          </w:tcPr>
          <w:p w14:paraId="2349A714" w14:textId="47ECE87E" w:rsidR="00FB5C43" w:rsidRPr="00843FE2" w:rsidRDefault="00FB5C43" w:rsidP="009E2E5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DB60D3C" w14:textId="4AA52093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Min. 4-cell [min. 58Whr]. </w:t>
            </w:r>
            <w:r w:rsidRPr="00843FE2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0C269CB4" w14:textId="60EFEC3D" w:rsidR="00FB5C43" w:rsidRPr="00843FE2" w:rsidRDefault="00FB5C43" w:rsidP="009E2E5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1940" w:type="dxa"/>
          </w:tcPr>
          <w:p w14:paraId="1531AAF0" w14:textId="1796D1CD" w:rsidR="00FB5C43" w:rsidRPr="00843FE2" w:rsidRDefault="00FB5C43" w:rsidP="00FB5C43">
            <w:pPr>
              <w:jc w:val="both"/>
              <w:rPr>
                <w:rFonts w:cstheme="minorHAnsi"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min. 57Whr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843FE2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5C1FD11D" w14:textId="2D778325" w:rsidR="00FB5C43" w:rsidRPr="00843FE2" w:rsidRDefault="00FB5C43" w:rsidP="00FB5C4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</w:tr>
      <w:tr w:rsidR="00FB5C43" w:rsidRPr="00843FE2" w14:paraId="2961A3D8" w14:textId="4BA63F25" w:rsidTr="00124E1D">
        <w:tc>
          <w:tcPr>
            <w:tcW w:w="462" w:type="dxa"/>
            <w:shd w:val="clear" w:color="auto" w:fill="F2F2F2" w:themeFill="background1" w:themeFillShade="F2"/>
          </w:tcPr>
          <w:p w14:paraId="50C38B39" w14:textId="4906FF7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BCA0C40" w14:textId="4EBA00F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Waga i wymiary</w:t>
            </w:r>
          </w:p>
        </w:tc>
        <w:tc>
          <w:tcPr>
            <w:tcW w:w="1746" w:type="dxa"/>
          </w:tcPr>
          <w:p w14:paraId="74A9D9B3" w14:textId="025BD2D8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371" w:type="dxa"/>
          </w:tcPr>
          <w:p w14:paraId="2144D76E" w14:textId="6F46BB0C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69096B2E" w14:textId="700BCA5A" w:rsidR="00FB5C43" w:rsidRPr="00843FE2" w:rsidRDefault="00FB5C43" w:rsidP="009E2E5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Suma wymiarów mobilnej stacji roboczej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bCs/>
                <w:sz w:val="20"/>
                <w:szCs w:val="20"/>
              </w:rPr>
              <w:t>615mm mierzona po krawędziach obudowy.</w:t>
            </w:r>
          </w:p>
        </w:tc>
        <w:tc>
          <w:tcPr>
            <w:tcW w:w="1940" w:type="dxa"/>
          </w:tcPr>
          <w:p w14:paraId="76DF1C71" w14:textId="77777777" w:rsidR="001A69DC" w:rsidRPr="00843FE2" w:rsidRDefault="001A69DC" w:rsidP="001A69D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43D140B6" w14:textId="068ED6A5" w:rsidR="00FB5C43" w:rsidRPr="00843FE2" w:rsidRDefault="001A69DC" w:rsidP="001A69D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Suma wymiarów mobilnej stacji roboczej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209D6">
              <w:rPr>
                <w:rFonts w:cstheme="minorHAnsi"/>
                <w:b/>
                <w:sz w:val="20"/>
                <w:szCs w:val="20"/>
              </w:rPr>
              <w:t>618mm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mierzona po krawędziach obudowy.</w:t>
            </w:r>
          </w:p>
        </w:tc>
      </w:tr>
      <w:tr w:rsidR="00FB5C43" w:rsidRPr="00843FE2" w14:paraId="0C5054CF" w14:textId="4DAC70E4" w:rsidTr="00124E1D">
        <w:tc>
          <w:tcPr>
            <w:tcW w:w="462" w:type="dxa"/>
            <w:shd w:val="clear" w:color="auto" w:fill="F2F2F2" w:themeFill="background1" w:themeFillShade="F2"/>
          </w:tcPr>
          <w:p w14:paraId="3DD450C3" w14:textId="3337AE2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1D77109" w14:textId="1BD7B8A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1746" w:type="dxa"/>
          </w:tcPr>
          <w:p w14:paraId="43F77938" w14:textId="67601C09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746CC862" w14:textId="3405CFB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Szkielet obudowy i zawiasy mobilnej stacji roboczej wzmacniane, dookoła matrycy uszczelnienie chroniące klawiaturę mobilnej stacji roboczej, po zamknięciu przed kurzem i wilgocią.</w:t>
            </w:r>
          </w:p>
        </w:tc>
        <w:tc>
          <w:tcPr>
            <w:tcW w:w="1940" w:type="dxa"/>
          </w:tcPr>
          <w:p w14:paraId="6B73AE72" w14:textId="733C494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Szkielet obudowy i zawiasy mobilnej stacji roboczej wzmacniane</w:t>
            </w:r>
            <w:r w:rsidR="00EB627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FB5C43" w:rsidRPr="00843FE2" w14:paraId="2C2A94D3" w14:textId="4FF84087" w:rsidTr="00124E1D">
        <w:tc>
          <w:tcPr>
            <w:tcW w:w="462" w:type="dxa"/>
            <w:shd w:val="clear" w:color="auto" w:fill="F2F2F2" w:themeFill="background1" w:themeFillShade="F2"/>
          </w:tcPr>
          <w:p w14:paraId="4C580229" w14:textId="7EA4F37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0D250C3" w14:textId="322EE6C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1746" w:type="dxa"/>
          </w:tcPr>
          <w:p w14:paraId="6F04A1E0" w14:textId="4D4B5264" w:rsidR="00FB5C43" w:rsidRPr="00843FE2" w:rsidRDefault="00FB5C43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  <w:shd w:val="clear" w:color="auto" w:fill="auto"/>
          </w:tcPr>
          <w:p w14:paraId="1F70E7DD" w14:textId="761C5554" w:rsidR="00FB5C43" w:rsidRPr="00843FE2" w:rsidRDefault="00FB5C43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BIOS producenta oferowanej mobilnej stacji roboczej zgodny ze specyfikacją UEFI, wymagana pełna obsługa za pomocą klawiatury i urządzenia wskazującego (wmontowanego na stałe) oraz samego urządzenia wskazującego. Możliwość, bez uruchamiania systemu operacyjnego z dysku twardego mobilnej stacji roboczej lub innych, podłączonych do niego urządzeń zewnętrznych odczytania z BIOS informacji, oraz posiadać: datę produkcji </w:t>
            </w: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 xml:space="preserve">mobilnej stacji roboczej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asset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tag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z możliwością wpisywania min. znaków specjalnych. Funkcje logowania się do BIOS na podstawie hasła systemowego/użytkownika, administratora (hasła niezależne), Blokowanie hasłem systemowym/użytkownika rozruch dysku twardego. Funkcja umożliwiająca założenie hasła na dysk,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497BC468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Możliwość włączenia/wyłączenia funkcji automatycznego tworzenia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BIOS na dysku twardym.</w:t>
            </w:r>
          </w:p>
        </w:tc>
        <w:tc>
          <w:tcPr>
            <w:tcW w:w="1940" w:type="dxa"/>
          </w:tcPr>
          <w:p w14:paraId="011FF1FA" w14:textId="672AC4F2" w:rsidR="00FB5C43" w:rsidRDefault="00D21E56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>BIOS producenta oferowanej mobilnej stacji roboczej zgodny ze specyfikacją UEFI, wymagana pełna obsługa za pomocą klawiatury i urządzenia wskazującego</w:t>
            </w:r>
          </w:p>
          <w:p w14:paraId="0270475E" w14:textId="77777777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 xml:space="preserve">Wsparcie dla technologii Microsoft Device </w:t>
            </w:r>
            <w:proofErr w:type="spellStart"/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Guard</w:t>
            </w:r>
            <w:proofErr w:type="spellEnd"/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;</w:t>
            </w:r>
          </w:p>
          <w:p w14:paraId="286E97D9" w14:textId="77777777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 xml:space="preserve">Administrator z poziomu BIOS musi mieć możliwość wykonania poniższych czynności: </w:t>
            </w:r>
          </w:p>
          <w:p w14:paraId="35C42A3D" w14:textId="77777777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>Możliwość ustawienia hasła Administratora</w:t>
            </w:r>
          </w:p>
          <w:p w14:paraId="41953ECD" w14:textId="5F96B3BD" w:rsidR="00D21E56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 xml:space="preserve">Możliwość ustawienia hasła 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lastRenderedPageBreak/>
              <w:t xml:space="preserve">Użytkownika </w:t>
            </w:r>
          </w:p>
          <w:p w14:paraId="337A3E24" w14:textId="6D10B9C1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- Możliwość ustawienia hasła na dysk twardy</w:t>
            </w:r>
          </w:p>
          <w:p w14:paraId="01D0514A" w14:textId="40651694" w:rsidR="00D21E56" w:rsidRPr="00843FE2" w:rsidRDefault="00D21E56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B5C43" w:rsidRPr="00843FE2" w14:paraId="3AFFAEAD" w14:textId="2FCB39FB" w:rsidTr="00124E1D">
        <w:tc>
          <w:tcPr>
            <w:tcW w:w="462" w:type="dxa"/>
            <w:shd w:val="clear" w:color="auto" w:fill="F2F2F2" w:themeFill="background1" w:themeFillShade="F2"/>
          </w:tcPr>
          <w:p w14:paraId="23A8E6CD" w14:textId="0AA0A36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89C25EF" w14:textId="2BEC4F3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1746" w:type="dxa"/>
          </w:tcPr>
          <w:p w14:paraId="192CF447" w14:textId="6D5E7F74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19684660" w14:textId="6E6BC80A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Certyfikat ISO9001 dla producenta sprzętu lub równoważny (należy załączyć do oferty)</w:t>
            </w:r>
          </w:p>
          <w:p w14:paraId="506090CA" w14:textId="432E75DD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Certyfikat ISO 14001 dla producenta sprzętu lub równoważny (należy załączyć do oferty)</w:t>
            </w:r>
          </w:p>
          <w:p w14:paraId="239F6CE7" w14:textId="0C5F0AFC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Certyfikat ISO 50001 dla producenta sprzętu lub równoważny (należy załączyć do oferty)</w:t>
            </w:r>
          </w:p>
          <w:p w14:paraId="36219364" w14:textId="38BCD746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Certyfikacja TCO lub równoważna dla oferowanego modelu dostępna na stronie </w:t>
            </w:r>
            <w:hyperlink r:id="rId11" w:history="1">
              <w:r w:rsidRPr="00843FE2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https://tcocertified.com/product-finder/</w:t>
              </w:r>
            </w:hyperlink>
            <w:r w:rsidRPr="00843FE2">
              <w:rPr>
                <w:rFonts w:cstheme="minorHAnsi"/>
                <w:bCs/>
                <w:sz w:val="20"/>
                <w:szCs w:val="20"/>
              </w:rPr>
              <w:t xml:space="preserve"> lub załączyć certyfikat do oferty</w:t>
            </w:r>
          </w:p>
          <w:p w14:paraId="41202304" w14:textId="40DCAD9C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Deklaracja zgodności CE lub równoważna (załączyć do oferty)</w:t>
            </w:r>
          </w:p>
          <w:p w14:paraId="6963F6CB" w14:textId="77FD604E" w:rsidR="00FB5C43" w:rsidRPr="00843FE2" w:rsidRDefault="00FB5C43" w:rsidP="006E4A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227C3192" w14:textId="07E98CC1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79B8FB9C" w14:textId="1186814A" w:rsidTr="00124E1D">
        <w:tc>
          <w:tcPr>
            <w:tcW w:w="462" w:type="dxa"/>
            <w:shd w:val="clear" w:color="auto" w:fill="F2F2F2" w:themeFill="background1" w:themeFillShade="F2"/>
          </w:tcPr>
          <w:p w14:paraId="75C9A22F" w14:textId="7F9E9101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DDCF005" w14:textId="3871835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1746" w:type="dxa"/>
          </w:tcPr>
          <w:p w14:paraId="6A0AF650" w14:textId="261DAC63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371" w:type="dxa"/>
          </w:tcPr>
          <w:p w14:paraId="1FF0F378" w14:textId="6CA3FC1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Pr="00843FE2">
              <w:rPr>
                <w:rFonts w:cstheme="minorHAnsi"/>
                <w:sz w:val="20"/>
                <w:szCs w:val="20"/>
              </w:rPr>
              <w:t>23dB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40" w:type="dxa"/>
          </w:tcPr>
          <w:p w14:paraId="701A9FCA" w14:textId="0595D5BD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53ED48F5" w14:textId="4870F328" w:rsidTr="00124E1D">
        <w:tc>
          <w:tcPr>
            <w:tcW w:w="462" w:type="dxa"/>
            <w:shd w:val="clear" w:color="auto" w:fill="F2F2F2" w:themeFill="background1" w:themeFillShade="F2"/>
          </w:tcPr>
          <w:p w14:paraId="60522004" w14:textId="1F9C796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89998A4" w14:textId="1F5378E8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1746" w:type="dxa"/>
          </w:tcPr>
          <w:p w14:paraId="0BD85E0D" w14:textId="0F25254D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435EFFDF" w14:textId="53984EEF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Zintegrowany z płytą główną dedykowany układ sprzętowy służący do tworzenia i zarządzania wygenerowanymi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kluczami szyfrowania. Próba usunięcia układu powoduje uszkodzenie płyty głównej. Zabezpieczenie to musi posiadać </w:t>
            </w: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 xml:space="preserve">możliwość szyfrowania poufnych dokumentów przechowywanych na dysku twardym przy użyciu klucza sprzętowego. Weryfikacja wygenerowanych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kluczy szyfrowania musi odbywać się w dedykowanym chipsecie na płycie głównej.</w:t>
            </w:r>
          </w:p>
          <w:p w14:paraId="2E8AF3C4" w14:textId="77823F16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Wbudowany czujnik otwarcia obudowy (dolnej pokrywy)</w:t>
            </w:r>
          </w:p>
          <w:p w14:paraId="4781A6EA" w14:textId="23B6734E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Czytnik linii papilarnych  </w:t>
            </w:r>
          </w:p>
        </w:tc>
        <w:tc>
          <w:tcPr>
            <w:tcW w:w="1940" w:type="dxa"/>
          </w:tcPr>
          <w:p w14:paraId="302D193A" w14:textId="77C0E74F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</w:tr>
      <w:tr w:rsidR="00FB5C43" w:rsidRPr="00843FE2" w14:paraId="501922C9" w14:textId="4D2D9BCA" w:rsidTr="00124E1D">
        <w:tc>
          <w:tcPr>
            <w:tcW w:w="462" w:type="dxa"/>
            <w:shd w:val="clear" w:color="auto" w:fill="F2F2F2" w:themeFill="background1" w:themeFillShade="F2"/>
          </w:tcPr>
          <w:p w14:paraId="34AD1664" w14:textId="787057D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5114B2B3" w14:textId="1152E87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  <w:tc>
          <w:tcPr>
            <w:tcW w:w="1746" w:type="dxa"/>
          </w:tcPr>
          <w:p w14:paraId="4B49700F" w14:textId="6359AF8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77867040" w14:textId="6D3AF52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Wbudowana w płytę główną 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na poziomie sprzętowym działająca niezależnie od stanu czy obecności systemu operacyjnego oraz stanu włączenia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podczas pracy na zasilaczu sieciowym AC, obsługująca zdalną komunikację sieciową w oparciu o protokół IPv4 oraz IPv6, a także zapewniająca:</w:t>
            </w:r>
          </w:p>
          <w:p w14:paraId="7B8D3C6F" w14:textId="1835DF64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monitorowanie konfiguracji komponentów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- CPU, Pamięć, HDD wersja BIOS płyty głównej; </w:t>
            </w:r>
          </w:p>
          <w:p w14:paraId="745471D2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zdalną konfigurację ustawień BIOS,</w:t>
            </w:r>
          </w:p>
          <w:p w14:paraId="669F7D19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0F8F1302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zdalne przejecie pełnej konsoli graficznej systemu tzw. KVM </w:t>
            </w:r>
            <w:proofErr w:type="spellStart"/>
            <w:r w:rsidRPr="00843FE2">
              <w:rPr>
                <w:rFonts w:cstheme="minorHAnsi"/>
                <w:bCs/>
                <w:sz w:val="20"/>
                <w:szCs w:val="20"/>
              </w:rPr>
              <w:t>Redirection</w:t>
            </w:r>
            <w:proofErr w:type="spellEnd"/>
            <w:r w:rsidRPr="00843FE2">
              <w:rPr>
                <w:rFonts w:cstheme="minorHAnsi"/>
                <w:bCs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7ED8EEEB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63529A3D" w14:textId="5B01185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na poziomie sprzętowym powinna być zgodna z otwartymi standardami DMTF WS-MAN  (</w:t>
            </w:r>
            <w:hyperlink r:id="rId12" w:history="1">
              <w:r w:rsidRPr="00843FE2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http://www.dmtf.org/standards/wsman</w:t>
              </w:r>
            </w:hyperlink>
            <w:r w:rsidRPr="00843FE2">
              <w:rPr>
                <w:rFonts w:cstheme="minorHAnsi"/>
                <w:bCs/>
                <w:sz w:val="20"/>
                <w:szCs w:val="20"/>
              </w:rPr>
              <w:t>)  oraz  DASH (</w:t>
            </w:r>
            <w:hyperlink r:id="rId13" w:history="1">
              <w:r w:rsidRPr="00843FE2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http://www.dmtf.org/standards/mgmt/dash/</w:t>
              </w:r>
            </w:hyperlink>
            <w:r w:rsidRPr="00843FE2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72F41383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nawiązywanie przez sprzętowy mechanizm zarządzania, zdalnego szyfrowanego protokołem SSL/TLS połączenia z predefiniowanym serwerem zarządzającym, w definiowanych </w:t>
            </w: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>odstępach czasu, w przypadku wystąpienia predefiniowanego zdarzenia lub błędu systemowego (tzw. platform event) oraz na żądanie użytkownika z poziomu BIOS.</w:t>
            </w:r>
          </w:p>
          <w:p w14:paraId="189D8460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6DEC0D0C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sprzętowy firewall zarządzany i konfigurowany wyłącznie z serwera zarządzania oraz niedostępny dla lokalnego systemu OS i lokalnych aplikacji</w:t>
            </w:r>
          </w:p>
          <w:p w14:paraId="0793E732" w14:textId="1A389B9C" w:rsidR="00FB5C43" w:rsidRPr="00843FE2" w:rsidRDefault="00FB5C43" w:rsidP="009E2E5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pełni aktywna konsola zarządzania wyświetlająca informacje i zachowująca pełną funkcjonalność nawet podczas restartów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zarządzanego.  </w:t>
            </w:r>
          </w:p>
        </w:tc>
        <w:tc>
          <w:tcPr>
            <w:tcW w:w="1940" w:type="dxa"/>
          </w:tcPr>
          <w:p w14:paraId="69BE666D" w14:textId="2FAD2669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</w:tr>
      <w:tr w:rsidR="00FB5C43" w:rsidRPr="00843FE2" w14:paraId="22CAFF9B" w14:textId="486C5FD4" w:rsidTr="00124E1D">
        <w:tc>
          <w:tcPr>
            <w:tcW w:w="462" w:type="dxa"/>
            <w:shd w:val="clear" w:color="auto" w:fill="F2F2F2" w:themeFill="background1" w:themeFillShade="F2"/>
          </w:tcPr>
          <w:p w14:paraId="5D0513C8" w14:textId="53EF160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F5846A5" w14:textId="2371BA4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1746" w:type="dxa"/>
          </w:tcPr>
          <w:p w14:paraId="0F80C621" w14:textId="22441BB8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Wartość wymagana</w:t>
            </w:r>
          </w:p>
        </w:tc>
        <w:tc>
          <w:tcPr>
            <w:tcW w:w="4371" w:type="dxa"/>
          </w:tcPr>
          <w:p w14:paraId="504B60A9" w14:textId="5A39E121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Windows 11 Professional  lub równoważny, fabrycznie preinstalowany przez Producenta oferowanego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.</w:t>
            </w:r>
          </w:p>
          <w:p w14:paraId="76C806A3" w14:textId="3F2C7D50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Parametry równoważności:</w:t>
            </w:r>
          </w:p>
          <w:p w14:paraId="72B393D9" w14:textId="60149F69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Pełna integracja z domeną Active Directory MS Windows (posiadaną przez Zamawiającego) opartą na serwerach Windows Server 2019;</w:t>
            </w:r>
          </w:p>
          <w:p w14:paraId="6E3BD6C1" w14:textId="5DDE375D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Zarządzanie </w:t>
            </w:r>
            <w:r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mobilną stacją roboczą</w:t>
            </w: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poprzez Zasady Grup (GPO)</w:t>
            </w:r>
          </w:p>
          <w:p w14:paraId="08AA8BC0" w14:textId="658BC659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Active Directory MS Windows (posiadaną przez Zamawiającego;</w:t>
            </w:r>
          </w:p>
          <w:p w14:paraId="11BFEBF1" w14:textId="40F467D9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nie może wymagać aktywacji za pomocą telefonu lub ręcznego wpisania klucza licencyjnego.</w:t>
            </w:r>
          </w:p>
          <w:p w14:paraId="19EDAD07" w14:textId="77777777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Oferowany system operacyjny: musi być nieograniczona w czasie; </w:t>
            </w:r>
          </w:p>
          <w:p w14:paraId="0ACB2FF5" w14:textId="79FA7F2C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pozwalać na użytkownie komercyjne;</w:t>
            </w:r>
          </w:p>
          <w:p w14:paraId="30595FF9" w14:textId="77777777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umożliwiać instalacje na oferowanym sprzęcie nieograniczoną ilość razy;</w:t>
            </w:r>
          </w:p>
          <w:p w14:paraId="67F7A6E8" w14:textId="7AD7CB35" w:rsidR="00FB5C43" w:rsidRPr="00843FE2" w:rsidRDefault="00FB5C43" w:rsidP="002D1204">
            <w:pPr>
              <w:jc w:val="both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Graficzny interfejs w języku polskim</w:t>
            </w:r>
          </w:p>
        </w:tc>
        <w:tc>
          <w:tcPr>
            <w:tcW w:w="1940" w:type="dxa"/>
          </w:tcPr>
          <w:p w14:paraId="00A52801" w14:textId="2D52C3EC" w:rsidR="00FB5C43" w:rsidRPr="00843FE2" w:rsidRDefault="001010E7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77AA84EC" w14:textId="5AFC55A0" w:rsidTr="00124E1D">
        <w:tc>
          <w:tcPr>
            <w:tcW w:w="462" w:type="dxa"/>
            <w:shd w:val="clear" w:color="auto" w:fill="F2F2F2" w:themeFill="background1" w:themeFillShade="F2"/>
          </w:tcPr>
          <w:p w14:paraId="08FDD9C6" w14:textId="32954BB2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0BC914F" w14:textId="4C69917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  <w:tc>
          <w:tcPr>
            <w:tcW w:w="1746" w:type="dxa"/>
          </w:tcPr>
          <w:p w14:paraId="09997386" w14:textId="24E800E4" w:rsidR="00FB5C43" w:rsidRPr="00843FE2" w:rsidRDefault="00FB5C43" w:rsidP="009E2E5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7CDA5C7D" w14:textId="047B70AE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>Dołączone do oferowane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mobilnej stacji roboczej </w:t>
            </w:r>
            <w:r w:rsidRPr="00843FE2">
              <w:rPr>
                <w:rFonts w:cstheme="minorHAnsi"/>
                <w:sz w:val="20"/>
                <w:szCs w:val="20"/>
              </w:rPr>
              <w:t>oprogramowanie z nieograniczoną licencją czasowo na użytkowanie umożliwiające:</w:t>
            </w:r>
          </w:p>
          <w:p w14:paraId="601B1E3F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upgrade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z certyfikatem zgodności producenta do najnowszej dostępnej wersji, </w:t>
            </w:r>
          </w:p>
          <w:p w14:paraId="0B643407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- możliwość przed instalacją sprawdzenia każdego sterownika, każdej aplikacji,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BIOS’u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bezpośrednio na stronie producenta przy użyciu połączenia </w:t>
            </w:r>
            <w:r w:rsidRPr="00843FE2">
              <w:rPr>
                <w:rFonts w:cstheme="minorHAnsi"/>
                <w:sz w:val="20"/>
                <w:szCs w:val="20"/>
              </w:rPr>
              <w:lastRenderedPageBreak/>
              <w:t>internetowego z automatycznym przekierowaniem a w szczególności informacji:</w:t>
            </w:r>
          </w:p>
          <w:p w14:paraId="1E2C9B8E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a. o poprawkach i usprawnieniach dotyczących aktualizacji</w:t>
            </w:r>
          </w:p>
          <w:p w14:paraId="3058541A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b. dacie wydania ostatniej aktualizacji</w:t>
            </w:r>
          </w:p>
          <w:p w14:paraId="479F4828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c. priorytecie aktualizacji</w:t>
            </w:r>
          </w:p>
          <w:p w14:paraId="449FF0C9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d. zgodność z systemami operacyjnymi</w:t>
            </w:r>
          </w:p>
          <w:p w14:paraId="3D1F5FC9" w14:textId="4B2D2FA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e. jakiego komponentu sprzętu dotyczy aktualizacja</w:t>
            </w:r>
          </w:p>
        </w:tc>
        <w:tc>
          <w:tcPr>
            <w:tcW w:w="1940" w:type="dxa"/>
          </w:tcPr>
          <w:p w14:paraId="1D6DBBDC" w14:textId="6E0BB579" w:rsidR="00FB5C43" w:rsidRPr="00843FE2" w:rsidRDefault="00C67028" w:rsidP="009E2E5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</w:tr>
      <w:tr w:rsidR="00FB5C43" w:rsidRPr="00843FE2" w14:paraId="35B2F7C9" w14:textId="15CCB8F9" w:rsidTr="00124E1D">
        <w:tc>
          <w:tcPr>
            <w:tcW w:w="462" w:type="dxa"/>
            <w:shd w:val="clear" w:color="auto" w:fill="F2F2F2" w:themeFill="background1" w:themeFillShade="F2"/>
          </w:tcPr>
          <w:p w14:paraId="0E844758" w14:textId="3887A39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3BA48F2" w14:textId="22A0D12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1746" w:type="dxa"/>
          </w:tcPr>
          <w:p w14:paraId="747AFE49" w14:textId="5C59575E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799073AF" w14:textId="5EF1920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843FE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 xml:space="preserve">1x HDMI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843FE2">
              <w:rPr>
                <w:rFonts w:cstheme="minorHAnsi"/>
                <w:sz w:val="20"/>
                <w:szCs w:val="20"/>
              </w:rPr>
              <w:t xml:space="preserve">2x USB 3.2 typ A, 2x </w:t>
            </w:r>
            <w:proofErr w:type="spellStart"/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843FE2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  <w:tc>
          <w:tcPr>
            <w:tcW w:w="1940" w:type="dxa"/>
          </w:tcPr>
          <w:p w14:paraId="69E0D7F6" w14:textId="565C1173" w:rsidR="00FB5C43" w:rsidRPr="00843FE2" w:rsidRDefault="00EB6275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843FE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 xml:space="preserve">1x HDMI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843FE2">
              <w:rPr>
                <w:rFonts w:cstheme="minorHAnsi"/>
                <w:sz w:val="20"/>
                <w:szCs w:val="20"/>
              </w:rPr>
              <w:t xml:space="preserve">2x USB 3.2 typ A, </w:t>
            </w:r>
            <w:r w:rsidRPr="00BC2018">
              <w:rPr>
                <w:rFonts w:cstheme="minorHAnsi"/>
                <w:b/>
                <w:bCs/>
                <w:sz w:val="20"/>
                <w:szCs w:val="20"/>
              </w:rPr>
              <w:t xml:space="preserve">1x </w:t>
            </w:r>
            <w:proofErr w:type="spellStart"/>
            <w:r w:rsidRPr="00BC2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Thunderbolt</w:t>
            </w:r>
            <w:proofErr w:type="spellEnd"/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843FE2">
              <w:rPr>
                <w:rFonts w:cstheme="minorHAnsi"/>
                <w:sz w:val="20"/>
                <w:szCs w:val="20"/>
              </w:rPr>
              <w:t xml:space="preserve">RJ -  45 [fizyczny port], port audio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, gniazdo linki zabezpieczającej</w:t>
            </w:r>
          </w:p>
        </w:tc>
      </w:tr>
      <w:tr w:rsidR="00FB5C43" w:rsidRPr="00843FE2" w14:paraId="15CD890C" w14:textId="71C9D859" w:rsidTr="00124E1D">
        <w:trPr>
          <w:trHeight w:val="699"/>
        </w:trPr>
        <w:tc>
          <w:tcPr>
            <w:tcW w:w="462" w:type="dxa"/>
            <w:shd w:val="clear" w:color="auto" w:fill="F2F2F2" w:themeFill="background1" w:themeFillShade="F2"/>
          </w:tcPr>
          <w:p w14:paraId="4EDD5967" w14:textId="56884BEB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DD8B38F" w14:textId="5407EB5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Warunki gwarancyjne, wsparcie techniczne</w:t>
            </w:r>
          </w:p>
        </w:tc>
        <w:tc>
          <w:tcPr>
            <w:tcW w:w="1746" w:type="dxa"/>
          </w:tcPr>
          <w:p w14:paraId="44082F29" w14:textId="1F31DC2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1D32BEDF" w14:textId="2D7A332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3ED13B44" w14:textId="6D733B2C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7BDB79C3" w14:textId="55B356E5" w:rsidR="00FB5C43" w:rsidRPr="00843FE2" w:rsidRDefault="00FB5C43" w:rsidP="009E2E5F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2DDB3AC8" w14:textId="77777777" w:rsidR="00FB5C43" w:rsidRPr="00843FE2" w:rsidRDefault="00FB5C43" w:rsidP="009E2E5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6D511C" w14:textId="6BC70283" w:rsidR="00FB5C43" w:rsidRPr="00843FE2" w:rsidRDefault="00FB5C43" w:rsidP="0014347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</w:tc>
        <w:tc>
          <w:tcPr>
            <w:tcW w:w="1940" w:type="dxa"/>
          </w:tcPr>
          <w:p w14:paraId="6A925B92" w14:textId="75312663" w:rsidR="00EB6275" w:rsidRPr="00843FE2" w:rsidRDefault="00EB6275" w:rsidP="00EB6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Dedykowany portal techniczny producenta</w:t>
            </w:r>
            <w:r w:rsidRPr="00843FE2">
              <w:rPr>
                <w:rFonts w:cstheme="minorHAnsi"/>
                <w:sz w:val="20"/>
                <w:szCs w:val="20"/>
              </w:rPr>
              <w:t xml:space="preserve">, umożliwiający Zamawiającemu zgłaszanie awarii </w:t>
            </w:r>
          </w:p>
          <w:p w14:paraId="0BCFE1A2" w14:textId="77777777" w:rsidR="00EB6275" w:rsidRPr="00843FE2" w:rsidRDefault="00EB6275" w:rsidP="00EB6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aktualizacje, diagnostyka, dedykowane oprogramowanie, tworzenie dysku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410FC56A" w14:textId="77777777" w:rsidR="00EB6275" w:rsidRPr="00843FE2" w:rsidRDefault="00EB6275" w:rsidP="00EB6275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15154AE1" w14:textId="77777777" w:rsidR="00EB6275" w:rsidRPr="00843FE2" w:rsidRDefault="00EB6275" w:rsidP="00EB62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20CE40" w14:textId="6CE64545" w:rsidR="00453741" w:rsidRDefault="00EB6275" w:rsidP="00EB6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62E622BD" w14:textId="77777777" w:rsidR="00453741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E85A51" w14:textId="77777777" w:rsidR="00453741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464974" w14:textId="77777777" w:rsidR="00453741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77DC252" w14:textId="4C742F45" w:rsidR="00453741" w:rsidRPr="00843FE2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F76A28" w14:textId="77777777" w:rsidR="00E63874" w:rsidRPr="00843FE2" w:rsidRDefault="00E63874" w:rsidP="00012F37">
      <w:pPr>
        <w:pStyle w:val="Akapitzlist"/>
        <w:spacing w:line="240" w:lineRule="auto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245E9F2" w14:textId="77777777" w:rsidR="00AB7CAE" w:rsidRPr="00843FE2" w:rsidRDefault="00AB7CAE" w:rsidP="00012F37">
      <w:pPr>
        <w:pStyle w:val="Akapitzlist"/>
        <w:spacing w:line="240" w:lineRule="auto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2C011DD0" w14:textId="20193654" w:rsidR="003937D4" w:rsidRPr="00843FE2" w:rsidRDefault="00012F37" w:rsidP="00843FE2">
      <w:pPr>
        <w:pStyle w:val="Akapitzlist"/>
        <w:spacing w:line="240" w:lineRule="auto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MONITORY</w:t>
      </w:r>
    </w:p>
    <w:tbl>
      <w:tblPr>
        <w:tblStyle w:val="Tabela-Siatka"/>
        <w:tblW w:w="10196" w:type="dxa"/>
        <w:tblLook w:val="04A0" w:firstRow="1" w:lastRow="0" w:firstColumn="1" w:lastColumn="0" w:noHBand="0" w:noVBand="1"/>
      </w:tblPr>
      <w:tblGrid>
        <w:gridCol w:w="462"/>
        <w:gridCol w:w="1375"/>
        <w:gridCol w:w="1096"/>
        <w:gridCol w:w="3583"/>
        <w:gridCol w:w="3680"/>
      </w:tblGrid>
      <w:tr w:rsidR="003D52C8" w:rsidRPr="00843FE2" w14:paraId="5DFFDCF2" w14:textId="127A3A2E" w:rsidTr="00BC2018">
        <w:trPr>
          <w:trHeight w:val="310"/>
        </w:trPr>
        <w:tc>
          <w:tcPr>
            <w:tcW w:w="462" w:type="dxa"/>
            <w:shd w:val="clear" w:color="auto" w:fill="FFFF00"/>
          </w:tcPr>
          <w:p w14:paraId="63EE19E4" w14:textId="47D454E6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75" w:type="dxa"/>
            <w:shd w:val="clear" w:color="auto" w:fill="FFFF00"/>
          </w:tcPr>
          <w:p w14:paraId="40643278" w14:textId="44CD5C70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096" w:type="dxa"/>
            <w:shd w:val="clear" w:color="auto" w:fill="FFFF00"/>
          </w:tcPr>
          <w:p w14:paraId="24B474D5" w14:textId="7CE1683D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583" w:type="dxa"/>
            <w:shd w:val="clear" w:color="auto" w:fill="FFFF00"/>
          </w:tcPr>
          <w:p w14:paraId="5EF0FBFC" w14:textId="4E76378E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 w:rsidR="003D52C8"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3680" w:type="dxa"/>
            <w:shd w:val="clear" w:color="auto" w:fill="FFFF00"/>
          </w:tcPr>
          <w:p w14:paraId="7616A3E4" w14:textId="2E6EAFAE" w:rsidR="00FB5C43" w:rsidRPr="00843FE2" w:rsidRDefault="00322E2C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</w:tr>
      <w:tr w:rsidR="003D52C8" w:rsidRPr="00843FE2" w14:paraId="081FED13" w14:textId="5D9A4FF9" w:rsidTr="003D52C8">
        <w:trPr>
          <w:trHeight w:val="949"/>
        </w:trPr>
        <w:tc>
          <w:tcPr>
            <w:tcW w:w="462" w:type="dxa"/>
            <w:shd w:val="clear" w:color="auto" w:fill="E7E6E6" w:themeFill="background2"/>
          </w:tcPr>
          <w:p w14:paraId="3BCC070E" w14:textId="4B77768B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75" w:type="dxa"/>
            <w:shd w:val="clear" w:color="auto" w:fill="E7E6E6" w:themeFill="background2"/>
          </w:tcPr>
          <w:p w14:paraId="1D378771" w14:textId="0F8E71DC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Typ wyświetlacza</w:t>
            </w:r>
          </w:p>
        </w:tc>
        <w:tc>
          <w:tcPr>
            <w:tcW w:w="1096" w:type="dxa"/>
          </w:tcPr>
          <w:p w14:paraId="31BCB6A3" w14:textId="1D05D436" w:rsidR="00FB5C43" w:rsidRPr="00843FE2" w:rsidRDefault="00FB5C43" w:rsidP="0044773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7653CE58" w14:textId="39F2C6AD" w:rsidR="00FB5C43" w:rsidRPr="00843FE2" w:rsidRDefault="00FB5C43" w:rsidP="0044773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Matryca w technologii z rodzin IPS lub VA, odwzorowująca 16,7 miliona kolorów z podświetleniem LED oraz matową powierzchnią przeciwodblaskową</w:t>
            </w:r>
          </w:p>
        </w:tc>
        <w:tc>
          <w:tcPr>
            <w:tcW w:w="3680" w:type="dxa"/>
          </w:tcPr>
          <w:p w14:paraId="03FADDE6" w14:textId="5956978F" w:rsidR="00FB5C43" w:rsidRPr="00843FE2" w:rsidRDefault="00EB6275" w:rsidP="004477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73FB3801" w14:textId="4A1F7D3F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4BD6A2FB" w14:textId="71366661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75" w:type="dxa"/>
            <w:shd w:val="clear" w:color="auto" w:fill="E7E6E6" w:themeFill="background2"/>
          </w:tcPr>
          <w:p w14:paraId="0437500D" w14:textId="0CEC5F53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1096" w:type="dxa"/>
          </w:tcPr>
          <w:p w14:paraId="26DB1C38" w14:textId="59572B4C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5906C688" w14:textId="2FB75240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27”</w:t>
            </w:r>
          </w:p>
        </w:tc>
        <w:tc>
          <w:tcPr>
            <w:tcW w:w="3680" w:type="dxa"/>
          </w:tcPr>
          <w:p w14:paraId="3514B8AC" w14:textId="00D68482" w:rsidR="00FB5C43" w:rsidRPr="00843FE2" w:rsidRDefault="00EB6275" w:rsidP="00CB1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56579B8" w14:textId="76FD6FB4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07A06E16" w14:textId="307027B2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75" w:type="dxa"/>
            <w:shd w:val="clear" w:color="auto" w:fill="E7E6E6" w:themeFill="background2"/>
          </w:tcPr>
          <w:p w14:paraId="30ABEEE0" w14:textId="43A9729F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Format ekranu</w:t>
            </w:r>
          </w:p>
        </w:tc>
        <w:tc>
          <w:tcPr>
            <w:tcW w:w="1096" w:type="dxa"/>
          </w:tcPr>
          <w:p w14:paraId="426C81FB" w14:textId="6A927112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4EF7D9A5" w14:textId="3ED6684F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3680" w:type="dxa"/>
          </w:tcPr>
          <w:p w14:paraId="73B348B2" w14:textId="42BD3A60" w:rsidR="00FB5C43" w:rsidRPr="00843FE2" w:rsidRDefault="00EB6275" w:rsidP="00CB1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7C485350" w14:textId="3FF8BBB1" w:rsidTr="003D52C8">
        <w:trPr>
          <w:trHeight w:val="638"/>
        </w:trPr>
        <w:tc>
          <w:tcPr>
            <w:tcW w:w="462" w:type="dxa"/>
            <w:shd w:val="clear" w:color="auto" w:fill="E7E6E6" w:themeFill="background2"/>
          </w:tcPr>
          <w:p w14:paraId="70FB3519" w14:textId="4487100B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75" w:type="dxa"/>
            <w:shd w:val="clear" w:color="auto" w:fill="E7E6E6" w:themeFill="background2"/>
          </w:tcPr>
          <w:p w14:paraId="7030F531" w14:textId="0DE56C67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Rozdzielczość podstawowa</w:t>
            </w:r>
          </w:p>
        </w:tc>
        <w:tc>
          <w:tcPr>
            <w:tcW w:w="1096" w:type="dxa"/>
          </w:tcPr>
          <w:p w14:paraId="799B3172" w14:textId="11CE2D9F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213B5569" w14:textId="57C34782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2560 x 1440 (WQHD)</w:t>
            </w:r>
          </w:p>
        </w:tc>
        <w:tc>
          <w:tcPr>
            <w:tcW w:w="3680" w:type="dxa"/>
          </w:tcPr>
          <w:p w14:paraId="444545D9" w14:textId="3AFD3032" w:rsidR="00FB5C43" w:rsidRPr="00843FE2" w:rsidRDefault="00EB6275" w:rsidP="00CB1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524DE95E" w14:textId="309579CA" w:rsidTr="003D52C8">
        <w:trPr>
          <w:trHeight w:val="1917"/>
        </w:trPr>
        <w:tc>
          <w:tcPr>
            <w:tcW w:w="462" w:type="dxa"/>
            <w:shd w:val="clear" w:color="auto" w:fill="E7E6E6" w:themeFill="background2"/>
          </w:tcPr>
          <w:p w14:paraId="6E018C8F" w14:textId="0BA7F099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75" w:type="dxa"/>
            <w:shd w:val="clear" w:color="auto" w:fill="E7E6E6" w:themeFill="background2"/>
          </w:tcPr>
          <w:p w14:paraId="4C7A4EF2" w14:textId="28007C48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1096" w:type="dxa"/>
          </w:tcPr>
          <w:p w14:paraId="08CC3E02" w14:textId="2488E269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7E4E82E7" w14:textId="51C4DFD8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474CAC63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637E2210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78EDABC8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USB 3.1 Gen. 1 (USB 3.0) - 2 szt.</w:t>
            </w:r>
          </w:p>
          <w:p w14:paraId="50E40E0B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USB 3.1 Gen. 1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>-B (USB 3.0) - 1 szt.</w:t>
            </w:r>
          </w:p>
          <w:p w14:paraId="0B3383A4" w14:textId="4A9C8389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3680" w:type="dxa"/>
          </w:tcPr>
          <w:p w14:paraId="3F3974EC" w14:textId="77777777" w:rsidR="00EB6275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1A476ADD" w14:textId="77777777" w:rsidR="00EB6275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43FE2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- 1 szt.</w:t>
            </w:r>
          </w:p>
          <w:p w14:paraId="40DB4DB1" w14:textId="77777777" w:rsidR="00EB6275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38405BFD" w14:textId="5527EB6C" w:rsidR="00EB6275" w:rsidRPr="00BC2018" w:rsidRDefault="00EB6275" w:rsidP="00EB62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USB 3.</w:t>
            </w:r>
            <w:r w:rsidR="00A830A4" w:rsidRPr="00BC2018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C2018">
              <w:rPr>
                <w:rFonts w:cstheme="minorHAnsi"/>
                <w:b/>
                <w:bCs/>
                <w:sz w:val="20"/>
                <w:szCs w:val="20"/>
              </w:rPr>
              <w:t xml:space="preserve"> - 2 szt.</w:t>
            </w:r>
          </w:p>
          <w:p w14:paraId="716DF9B2" w14:textId="1679D5FD" w:rsidR="00FB5C43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</w:tr>
      <w:tr w:rsidR="003D52C8" w:rsidRPr="00843FE2" w14:paraId="465C1671" w14:textId="23110E2A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7DB130C6" w14:textId="74D513E7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375" w:type="dxa"/>
            <w:shd w:val="clear" w:color="auto" w:fill="E7E6E6" w:themeFill="background2"/>
          </w:tcPr>
          <w:p w14:paraId="11A920EE" w14:textId="3E57DF51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Kontrast statyczny</w:t>
            </w:r>
          </w:p>
        </w:tc>
        <w:tc>
          <w:tcPr>
            <w:tcW w:w="1096" w:type="dxa"/>
          </w:tcPr>
          <w:p w14:paraId="52D054F7" w14:textId="4753F54B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20610DD3" w14:textId="46998C94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1100:1</w:t>
            </w:r>
          </w:p>
        </w:tc>
        <w:tc>
          <w:tcPr>
            <w:tcW w:w="3680" w:type="dxa"/>
          </w:tcPr>
          <w:p w14:paraId="60591555" w14:textId="594FE5C2" w:rsidR="00FB5C43" w:rsidRPr="00BC2018" w:rsidRDefault="00EB6275" w:rsidP="00CB1B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1000:1</w:t>
            </w:r>
          </w:p>
        </w:tc>
      </w:tr>
      <w:tr w:rsidR="003D52C8" w:rsidRPr="00843FE2" w14:paraId="0F72B45C" w14:textId="549440EF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55D5CF22" w14:textId="4147C8E9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375" w:type="dxa"/>
            <w:shd w:val="clear" w:color="auto" w:fill="E7E6E6" w:themeFill="background2"/>
          </w:tcPr>
          <w:p w14:paraId="06781C47" w14:textId="4C0EB485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Czas reakcji</w:t>
            </w:r>
          </w:p>
        </w:tc>
        <w:tc>
          <w:tcPr>
            <w:tcW w:w="1096" w:type="dxa"/>
          </w:tcPr>
          <w:p w14:paraId="62EBCC7A" w14:textId="22A201F2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48E189DD" w14:textId="0BB2E794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0,5 ms</w:t>
            </w:r>
          </w:p>
        </w:tc>
        <w:tc>
          <w:tcPr>
            <w:tcW w:w="3680" w:type="dxa"/>
          </w:tcPr>
          <w:p w14:paraId="568BEF9C" w14:textId="54B607A6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7A3FE560" w14:textId="517404E5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6CF6EFEE" w14:textId="0CC62981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375" w:type="dxa"/>
            <w:shd w:val="clear" w:color="auto" w:fill="E7E6E6" w:themeFill="background2"/>
          </w:tcPr>
          <w:p w14:paraId="585F68E8" w14:textId="4DDBFE2A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producenta</w:t>
            </w:r>
          </w:p>
        </w:tc>
        <w:tc>
          <w:tcPr>
            <w:tcW w:w="1096" w:type="dxa"/>
          </w:tcPr>
          <w:p w14:paraId="0AEB0886" w14:textId="09CFA1E8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5F487867" w14:textId="0B1049C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3680" w:type="dxa"/>
          </w:tcPr>
          <w:p w14:paraId="6AEC9B22" w14:textId="153D55CE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39627A8" w14:textId="12084E4E" w:rsidTr="003D52C8">
        <w:trPr>
          <w:trHeight w:val="2539"/>
        </w:trPr>
        <w:tc>
          <w:tcPr>
            <w:tcW w:w="462" w:type="dxa"/>
            <w:shd w:val="clear" w:color="auto" w:fill="E7E6E6" w:themeFill="background2"/>
          </w:tcPr>
          <w:p w14:paraId="3E7DF56E" w14:textId="2207316F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375" w:type="dxa"/>
            <w:shd w:val="clear" w:color="auto" w:fill="E7E6E6" w:themeFill="background2"/>
          </w:tcPr>
          <w:p w14:paraId="013D45CC" w14:textId="19C1F83A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096" w:type="dxa"/>
          </w:tcPr>
          <w:p w14:paraId="650E09D4" w14:textId="5D8A586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3583" w:type="dxa"/>
          </w:tcPr>
          <w:p w14:paraId="61FE4DC8" w14:textId="75B2BD1D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Menu w języku polskim</w:t>
            </w:r>
          </w:p>
          <w:p w14:paraId="730D0B89" w14:textId="522AC462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wysokości, funkcja pochyłu</w:t>
            </w:r>
          </w:p>
          <w:p w14:paraId="173CA758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 ekranu minimum 100 mm w pionie;</w:t>
            </w:r>
          </w:p>
          <w:p w14:paraId="0B9A004F" w14:textId="53C4A489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Pochylenie ekranu w musi zawierać zakres min. od -3° do 15°</w:t>
            </w:r>
          </w:p>
          <w:p w14:paraId="470B2874" w14:textId="39E8F23D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242FBE5E" w14:textId="38A1D92A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51A19F95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Wbudowana w monitor funkcja ograniczenia emisji światła niebieskiego</w:t>
            </w:r>
          </w:p>
          <w:p w14:paraId="26AB4581" w14:textId="67B97A9C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Obudowa ciemna, matowa</w:t>
            </w:r>
          </w:p>
        </w:tc>
        <w:tc>
          <w:tcPr>
            <w:tcW w:w="3680" w:type="dxa"/>
          </w:tcPr>
          <w:p w14:paraId="63B0CFFD" w14:textId="4B45B1C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</w:tbl>
    <w:p w14:paraId="148DD8CF" w14:textId="77777777" w:rsidR="006541C7" w:rsidRDefault="006541C7" w:rsidP="00843FE2">
      <w:pPr>
        <w:pStyle w:val="Akapitzlist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2C16F" w14:textId="74CDC1B9" w:rsidR="00F9720E" w:rsidRPr="00843FE2" w:rsidRDefault="00012F37" w:rsidP="00843FE2">
      <w:pPr>
        <w:pStyle w:val="Akapitzlist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SPRZĘT PERYFERYJNY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358"/>
        <w:gridCol w:w="1134"/>
        <w:gridCol w:w="3544"/>
        <w:gridCol w:w="3680"/>
      </w:tblGrid>
      <w:tr w:rsidR="003D52C8" w:rsidRPr="00843FE2" w14:paraId="05458C5C" w14:textId="2A2710C4" w:rsidTr="00BC2018">
        <w:tc>
          <w:tcPr>
            <w:tcW w:w="480" w:type="dxa"/>
            <w:shd w:val="clear" w:color="auto" w:fill="FFFF00"/>
          </w:tcPr>
          <w:p w14:paraId="791CBD4A" w14:textId="3A76348D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58" w:type="dxa"/>
            <w:shd w:val="clear" w:color="auto" w:fill="FFFF00"/>
          </w:tcPr>
          <w:p w14:paraId="5E96B226" w14:textId="3B776B8C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4AD6BA3D" w14:textId="0173BD58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544" w:type="dxa"/>
            <w:shd w:val="clear" w:color="auto" w:fill="FFFF00"/>
          </w:tcPr>
          <w:p w14:paraId="563D35CB" w14:textId="175C4D02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 w:rsidR="003D52C8"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3680" w:type="dxa"/>
            <w:shd w:val="clear" w:color="auto" w:fill="FFFF00"/>
          </w:tcPr>
          <w:p w14:paraId="37BAFFD4" w14:textId="6F0DF64C" w:rsidR="00FB5C43" w:rsidRPr="00843FE2" w:rsidRDefault="003D52C8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</w:tr>
      <w:tr w:rsidR="003D52C8" w:rsidRPr="00843FE2" w14:paraId="135E5093" w14:textId="1BF52C94" w:rsidTr="00BC2018">
        <w:tc>
          <w:tcPr>
            <w:tcW w:w="480" w:type="dxa"/>
            <w:shd w:val="clear" w:color="auto" w:fill="E7E6E6" w:themeFill="background2"/>
          </w:tcPr>
          <w:p w14:paraId="58265034" w14:textId="701082C3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58" w:type="dxa"/>
            <w:shd w:val="clear" w:color="auto" w:fill="E7E6E6" w:themeFill="background2"/>
          </w:tcPr>
          <w:p w14:paraId="50DFD03A" w14:textId="0C718947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Typ i zastosowanie </w:t>
            </w:r>
          </w:p>
        </w:tc>
        <w:tc>
          <w:tcPr>
            <w:tcW w:w="1134" w:type="dxa"/>
          </w:tcPr>
          <w:p w14:paraId="45EFFE70" w14:textId="72DDB94E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35442C25" w14:textId="08CFE409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Mysz i klawiatura multimedialna przeznaczona do pracy biurowej </w:t>
            </w:r>
          </w:p>
        </w:tc>
        <w:tc>
          <w:tcPr>
            <w:tcW w:w="3680" w:type="dxa"/>
          </w:tcPr>
          <w:p w14:paraId="27BBE4F6" w14:textId="3B7F3254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56CFD8A" w14:textId="6E4B77DF" w:rsidTr="00BC2018">
        <w:tc>
          <w:tcPr>
            <w:tcW w:w="480" w:type="dxa"/>
            <w:shd w:val="clear" w:color="auto" w:fill="E7E6E6" w:themeFill="background2"/>
          </w:tcPr>
          <w:p w14:paraId="4798F2FB" w14:textId="11475B3F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8" w:type="dxa"/>
            <w:shd w:val="clear" w:color="auto" w:fill="E7E6E6" w:themeFill="background2"/>
          </w:tcPr>
          <w:p w14:paraId="51AE5F00" w14:textId="6B8A9FD8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Stan</w:t>
            </w:r>
          </w:p>
        </w:tc>
        <w:tc>
          <w:tcPr>
            <w:tcW w:w="1134" w:type="dxa"/>
          </w:tcPr>
          <w:p w14:paraId="76A2E0AB" w14:textId="58246604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297F5858" w14:textId="2300F424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Fabrycznie nowy, wolny od wad producenta</w:t>
            </w:r>
          </w:p>
        </w:tc>
        <w:tc>
          <w:tcPr>
            <w:tcW w:w="3680" w:type="dxa"/>
          </w:tcPr>
          <w:p w14:paraId="6042A34A" w14:textId="5EDAACCB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306A1732" w14:textId="777F42B1" w:rsidTr="00BC2018">
        <w:tc>
          <w:tcPr>
            <w:tcW w:w="480" w:type="dxa"/>
            <w:shd w:val="clear" w:color="auto" w:fill="E7E6E6" w:themeFill="background2"/>
          </w:tcPr>
          <w:p w14:paraId="2445D5AB" w14:textId="67838D7C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58" w:type="dxa"/>
            <w:shd w:val="clear" w:color="auto" w:fill="E7E6E6" w:themeFill="background2"/>
          </w:tcPr>
          <w:p w14:paraId="2622D8CA" w14:textId="0922C60E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1134" w:type="dxa"/>
          </w:tcPr>
          <w:p w14:paraId="3554CDAB" w14:textId="4FD501A1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21E384CB" w14:textId="6191E6EC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Bezprzewodowa</w:t>
            </w:r>
          </w:p>
        </w:tc>
        <w:tc>
          <w:tcPr>
            <w:tcW w:w="3680" w:type="dxa"/>
          </w:tcPr>
          <w:p w14:paraId="682E8752" w14:textId="2FEA464E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0F9C459C" w14:textId="5C0A3AEA" w:rsidTr="00BC2018">
        <w:tc>
          <w:tcPr>
            <w:tcW w:w="480" w:type="dxa"/>
            <w:shd w:val="clear" w:color="auto" w:fill="E7E6E6" w:themeFill="background2"/>
          </w:tcPr>
          <w:p w14:paraId="71089C86" w14:textId="3AB4C597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58" w:type="dxa"/>
            <w:shd w:val="clear" w:color="auto" w:fill="E7E6E6" w:themeFill="background2"/>
          </w:tcPr>
          <w:p w14:paraId="7269A5D5" w14:textId="36E0CEC5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1134" w:type="dxa"/>
          </w:tcPr>
          <w:p w14:paraId="18A2E07C" w14:textId="0FD4BDD1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5A0BBE9C" w14:textId="1162DC1C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USB, 2,4G</w:t>
            </w:r>
          </w:p>
        </w:tc>
        <w:tc>
          <w:tcPr>
            <w:tcW w:w="3680" w:type="dxa"/>
          </w:tcPr>
          <w:p w14:paraId="0F8312F4" w14:textId="0DE39FC3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975C3B0" w14:textId="327ADC5B" w:rsidTr="00BC2018">
        <w:tc>
          <w:tcPr>
            <w:tcW w:w="480" w:type="dxa"/>
            <w:shd w:val="clear" w:color="auto" w:fill="E7E6E6" w:themeFill="background2"/>
          </w:tcPr>
          <w:p w14:paraId="79272A77" w14:textId="44249639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358" w:type="dxa"/>
            <w:shd w:val="clear" w:color="auto" w:fill="E7E6E6" w:themeFill="background2"/>
          </w:tcPr>
          <w:p w14:paraId="6E950B4B" w14:textId="5E82DE5E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55C29C8F" w14:textId="167A9AAC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66DF2405" w14:textId="438B9CC7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ciemny (czarny, szary)</w:t>
            </w:r>
          </w:p>
        </w:tc>
        <w:tc>
          <w:tcPr>
            <w:tcW w:w="3680" w:type="dxa"/>
          </w:tcPr>
          <w:p w14:paraId="2E644E00" w14:textId="2221CAC9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27FD0357" w14:textId="59111FA7" w:rsidTr="00BC2018">
        <w:tc>
          <w:tcPr>
            <w:tcW w:w="480" w:type="dxa"/>
            <w:shd w:val="clear" w:color="auto" w:fill="E7E6E6" w:themeFill="background2"/>
          </w:tcPr>
          <w:p w14:paraId="55E0F1AE" w14:textId="0CACC13B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E7E6E6" w:themeFill="background2"/>
          </w:tcPr>
          <w:p w14:paraId="31A489A3" w14:textId="3CC2FB59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Sensor myszy z zestawu</w:t>
            </w:r>
          </w:p>
        </w:tc>
        <w:tc>
          <w:tcPr>
            <w:tcW w:w="1134" w:type="dxa"/>
          </w:tcPr>
          <w:p w14:paraId="77C1D448" w14:textId="0CF4ADE5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1040FB7F" w14:textId="25FD0BFE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Optyczny</w:t>
            </w:r>
          </w:p>
        </w:tc>
        <w:tc>
          <w:tcPr>
            <w:tcW w:w="3680" w:type="dxa"/>
          </w:tcPr>
          <w:p w14:paraId="00F838B7" w14:textId="6CF1C903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6DAAA3A4" w14:textId="4DA47F4C" w:rsidTr="00BC2018">
        <w:tc>
          <w:tcPr>
            <w:tcW w:w="480" w:type="dxa"/>
            <w:shd w:val="clear" w:color="auto" w:fill="E7E6E6" w:themeFill="background2"/>
          </w:tcPr>
          <w:p w14:paraId="3075F008" w14:textId="24FAE0A6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358" w:type="dxa"/>
            <w:shd w:val="clear" w:color="auto" w:fill="E7E6E6" w:themeFill="background2"/>
          </w:tcPr>
          <w:p w14:paraId="37862B10" w14:textId="6C12C4F2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Profil myszy</w:t>
            </w:r>
          </w:p>
        </w:tc>
        <w:tc>
          <w:tcPr>
            <w:tcW w:w="1134" w:type="dxa"/>
          </w:tcPr>
          <w:p w14:paraId="435B000A" w14:textId="630144E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312EDB95" w14:textId="61F9B328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3680" w:type="dxa"/>
          </w:tcPr>
          <w:p w14:paraId="3AB47701" w14:textId="21FF578B" w:rsidR="00A830A4" w:rsidRPr="00843FE2" w:rsidRDefault="00D254C3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6B7FCD29" w14:textId="384631FD" w:rsidTr="00BC2018">
        <w:tc>
          <w:tcPr>
            <w:tcW w:w="480" w:type="dxa"/>
            <w:shd w:val="clear" w:color="auto" w:fill="E7E6E6" w:themeFill="background2"/>
          </w:tcPr>
          <w:p w14:paraId="6283C102" w14:textId="70FC37C7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358" w:type="dxa"/>
            <w:shd w:val="clear" w:color="auto" w:fill="E7E6E6" w:themeFill="background2"/>
          </w:tcPr>
          <w:p w14:paraId="73904E47" w14:textId="3C04F451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Rozdzielczość myszy </w:t>
            </w:r>
          </w:p>
        </w:tc>
        <w:tc>
          <w:tcPr>
            <w:tcW w:w="1134" w:type="dxa"/>
          </w:tcPr>
          <w:p w14:paraId="21E469CC" w14:textId="49543AF0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0217F0DC" w14:textId="5E0A605F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1000 DPI</w:t>
            </w:r>
          </w:p>
        </w:tc>
        <w:tc>
          <w:tcPr>
            <w:tcW w:w="3680" w:type="dxa"/>
          </w:tcPr>
          <w:p w14:paraId="77F87B77" w14:textId="73174140" w:rsidR="00A830A4" w:rsidRPr="00843FE2" w:rsidRDefault="00D254C3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C0F657F" w14:textId="12A58C27" w:rsidTr="00BC2018">
        <w:tc>
          <w:tcPr>
            <w:tcW w:w="480" w:type="dxa"/>
            <w:shd w:val="clear" w:color="auto" w:fill="E7E6E6" w:themeFill="background2"/>
          </w:tcPr>
          <w:p w14:paraId="38960365" w14:textId="16F4AE41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8" w:type="dxa"/>
            <w:shd w:val="clear" w:color="auto" w:fill="E7E6E6" w:themeFill="background2"/>
          </w:tcPr>
          <w:p w14:paraId="6E0D1301" w14:textId="35A5FF90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wykonawcy</w:t>
            </w:r>
          </w:p>
        </w:tc>
        <w:tc>
          <w:tcPr>
            <w:tcW w:w="1134" w:type="dxa"/>
          </w:tcPr>
          <w:p w14:paraId="7AB2B123" w14:textId="7DA24CF0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069EFAFD" w14:textId="1B7B210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36 miesięcy</w:t>
            </w:r>
          </w:p>
        </w:tc>
        <w:tc>
          <w:tcPr>
            <w:tcW w:w="3680" w:type="dxa"/>
          </w:tcPr>
          <w:p w14:paraId="73FE7AD3" w14:textId="17F93211" w:rsidR="00A830A4" w:rsidRDefault="00D254C3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6D83B30" w14:textId="04BAD583" w:rsidTr="00BC2018">
        <w:tc>
          <w:tcPr>
            <w:tcW w:w="480" w:type="dxa"/>
            <w:shd w:val="clear" w:color="auto" w:fill="E7E6E6" w:themeFill="background2"/>
          </w:tcPr>
          <w:p w14:paraId="46140556" w14:textId="43D4EBEC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358" w:type="dxa"/>
            <w:shd w:val="clear" w:color="auto" w:fill="E7E6E6" w:themeFill="background2"/>
          </w:tcPr>
          <w:p w14:paraId="091D9069" w14:textId="642DEECB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134" w:type="dxa"/>
          </w:tcPr>
          <w:p w14:paraId="74E24C03" w14:textId="6CC5B73E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423ACDEC" w14:textId="3442772A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4DFBA613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7F630891" w14:textId="4A1F10B3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666E9F8A" w14:textId="58A5D8D6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Cicha praca klawiszy</w:t>
            </w:r>
          </w:p>
          <w:p w14:paraId="3E9246DC" w14:textId="5DFAC580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7877AB18" w14:textId="3EB38354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233920C3" w14:textId="2C18D55B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Baterie 2x AAA dla klawiatury</w:t>
            </w:r>
          </w:p>
          <w:p w14:paraId="2D07398B" w14:textId="1AE5F94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Bateria 1x AA dla myszy</w:t>
            </w:r>
          </w:p>
          <w:p w14:paraId="4E39B4C1" w14:textId="5997328C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3680" w:type="dxa"/>
          </w:tcPr>
          <w:p w14:paraId="133A0C38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Klawisze multimedialne/funkcyjne</w:t>
            </w:r>
          </w:p>
          <w:p w14:paraId="34F376BE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7B1F2BEA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75E4A87D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Cicha praca klawiszy</w:t>
            </w:r>
          </w:p>
          <w:p w14:paraId="6020C69C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64702A9B" w14:textId="749F3BE2" w:rsidR="00A830A4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1BC93BA0" w14:textId="40653F78" w:rsidR="00A830A4" w:rsidRPr="00BC2018" w:rsidRDefault="00A830A4" w:rsidP="00A830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Zasilanie bateryjne bądź akumulatorowe</w:t>
            </w:r>
          </w:p>
          <w:p w14:paraId="0E9DA296" w14:textId="052538D3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Zestaw musi zawierać komplet baterii i </w:t>
            </w:r>
            <w:proofErr w:type="spellStart"/>
            <w:r w:rsidRPr="00843FE2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  <w:r w:rsidRPr="00843FE2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</w:tr>
    </w:tbl>
    <w:p w14:paraId="63722280" w14:textId="77777777" w:rsidR="003937D4" w:rsidRPr="00843FE2" w:rsidRDefault="003937D4" w:rsidP="003937D4">
      <w:pPr>
        <w:pStyle w:val="Akapitzlist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43860E2" w14:textId="196877A9" w:rsidR="00504671" w:rsidRPr="00843FE2" w:rsidRDefault="00012F37" w:rsidP="00843FE2">
      <w:pPr>
        <w:pStyle w:val="Akapitzlist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TORBA NA LAPTOPA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1290"/>
        <w:gridCol w:w="1134"/>
        <w:gridCol w:w="3544"/>
      </w:tblGrid>
      <w:tr w:rsidR="006541C7" w:rsidRPr="00843FE2" w14:paraId="6B28E77E" w14:textId="77777777" w:rsidTr="00BC2018">
        <w:tc>
          <w:tcPr>
            <w:tcW w:w="548" w:type="dxa"/>
            <w:shd w:val="clear" w:color="auto" w:fill="FFFF00"/>
          </w:tcPr>
          <w:p w14:paraId="283D619E" w14:textId="6907FAB6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90" w:type="dxa"/>
            <w:shd w:val="clear" w:color="auto" w:fill="FFFF00"/>
          </w:tcPr>
          <w:p w14:paraId="55D6B3FA" w14:textId="34D4273F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0D7B443E" w14:textId="5DE8FC7F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544" w:type="dxa"/>
            <w:shd w:val="clear" w:color="auto" w:fill="FFFF00"/>
          </w:tcPr>
          <w:p w14:paraId="28C365E6" w14:textId="40F4E17D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</w:tr>
      <w:tr w:rsidR="00CE1DD5" w:rsidRPr="00843FE2" w14:paraId="369E4A94" w14:textId="77777777" w:rsidTr="00BC2018">
        <w:tc>
          <w:tcPr>
            <w:tcW w:w="548" w:type="dxa"/>
            <w:shd w:val="clear" w:color="auto" w:fill="E7E6E6" w:themeFill="background2"/>
          </w:tcPr>
          <w:p w14:paraId="1B45BCCB" w14:textId="7EEE0858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90" w:type="dxa"/>
            <w:shd w:val="clear" w:color="auto" w:fill="E7E6E6" w:themeFill="background2"/>
          </w:tcPr>
          <w:p w14:paraId="5D688080" w14:textId="74EB25F1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kompatybilność</w:t>
            </w:r>
          </w:p>
        </w:tc>
        <w:tc>
          <w:tcPr>
            <w:tcW w:w="1134" w:type="dxa"/>
          </w:tcPr>
          <w:p w14:paraId="07B20793" w14:textId="7B1FB3F2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0D1696A7" w14:textId="065173A1" w:rsidR="00CE1DD5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Zgodnie z zaoferowanymi mobilnymi stacjami roboczymi</w:t>
            </w:r>
          </w:p>
        </w:tc>
      </w:tr>
      <w:tr w:rsidR="00CE1DD5" w:rsidRPr="00843FE2" w14:paraId="4DC8DC8C" w14:textId="77777777" w:rsidTr="00BC2018">
        <w:tc>
          <w:tcPr>
            <w:tcW w:w="548" w:type="dxa"/>
            <w:shd w:val="clear" w:color="auto" w:fill="E7E6E6" w:themeFill="background2"/>
          </w:tcPr>
          <w:p w14:paraId="719FD54C" w14:textId="33AB5FEC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90" w:type="dxa"/>
            <w:shd w:val="clear" w:color="auto" w:fill="E7E6E6" w:themeFill="background2"/>
          </w:tcPr>
          <w:p w14:paraId="1BC6B408" w14:textId="7C0BC642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Liczba komór</w:t>
            </w:r>
          </w:p>
        </w:tc>
        <w:tc>
          <w:tcPr>
            <w:tcW w:w="1134" w:type="dxa"/>
          </w:tcPr>
          <w:p w14:paraId="509CE2F2" w14:textId="2B23E32F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30F54E48" w14:textId="53D940EF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843FE2" w:rsidRPr="00843FE2" w14:paraId="787360F0" w14:textId="77777777" w:rsidTr="00BC2018">
        <w:tc>
          <w:tcPr>
            <w:tcW w:w="548" w:type="dxa"/>
            <w:shd w:val="clear" w:color="auto" w:fill="E7E6E6" w:themeFill="background2"/>
          </w:tcPr>
          <w:p w14:paraId="2DC1D023" w14:textId="61148552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90" w:type="dxa"/>
            <w:shd w:val="clear" w:color="auto" w:fill="E7E6E6" w:themeFill="background2"/>
          </w:tcPr>
          <w:p w14:paraId="7F5A8A0E" w14:textId="0D770100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Rodzaj zapięcia</w:t>
            </w:r>
          </w:p>
        </w:tc>
        <w:tc>
          <w:tcPr>
            <w:tcW w:w="1134" w:type="dxa"/>
          </w:tcPr>
          <w:p w14:paraId="02C9B39E" w14:textId="296E156C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4F6F35E5" w14:textId="7F38A174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Zamek błyskawiczny</w:t>
            </w:r>
          </w:p>
        </w:tc>
      </w:tr>
      <w:tr w:rsidR="00843FE2" w:rsidRPr="00843FE2" w14:paraId="3399EA45" w14:textId="77777777" w:rsidTr="00BC2018">
        <w:tc>
          <w:tcPr>
            <w:tcW w:w="548" w:type="dxa"/>
            <w:shd w:val="clear" w:color="auto" w:fill="E7E6E6" w:themeFill="background2"/>
          </w:tcPr>
          <w:p w14:paraId="7D5AD3B7" w14:textId="4BEC61D9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90" w:type="dxa"/>
            <w:shd w:val="clear" w:color="auto" w:fill="E7E6E6" w:themeFill="background2"/>
          </w:tcPr>
          <w:p w14:paraId="20790F7D" w14:textId="51EA77AA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0263A27D" w14:textId="5EB899B5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5F53F990" w14:textId="5136B324" w:rsidR="00843FE2" w:rsidRPr="00843FE2" w:rsidRDefault="00D36A3E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="00843FE2"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iemny (czarny, szary)</w:t>
            </w:r>
          </w:p>
        </w:tc>
      </w:tr>
      <w:tr w:rsidR="00843FE2" w:rsidRPr="00843FE2" w14:paraId="416B5E98" w14:textId="77777777" w:rsidTr="00BC2018">
        <w:tc>
          <w:tcPr>
            <w:tcW w:w="548" w:type="dxa"/>
            <w:shd w:val="clear" w:color="auto" w:fill="E7E6E6" w:themeFill="background2"/>
          </w:tcPr>
          <w:p w14:paraId="32BD348E" w14:textId="13070DA1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90" w:type="dxa"/>
            <w:shd w:val="clear" w:color="auto" w:fill="E7E6E6" w:themeFill="background2"/>
          </w:tcPr>
          <w:p w14:paraId="1F95FD1C" w14:textId="1B874147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566D15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wykonawcy</w:t>
            </w:r>
          </w:p>
        </w:tc>
        <w:tc>
          <w:tcPr>
            <w:tcW w:w="1134" w:type="dxa"/>
          </w:tcPr>
          <w:p w14:paraId="6A3B3B3C" w14:textId="7B32318C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581BE6A0" w14:textId="4399ADB1" w:rsidR="00843FE2" w:rsidRPr="00843FE2" w:rsidRDefault="0022429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36 miesięcy</w:t>
            </w:r>
          </w:p>
        </w:tc>
      </w:tr>
      <w:tr w:rsidR="00843FE2" w:rsidRPr="00843FE2" w14:paraId="7583CEBF" w14:textId="77777777" w:rsidTr="00BC2018">
        <w:tc>
          <w:tcPr>
            <w:tcW w:w="548" w:type="dxa"/>
            <w:shd w:val="clear" w:color="auto" w:fill="E7E6E6" w:themeFill="background2"/>
          </w:tcPr>
          <w:p w14:paraId="4F18B839" w14:textId="4AC10677" w:rsidR="00843FE2" w:rsidRPr="00843FE2" w:rsidRDefault="00843FE2" w:rsidP="00CE1DD5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290" w:type="dxa"/>
            <w:shd w:val="clear" w:color="auto" w:fill="E7E6E6" w:themeFill="background2"/>
          </w:tcPr>
          <w:p w14:paraId="026035BB" w14:textId="60581FF5" w:rsidR="00843FE2" w:rsidRPr="00843FE2" w:rsidRDefault="00843FE2" w:rsidP="00CE1DD5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informacje</w:t>
            </w:r>
          </w:p>
        </w:tc>
        <w:tc>
          <w:tcPr>
            <w:tcW w:w="1134" w:type="dxa"/>
          </w:tcPr>
          <w:p w14:paraId="5C69FAB5" w14:textId="2F8A55A6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6BF54355" w14:textId="77777777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Odpinany pasek na ramię </w:t>
            </w:r>
          </w:p>
          <w:p w14:paraId="3B250E9D" w14:textId="77777777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Wzmacniana wygodna rączka</w:t>
            </w:r>
          </w:p>
          <w:p w14:paraId="17AE64E5" w14:textId="77777777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Pas mocujący do walizki </w:t>
            </w:r>
          </w:p>
          <w:p w14:paraId="3FFA044D" w14:textId="18616016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Wodoodporność</w:t>
            </w:r>
          </w:p>
        </w:tc>
      </w:tr>
    </w:tbl>
    <w:p w14:paraId="736D3305" w14:textId="77777777" w:rsidR="00D04586" w:rsidRPr="00843FE2" w:rsidRDefault="00D04586" w:rsidP="009E4AE6">
      <w:pPr>
        <w:rPr>
          <w:rFonts w:eastAsia="Calibri" w:cstheme="minorHAnsi"/>
          <w:color w:val="000000" w:themeColor="text1"/>
          <w:sz w:val="20"/>
          <w:szCs w:val="20"/>
        </w:rPr>
      </w:pPr>
    </w:p>
    <w:p w14:paraId="5C000599" w14:textId="07E3B4BF" w:rsidR="00816A0B" w:rsidRPr="00843FE2" w:rsidRDefault="00816A0B" w:rsidP="00375E85">
      <w:pPr>
        <w:rPr>
          <w:rFonts w:eastAsia="Calibri" w:cstheme="minorHAnsi"/>
          <w:color w:val="000000" w:themeColor="text1"/>
          <w:sz w:val="20"/>
          <w:szCs w:val="20"/>
        </w:rPr>
      </w:pPr>
    </w:p>
    <w:p w14:paraId="4599C805" w14:textId="77777777" w:rsidR="00816A0B" w:rsidRPr="00843FE2" w:rsidRDefault="00816A0B" w:rsidP="00375E85">
      <w:pPr>
        <w:rPr>
          <w:rFonts w:eastAsia="Calibri" w:cstheme="minorHAnsi"/>
          <w:color w:val="000000" w:themeColor="text1"/>
          <w:sz w:val="20"/>
          <w:szCs w:val="20"/>
        </w:rPr>
      </w:pPr>
    </w:p>
    <w:p w14:paraId="19329925" w14:textId="77777777" w:rsidR="00375E85" w:rsidRPr="00375E85" w:rsidRDefault="00375E85" w:rsidP="00375E85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2EB7F596" w14:textId="50DE50B1" w:rsidR="007C2E96" w:rsidRDefault="007C2E96" w:rsidP="007C2E96">
      <w:pPr>
        <w:spacing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3B4B549F" w14:textId="53FA3007" w:rsidR="007C2E96" w:rsidRDefault="007C2E96" w:rsidP="007C2E96">
      <w:pPr>
        <w:spacing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sectPr w:rsidR="007C2E96" w:rsidSect="008F1230">
      <w:headerReference w:type="default" r:id="rId14"/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FA8" w14:textId="77777777" w:rsidR="002D739C" w:rsidRDefault="002D739C" w:rsidP="00221A0D">
      <w:pPr>
        <w:spacing w:line="240" w:lineRule="auto"/>
      </w:pPr>
      <w:r>
        <w:separator/>
      </w:r>
    </w:p>
  </w:endnote>
  <w:endnote w:type="continuationSeparator" w:id="0">
    <w:p w14:paraId="27EBA010" w14:textId="77777777" w:rsidR="002D739C" w:rsidRDefault="002D739C" w:rsidP="00221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A2E4" w14:textId="77777777" w:rsidR="002D739C" w:rsidRDefault="002D739C" w:rsidP="00221A0D">
      <w:pPr>
        <w:spacing w:line="240" w:lineRule="auto"/>
      </w:pPr>
      <w:r>
        <w:separator/>
      </w:r>
    </w:p>
  </w:footnote>
  <w:footnote w:type="continuationSeparator" w:id="0">
    <w:p w14:paraId="2DD3BDBF" w14:textId="77777777" w:rsidR="002D739C" w:rsidRDefault="002D739C" w:rsidP="00221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D742" w14:textId="30572285" w:rsidR="00221A0D" w:rsidRDefault="00221A0D" w:rsidP="00221A0D">
    <w:pPr>
      <w:pStyle w:val="Nagwek"/>
      <w:jc w:val="right"/>
      <w:rPr>
        <w:rFonts w:cstheme="minorHAnsi"/>
        <w:sz w:val="20"/>
      </w:rPr>
    </w:pPr>
    <w:r w:rsidRPr="00221A0D">
      <w:rPr>
        <w:rFonts w:cstheme="minorHAnsi"/>
        <w:sz w:val="20"/>
      </w:rPr>
      <w:t xml:space="preserve">Załącznik nr </w:t>
    </w:r>
    <w:r w:rsidR="00CD52C0">
      <w:rPr>
        <w:rFonts w:cstheme="minorHAnsi"/>
        <w:sz w:val="20"/>
      </w:rPr>
      <w:t>2</w:t>
    </w:r>
    <w:r w:rsidRPr="00221A0D">
      <w:rPr>
        <w:rFonts w:cstheme="minorHAnsi"/>
        <w:sz w:val="20"/>
      </w:rPr>
      <w:t xml:space="preserve"> do </w:t>
    </w:r>
    <w:r w:rsidR="00CD52C0">
      <w:rPr>
        <w:rFonts w:cstheme="minorHAnsi"/>
        <w:sz w:val="20"/>
      </w:rPr>
      <w:t>SWZ -OPZ</w:t>
    </w:r>
  </w:p>
  <w:p w14:paraId="46CA1FD8" w14:textId="77777777" w:rsidR="00E34C5D" w:rsidRPr="00221A0D" w:rsidRDefault="00E34C5D" w:rsidP="00221A0D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62"/>
    <w:multiLevelType w:val="hybridMultilevel"/>
    <w:tmpl w:val="A04E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59"/>
    <w:multiLevelType w:val="hybridMultilevel"/>
    <w:tmpl w:val="7E54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782"/>
    <w:multiLevelType w:val="hybridMultilevel"/>
    <w:tmpl w:val="09C637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894"/>
    <w:multiLevelType w:val="multilevel"/>
    <w:tmpl w:val="D5C46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1864D8B"/>
    <w:multiLevelType w:val="hybridMultilevel"/>
    <w:tmpl w:val="154A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07A"/>
    <w:multiLevelType w:val="hybridMultilevel"/>
    <w:tmpl w:val="CA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8265A"/>
    <w:multiLevelType w:val="hybridMultilevel"/>
    <w:tmpl w:val="F79E2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04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70177C"/>
    <w:multiLevelType w:val="hybridMultilevel"/>
    <w:tmpl w:val="88220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AF5"/>
    <w:multiLevelType w:val="hybridMultilevel"/>
    <w:tmpl w:val="FC946A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26564A"/>
    <w:multiLevelType w:val="hybridMultilevel"/>
    <w:tmpl w:val="57EC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78B5"/>
    <w:multiLevelType w:val="hybridMultilevel"/>
    <w:tmpl w:val="1D3E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81A1A"/>
    <w:multiLevelType w:val="hybridMultilevel"/>
    <w:tmpl w:val="FB88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38CA"/>
    <w:multiLevelType w:val="hybridMultilevel"/>
    <w:tmpl w:val="A5AC1F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C83394"/>
    <w:multiLevelType w:val="hybridMultilevel"/>
    <w:tmpl w:val="A732A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C1D6CFF"/>
    <w:multiLevelType w:val="hybridMultilevel"/>
    <w:tmpl w:val="8EFE11C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2D007B"/>
    <w:multiLevelType w:val="hybridMultilevel"/>
    <w:tmpl w:val="2C400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F74AB"/>
    <w:multiLevelType w:val="hybridMultilevel"/>
    <w:tmpl w:val="24B0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53B1"/>
    <w:multiLevelType w:val="hybridMultilevel"/>
    <w:tmpl w:val="FFB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0176">
    <w:abstractNumId w:val="18"/>
  </w:num>
  <w:num w:numId="2" w16cid:durableId="11615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014301">
    <w:abstractNumId w:val="9"/>
  </w:num>
  <w:num w:numId="4" w16cid:durableId="971668029">
    <w:abstractNumId w:val="10"/>
  </w:num>
  <w:num w:numId="5" w16cid:durableId="265114803">
    <w:abstractNumId w:val="5"/>
  </w:num>
  <w:num w:numId="6" w16cid:durableId="805199800">
    <w:abstractNumId w:val="11"/>
  </w:num>
  <w:num w:numId="7" w16cid:durableId="922419482">
    <w:abstractNumId w:val="13"/>
  </w:num>
  <w:num w:numId="8" w16cid:durableId="175506808">
    <w:abstractNumId w:val="0"/>
  </w:num>
  <w:num w:numId="9" w16cid:durableId="1769694509">
    <w:abstractNumId w:val="8"/>
  </w:num>
  <w:num w:numId="10" w16cid:durableId="577634389">
    <w:abstractNumId w:val="16"/>
  </w:num>
  <w:num w:numId="11" w16cid:durableId="654922065">
    <w:abstractNumId w:val="14"/>
  </w:num>
  <w:num w:numId="12" w16cid:durableId="1917322703">
    <w:abstractNumId w:val="7"/>
  </w:num>
  <w:num w:numId="13" w16cid:durableId="1105609586">
    <w:abstractNumId w:val="3"/>
  </w:num>
  <w:num w:numId="14" w16cid:durableId="265584034">
    <w:abstractNumId w:val="4"/>
  </w:num>
  <w:num w:numId="15" w16cid:durableId="2011367768">
    <w:abstractNumId w:val="2"/>
  </w:num>
  <w:num w:numId="16" w16cid:durableId="95247999">
    <w:abstractNumId w:val="19"/>
  </w:num>
  <w:num w:numId="17" w16cid:durableId="753554601">
    <w:abstractNumId w:val="6"/>
  </w:num>
  <w:num w:numId="18" w16cid:durableId="1390229557">
    <w:abstractNumId w:val="1"/>
  </w:num>
  <w:num w:numId="19" w16cid:durableId="157581216">
    <w:abstractNumId w:val="12"/>
  </w:num>
  <w:num w:numId="20" w16cid:durableId="70807156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E"/>
    <w:rsid w:val="00012F37"/>
    <w:rsid w:val="000162CB"/>
    <w:rsid w:val="0002056C"/>
    <w:rsid w:val="00026AAA"/>
    <w:rsid w:val="000425DB"/>
    <w:rsid w:val="000465DB"/>
    <w:rsid w:val="00052C50"/>
    <w:rsid w:val="0005443F"/>
    <w:rsid w:val="0006056A"/>
    <w:rsid w:val="00070568"/>
    <w:rsid w:val="00073E20"/>
    <w:rsid w:val="0007416B"/>
    <w:rsid w:val="00076CA5"/>
    <w:rsid w:val="00084552"/>
    <w:rsid w:val="00084A12"/>
    <w:rsid w:val="00092659"/>
    <w:rsid w:val="000A029A"/>
    <w:rsid w:val="000A2B41"/>
    <w:rsid w:val="000A2E45"/>
    <w:rsid w:val="000A5B8A"/>
    <w:rsid w:val="000B1DA0"/>
    <w:rsid w:val="000C2D04"/>
    <w:rsid w:val="000D0F76"/>
    <w:rsid w:val="000D173F"/>
    <w:rsid w:val="000D3032"/>
    <w:rsid w:val="000D3C96"/>
    <w:rsid w:val="000E3950"/>
    <w:rsid w:val="000F2A97"/>
    <w:rsid w:val="001010E7"/>
    <w:rsid w:val="00101320"/>
    <w:rsid w:val="00102BC2"/>
    <w:rsid w:val="00124E1D"/>
    <w:rsid w:val="00134478"/>
    <w:rsid w:val="0014347D"/>
    <w:rsid w:val="001457FD"/>
    <w:rsid w:val="00145D3D"/>
    <w:rsid w:val="00155AA8"/>
    <w:rsid w:val="00164ED2"/>
    <w:rsid w:val="00183BD6"/>
    <w:rsid w:val="001A3BC4"/>
    <w:rsid w:val="001A3F78"/>
    <w:rsid w:val="001A69DC"/>
    <w:rsid w:val="001B2ECE"/>
    <w:rsid w:val="001C12B1"/>
    <w:rsid w:val="001E23F9"/>
    <w:rsid w:val="001F0AEB"/>
    <w:rsid w:val="001F45CD"/>
    <w:rsid w:val="001F56E0"/>
    <w:rsid w:val="0020074C"/>
    <w:rsid w:val="002056F7"/>
    <w:rsid w:val="00221A0D"/>
    <w:rsid w:val="00222E12"/>
    <w:rsid w:val="00224292"/>
    <w:rsid w:val="00231032"/>
    <w:rsid w:val="002337E2"/>
    <w:rsid w:val="00250A6A"/>
    <w:rsid w:val="00254558"/>
    <w:rsid w:val="00260F14"/>
    <w:rsid w:val="002660E6"/>
    <w:rsid w:val="0027412F"/>
    <w:rsid w:val="002800F8"/>
    <w:rsid w:val="00287502"/>
    <w:rsid w:val="002917B5"/>
    <w:rsid w:val="00291D60"/>
    <w:rsid w:val="0029278A"/>
    <w:rsid w:val="002D1204"/>
    <w:rsid w:val="002D427D"/>
    <w:rsid w:val="002D739C"/>
    <w:rsid w:val="002E333A"/>
    <w:rsid w:val="002E54B5"/>
    <w:rsid w:val="002F1F93"/>
    <w:rsid w:val="002F2914"/>
    <w:rsid w:val="002F41A0"/>
    <w:rsid w:val="00302553"/>
    <w:rsid w:val="00312295"/>
    <w:rsid w:val="003171AE"/>
    <w:rsid w:val="00322E2C"/>
    <w:rsid w:val="00325DE3"/>
    <w:rsid w:val="0033189E"/>
    <w:rsid w:val="00343E83"/>
    <w:rsid w:val="0036133D"/>
    <w:rsid w:val="0036749E"/>
    <w:rsid w:val="003712DC"/>
    <w:rsid w:val="00375E85"/>
    <w:rsid w:val="0038313A"/>
    <w:rsid w:val="00384065"/>
    <w:rsid w:val="003937D4"/>
    <w:rsid w:val="003A1FA2"/>
    <w:rsid w:val="003A6624"/>
    <w:rsid w:val="003B1F7C"/>
    <w:rsid w:val="003B35D5"/>
    <w:rsid w:val="003B7681"/>
    <w:rsid w:val="003D52C8"/>
    <w:rsid w:val="003E5E60"/>
    <w:rsid w:val="00401AF7"/>
    <w:rsid w:val="004105B4"/>
    <w:rsid w:val="004249D8"/>
    <w:rsid w:val="004267CC"/>
    <w:rsid w:val="00426845"/>
    <w:rsid w:val="0044374B"/>
    <w:rsid w:val="00444C89"/>
    <w:rsid w:val="0044661D"/>
    <w:rsid w:val="00447734"/>
    <w:rsid w:val="00453741"/>
    <w:rsid w:val="00453E39"/>
    <w:rsid w:val="00460E49"/>
    <w:rsid w:val="00460E67"/>
    <w:rsid w:val="0046422D"/>
    <w:rsid w:val="00481A1C"/>
    <w:rsid w:val="00482B26"/>
    <w:rsid w:val="004A42CD"/>
    <w:rsid w:val="004B40A2"/>
    <w:rsid w:val="004B5DE6"/>
    <w:rsid w:val="004C2237"/>
    <w:rsid w:val="004C54B9"/>
    <w:rsid w:val="004E2D2B"/>
    <w:rsid w:val="004E7752"/>
    <w:rsid w:val="004E7875"/>
    <w:rsid w:val="00504671"/>
    <w:rsid w:val="00514F0D"/>
    <w:rsid w:val="00525563"/>
    <w:rsid w:val="00532DF7"/>
    <w:rsid w:val="0054395C"/>
    <w:rsid w:val="0054671F"/>
    <w:rsid w:val="00566D15"/>
    <w:rsid w:val="00571D54"/>
    <w:rsid w:val="0057383C"/>
    <w:rsid w:val="005738BF"/>
    <w:rsid w:val="00577307"/>
    <w:rsid w:val="00580FDD"/>
    <w:rsid w:val="0059022D"/>
    <w:rsid w:val="005A24F1"/>
    <w:rsid w:val="005C2776"/>
    <w:rsid w:val="005C2D5C"/>
    <w:rsid w:val="005C6857"/>
    <w:rsid w:val="005D6FDC"/>
    <w:rsid w:val="005E5594"/>
    <w:rsid w:val="00605820"/>
    <w:rsid w:val="006245A7"/>
    <w:rsid w:val="00626829"/>
    <w:rsid w:val="00631B54"/>
    <w:rsid w:val="00632DC2"/>
    <w:rsid w:val="006366B0"/>
    <w:rsid w:val="006541C7"/>
    <w:rsid w:val="00657C6E"/>
    <w:rsid w:val="00673C83"/>
    <w:rsid w:val="006744B4"/>
    <w:rsid w:val="00680459"/>
    <w:rsid w:val="00681B8A"/>
    <w:rsid w:val="00681FD8"/>
    <w:rsid w:val="00686861"/>
    <w:rsid w:val="006911FF"/>
    <w:rsid w:val="00691CD8"/>
    <w:rsid w:val="006A1E09"/>
    <w:rsid w:val="006A3B7A"/>
    <w:rsid w:val="006A7DA1"/>
    <w:rsid w:val="006B244D"/>
    <w:rsid w:val="006B40AB"/>
    <w:rsid w:val="006C4A36"/>
    <w:rsid w:val="006D154D"/>
    <w:rsid w:val="006D3413"/>
    <w:rsid w:val="006E13BC"/>
    <w:rsid w:val="006E4A53"/>
    <w:rsid w:val="006E6B97"/>
    <w:rsid w:val="006F0425"/>
    <w:rsid w:val="00702870"/>
    <w:rsid w:val="00711E3A"/>
    <w:rsid w:val="00712834"/>
    <w:rsid w:val="00721809"/>
    <w:rsid w:val="00742B49"/>
    <w:rsid w:val="00752F5A"/>
    <w:rsid w:val="00776D01"/>
    <w:rsid w:val="0079546A"/>
    <w:rsid w:val="00795B31"/>
    <w:rsid w:val="007C2601"/>
    <w:rsid w:val="007C2E96"/>
    <w:rsid w:val="007E4CA9"/>
    <w:rsid w:val="007F125E"/>
    <w:rsid w:val="008155AE"/>
    <w:rsid w:val="00816A0B"/>
    <w:rsid w:val="008240F4"/>
    <w:rsid w:val="0083026F"/>
    <w:rsid w:val="00834B84"/>
    <w:rsid w:val="00843FE2"/>
    <w:rsid w:val="00852C43"/>
    <w:rsid w:val="00865598"/>
    <w:rsid w:val="00867E50"/>
    <w:rsid w:val="00872F5A"/>
    <w:rsid w:val="008836E6"/>
    <w:rsid w:val="008A21A2"/>
    <w:rsid w:val="008B6540"/>
    <w:rsid w:val="008D431F"/>
    <w:rsid w:val="008E180C"/>
    <w:rsid w:val="008E27DA"/>
    <w:rsid w:val="008F1230"/>
    <w:rsid w:val="008F1B36"/>
    <w:rsid w:val="00900B15"/>
    <w:rsid w:val="00910945"/>
    <w:rsid w:val="00924143"/>
    <w:rsid w:val="0092609B"/>
    <w:rsid w:val="00933BEE"/>
    <w:rsid w:val="0093735B"/>
    <w:rsid w:val="00940EEA"/>
    <w:rsid w:val="00941851"/>
    <w:rsid w:val="00944AE5"/>
    <w:rsid w:val="00987A6A"/>
    <w:rsid w:val="0099397E"/>
    <w:rsid w:val="009A3409"/>
    <w:rsid w:val="009A4E63"/>
    <w:rsid w:val="009B3E88"/>
    <w:rsid w:val="009C498B"/>
    <w:rsid w:val="009C4CEE"/>
    <w:rsid w:val="009D2FB0"/>
    <w:rsid w:val="009E4AE6"/>
    <w:rsid w:val="009F13FC"/>
    <w:rsid w:val="009F5BBD"/>
    <w:rsid w:val="00A20819"/>
    <w:rsid w:val="00A227CC"/>
    <w:rsid w:val="00A27ED4"/>
    <w:rsid w:val="00A32381"/>
    <w:rsid w:val="00A376CB"/>
    <w:rsid w:val="00A44EC0"/>
    <w:rsid w:val="00A5476A"/>
    <w:rsid w:val="00A65912"/>
    <w:rsid w:val="00A65E81"/>
    <w:rsid w:val="00A660EC"/>
    <w:rsid w:val="00A80826"/>
    <w:rsid w:val="00A830A4"/>
    <w:rsid w:val="00A85F3B"/>
    <w:rsid w:val="00AA5E9B"/>
    <w:rsid w:val="00AA7653"/>
    <w:rsid w:val="00AB029B"/>
    <w:rsid w:val="00AB7CAE"/>
    <w:rsid w:val="00AD72C0"/>
    <w:rsid w:val="00AF0070"/>
    <w:rsid w:val="00AF15E4"/>
    <w:rsid w:val="00AF2A6F"/>
    <w:rsid w:val="00B01E07"/>
    <w:rsid w:val="00B40227"/>
    <w:rsid w:val="00B53D57"/>
    <w:rsid w:val="00B568BA"/>
    <w:rsid w:val="00B60F7B"/>
    <w:rsid w:val="00B6318F"/>
    <w:rsid w:val="00B67191"/>
    <w:rsid w:val="00BA25F9"/>
    <w:rsid w:val="00BA47F0"/>
    <w:rsid w:val="00BA7ED8"/>
    <w:rsid w:val="00BC2018"/>
    <w:rsid w:val="00BC4945"/>
    <w:rsid w:val="00BD59C2"/>
    <w:rsid w:val="00BF19EB"/>
    <w:rsid w:val="00BF684B"/>
    <w:rsid w:val="00C213E9"/>
    <w:rsid w:val="00C215C6"/>
    <w:rsid w:val="00C23E50"/>
    <w:rsid w:val="00C358A0"/>
    <w:rsid w:val="00C40402"/>
    <w:rsid w:val="00C4058B"/>
    <w:rsid w:val="00C41EF6"/>
    <w:rsid w:val="00C424E8"/>
    <w:rsid w:val="00C47F28"/>
    <w:rsid w:val="00C51CA8"/>
    <w:rsid w:val="00C56C27"/>
    <w:rsid w:val="00C616BB"/>
    <w:rsid w:val="00C62F57"/>
    <w:rsid w:val="00C6437A"/>
    <w:rsid w:val="00C66E50"/>
    <w:rsid w:val="00C67028"/>
    <w:rsid w:val="00C76A70"/>
    <w:rsid w:val="00C8153D"/>
    <w:rsid w:val="00C8242E"/>
    <w:rsid w:val="00C8249E"/>
    <w:rsid w:val="00C873F2"/>
    <w:rsid w:val="00C90B74"/>
    <w:rsid w:val="00C92587"/>
    <w:rsid w:val="00C961F1"/>
    <w:rsid w:val="00C97382"/>
    <w:rsid w:val="00CA0561"/>
    <w:rsid w:val="00CA125C"/>
    <w:rsid w:val="00CA523F"/>
    <w:rsid w:val="00CB1BEF"/>
    <w:rsid w:val="00CB42BB"/>
    <w:rsid w:val="00CD52C0"/>
    <w:rsid w:val="00CE1DD5"/>
    <w:rsid w:val="00CF0939"/>
    <w:rsid w:val="00CF38E2"/>
    <w:rsid w:val="00D01B8F"/>
    <w:rsid w:val="00D04586"/>
    <w:rsid w:val="00D1608D"/>
    <w:rsid w:val="00D21E56"/>
    <w:rsid w:val="00D254C3"/>
    <w:rsid w:val="00D2579B"/>
    <w:rsid w:val="00D36A3E"/>
    <w:rsid w:val="00D4435A"/>
    <w:rsid w:val="00D674D6"/>
    <w:rsid w:val="00D774F1"/>
    <w:rsid w:val="00D92037"/>
    <w:rsid w:val="00D9653C"/>
    <w:rsid w:val="00DA29B6"/>
    <w:rsid w:val="00DB3A29"/>
    <w:rsid w:val="00DB4981"/>
    <w:rsid w:val="00DD16C3"/>
    <w:rsid w:val="00DD5FD3"/>
    <w:rsid w:val="00DD661B"/>
    <w:rsid w:val="00DF209D"/>
    <w:rsid w:val="00DF75C1"/>
    <w:rsid w:val="00E16680"/>
    <w:rsid w:val="00E31C3A"/>
    <w:rsid w:val="00E33486"/>
    <w:rsid w:val="00E34C5D"/>
    <w:rsid w:val="00E36156"/>
    <w:rsid w:val="00E37370"/>
    <w:rsid w:val="00E43E81"/>
    <w:rsid w:val="00E54D02"/>
    <w:rsid w:val="00E6077C"/>
    <w:rsid w:val="00E63874"/>
    <w:rsid w:val="00E80B2B"/>
    <w:rsid w:val="00E95915"/>
    <w:rsid w:val="00EA0732"/>
    <w:rsid w:val="00EA4951"/>
    <w:rsid w:val="00EA4F81"/>
    <w:rsid w:val="00EB3C20"/>
    <w:rsid w:val="00EB4179"/>
    <w:rsid w:val="00EB6275"/>
    <w:rsid w:val="00EB6717"/>
    <w:rsid w:val="00EB699B"/>
    <w:rsid w:val="00EC46DB"/>
    <w:rsid w:val="00EC4A21"/>
    <w:rsid w:val="00EF69F0"/>
    <w:rsid w:val="00EF6FA7"/>
    <w:rsid w:val="00EF75B3"/>
    <w:rsid w:val="00F04F0B"/>
    <w:rsid w:val="00F209D6"/>
    <w:rsid w:val="00F310AE"/>
    <w:rsid w:val="00F34181"/>
    <w:rsid w:val="00F474CC"/>
    <w:rsid w:val="00F578EB"/>
    <w:rsid w:val="00F63373"/>
    <w:rsid w:val="00F82546"/>
    <w:rsid w:val="00F83E1F"/>
    <w:rsid w:val="00F86B2F"/>
    <w:rsid w:val="00F9720E"/>
    <w:rsid w:val="00F97229"/>
    <w:rsid w:val="00F97DF9"/>
    <w:rsid w:val="00FB5C43"/>
    <w:rsid w:val="00FC0C65"/>
    <w:rsid w:val="00FC1DBE"/>
    <w:rsid w:val="00FC3634"/>
    <w:rsid w:val="00FC4FA5"/>
    <w:rsid w:val="00FD262F"/>
    <w:rsid w:val="00FD50DE"/>
    <w:rsid w:val="00FF3036"/>
    <w:rsid w:val="00FF5A17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B3D1"/>
  <w15:chartTrackingRefBased/>
  <w15:docId w15:val="{0B457CA1-13DC-45E5-AC50-E49A58C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76A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816A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AE"/>
    <w:pPr>
      <w:ind w:left="720"/>
      <w:contextualSpacing/>
    </w:pPr>
  </w:style>
  <w:style w:type="table" w:styleId="Tabelasiatki4">
    <w:name w:val="Grid Table 4"/>
    <w:basedOn w:val="Standardowy"/>
    <w:uiPriority w:val="49"/>
    <w:rsid w:val="00C62F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62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2F5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2F57"/>
    <w:rPr>
      <w:sz w:val="20"/>
      <w:szCs w:val="20"/>
    </w:rPr>
  </w:style>
  <w:style w:type="paragraph" w:styleId="Poprawka">
    <w:name w:val="Revision"/>
    <w:hidden/>
    <w:uiPriority w:val="99"/>
    <w:semiHidden/>
    <w:rsid w:val="00933BEE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BEE"/>
    <w:pPr>
      <w:spacing w:after="0"/>
      <w:ind w:firstLine="708"/>
      <w:jc w:val="both"/>
    </w:pPr>
    <w:rPr>
      <w:rFonts w:ascii="Verdana" w:eastAsia="Times New Roman" w:hAnsi="Verdana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BEE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8F1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2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1A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0D"/>
    <w:rPr>
      <w:rFonts w:ascii="Verdana" w:eastAsia="Times New Roman" w:hAnsi="Verdana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A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0D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locked/>
    <w:rsid w:val="00375E8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375E85"/>
    <w:pPr>
      <w:numPr>
        <w:numId w:val="2"/>
      </w:numPr>
      <w:overflowPunct w:val="0"/>
      <w:autoSpaceDE w:val="0"/>
      <w:autoSpaceDN w:val="0"/>
      <w:adjustRightInd w:val="0"/>
      <w:spacing w:after="240" w:line="240" w:lineRule="auto"/>
    </w:pPr>
    <w:rPr>
      <w:rFonts w:ascii="Arial" w:hAnsi="Arial" w:cs="Arial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A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6A0B"/>
    <w:rPr>
      <w:b/>
      <w:bCs/>
    </w:rPr>
  </w:style>
  <w:style w:type="table" w:styleId="Tabela-Siatka">
    <w:name w:val="Table Grid"/>
    <w:basedOn w:val="Standardowy"/>
    <w:uiPriority w:val="59"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75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3707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443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14304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390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03499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28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1885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868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4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69962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53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01734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252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39058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24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40093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26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15939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2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07728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7061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45089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47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14902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43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47897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50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377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73889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73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4520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52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69887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838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7738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5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476">
          <w:marLeft w:val="2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yperlink" Target="http://www.dmtf.org/standards/mgmt/da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tf.org/standards/wsm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ocertified.com/product-find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/g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8F9C-B6D9-401E-9176-60E78705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8</Pages>
  <Words>2423</Words>
  <Characters>14542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Janicka Magdalena</cp:lastModifiedBy>
  <cp:revision>61</cp:revision>
  <dcterms:created xsi:type="dcterms:W3CDTF">2023-02-07T09:17:00Z</dcterms:created>
  <dcterms:modified xsi:type="dcterms:W3CDTF">2023-03-15T12:49:00Z</dcterms:modified>
</cp:coreProperties>
</file>