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B7" w:rsidRDefault="005F6C4D" w:rsidP="005F10B7">
      <w:pPr>
        <w:rPr>
          <w:rFonts w:asciiTheme="minorHAnsi" w:hAnsiTheme="minorHAnsi" w:cstheme="minorHAnsi"/>
          <w:b/>
          <w:sz w:val="22"/>
          <w:szCs w:val="22"/>
        </w:rPr>
      </w:pPr>
      <w:r w:rsidRPr="003B42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F10B7" w:rsidRPr="005F10B7" w:rsidRDefault="005F10B7" w:rsidP="005F10B7">
      <w:pPr>
        <w:tabs>
          <w:tab w:val="left" w:pos="6379"/>
        </w:tabs>
        <w:suppressAutoHyphens/>
        <w:autoSpaceDN w:val="0"/>
        <w:rPr>
          <w:rFonts w:ascii="Calibri" w:hAnsi="Calibri" w:cs="Calibri"/>
          <w:b/>
          <w:kern w:val="3"/>
          <w:lang w:eastAsia="zh-CN"/>
        </w:rPr>
      </w:pPr>
      <w:r w:rsidRPr="005F10B7">
        <w:rPr>
          <w:rFonts w:ascii="Calibri" w:hAnsi="Calibri" w:cs="Calibri"/>
          <w:b/>
          <w:kern w:val="3"/>
          <w:lang w:eastAsia="zh-CN"/>
        </w:rPr>
        <w:t>Załącznik nr 2</w:t>
      </w:r>
      <w:r>
        <w:rPr>
          <w:rFonts w:ascii="Calibri" w:hAnsi="Calibri" w:cs="Calibri"/>
          <w:b/>
          <w:kern w:val="3"/>
          <w:lang w:eastAsia="zh-CN"/>
        </w:rPr>
        <w:t>.1</w:t>
      </w:r>
      <w:r w:rsidRPr="005F10B7">
        <w:rPr>
          <w:rFonts w:ascii="Calibri" w:hAnsi="Calibri" w:cs="Calibri"/>
          <w:b/>
          <w:kern w:val="3"/>
          <w:lang w:eastAsia="zh-CN"/>
        </w:rPr>
        <w:t xml:space="preserve"> – Kosztorys ofertowy </w:t>
      </w:r>
    </w:p>
    <w:p w:rsidR="005F10B7" w:rsidRPr="005F10B7" w:rsidRDefault="005F10B7" w:rsidP="005F10B7">
      <w:pPr>
        <w:rPr>
          <w:rFonts w:ascii="Calibri" w:hAnsi="Calibri" w:cs="Calibri"/>
          <w:b/>
          <w:color w:val="00000A"/>
          <w:kern w:val="2"/>
          <w:lang w:eastAsia="ar-SA"/>
        </w:rPr>
      </w:pPr>
      <w:r w:rsidRPr="005F10B7">
        <w:rPr>
          <w:rFonts w:ascii="Calibri" w:hAnsi="Calibri" w:cs="Calibri"/>
          <w:b/>
        </w:rPr>
        <w:t>Część 1 –</w:t>
      </w:r>
      <w:r w:rsidRPr="005F10B7">
        <w:rPr>
          <w:rFonts w:ascii="Calibri" w:hAnsi="Calibri" w:cs="Calibri"/>
          <w:b/>
          <w:color w:val="00000A"/>
          <w:kern w:val="2"/>
          <w:lang w:eastAsia="ar-SA"/>
        </w:rPr>
        <w:t xml:space="preserve"> Zestawy diagnostyczne do oceny bloczków parafinowych.    </w:t>
      </w:r>
    </w:p>
    <w:p w:rsidR="00881C39" w:rsidRPr="003B4229" w:rsidRDefault="00881C39" w:rsidP="00132DB5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6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678"/>
        <w:gridCol w:w="2410"/>
        <w:gridCol w:w="1842"/>
        <w:gridCol w:w="851"/>
        <w:gridCol w:w="1276"/>
        <w:gridCol w:w="1984"/>
      </w:tblGrid>
      <w:tr w:rsidR="00B041F0" w:rsidRPr="003B4229" w:rsidTr="00B041F0">
        <w:trPr>
          <w:trHeight w:val="662"/>
        </w:trPr>
        <w:tc>
          <w:tcPr>
            <w:tcW w:w="634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41F0" w:rsidRPr="003B4229" w:rsidRDefault="00B041F0" w:rsidP="005F6C4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41F0" w:rsidRPr="003B4229" w:rsidRDefault="00B041F0" w:rsidP="005F6C4D">
            <w:pPr>
              <w:snapToGrid w:val="0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41F0" w:rsidRPr="003B4229" w:rsidRDefault="00B041F0" w:rsidP="005F6C4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Liczba oznaczeń w okresie 12 miesięcy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1F0" w:rsidRPr="003B4229" w:rsidRDefault="00B041F0" w:rsidP="005F6C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Cena jedn. brutto za opakowanie*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1F0" w:rsidRPr="003B4229" w:rsidRDefault="00B041F0" w:rsidP="005F6C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VAT</w:t>
            </w:r>
          </w:p>
          <w:p w:rsidR="00B041F0" w:rsidRPr="003B4229" w:rsidRDefault="00B041F0" w:rsidP="005F6C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1F0" w:rsidRPr="003B4229" w:rsidRDefault="00B041F0" w:rsidP="005F6C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brutto*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1F0" w:rsidRPr="003B4229" w:rsidRDefault="00B041F0" w:rsidP="005F6C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Producent/</w:t>
            </w:r>
            <w:r w:rsidRPr="003B4229">
              <w:rPr>
                <w:rFonts w:asciiTheme="minorHAnsi" w:hAnsiTheme="minorHAnsi" w:cstheme="minorHAnsi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br/>
              <w:t>nazwa handlowa/</w:t>
            </w:r>
            <w:r w:rsidRPr="003B4229">
              <w:rPr>
                <w:rFonts w:asciiTheme="minorHAnsi" w:hAnsiTheme="minorHAnsi" w:cstheme="minorHAnsi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br/>
              <w:t>numer katalogowy*</w:t>
            </w:r>
          </w:p>
        </w:tc>
      </w:tr>
      <w:tr w:rsidR="00F15B2B" w:rsidRPr="003B4229" w:rsidTr="00B041F0">
        <w:trPr>
          <w:trHeight w:val="342"/>
        </w:trPr>
        <w:tc>
          <w:tcPr>
            <w:tcW w:w="6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B2B" w:rsidRPr="003B4229" w:rsidRDefault="00F15B2B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B2B" w:rsidRPr="003B4229" w:rsidRDefault="00F15B2B" w:rsidP="00F15B2B">
            <w:pP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 diagnostyczny in vitro do w</w:t>
            </w: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ykrywani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 xml:space="preserve"> metodą jakościową mutacji w kodonach 12, 13, 59, 61, 117 i 146 onkogenu KRAS. Test wykorzystujący utrwalone w formalinie i zatopione w parafinie (FFPE) ludzkie tkanki nowotworowe do izolacji DNA i przeprowadzenia real </w:t>
            </w:r>
            <w:proofErr w:type="spellStart"/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proofErr w:type="spellEnd"/>
            <w:r w:rsidRPr="003B4229">
              <w:rPr>
                <w:rFonts w:asciiTheme="minorHAnsi" w:hAnsiTheme="minorHAnsi" w:cstheme="minorHAnsi"/>
                <w:sz w:val="22"/>
                <w:szCs w:val="22"/>
              </w:rPr>
              <w:t xml:space="preserve"> PCR oraz wykrywania poszukiwanych sekwencji, czułość oznaczenia : 5% komórek zmutowanych w populacji dzikiej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czas badania do 140 minut</w:t>
            </w:r>
            <w:r w:rsidR="00413C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B2B" w:rsidRPr="003B4229" w:rsidRDefault="00F15B2B" w:rsidP="007E1EC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1 op - 6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B2B" w:rsidRPr="003B4229" w:rsidRDefault="00F15B2B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B2B" w:rsidRPr="003B4229" w:rsidRDefault="00F15B2B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B2B" w:rsidRPr="003B4229" w:rsidRDefault="00F15B2B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B2B" w:rsidRPr="003B4229" w:rsidRDefault="00F15B2B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15B2B" w:rsidRPr="003B4229" w:rsidTr="00B041F0">
        <w:trPr>
          <w:trHeight w:val="342"/>
        </w:trPr>
        <w:tc>
          <w:tcPr>
            <w:tcW w:w="6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B2B" w:rsidRPr="003B4229" w:rsidRDefault="00F15B2B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B2B" w:rsidRPr="003B4229" w:rsidRDefault="00F15B2B" w:rsidP="00413C87">
            <w:pP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 diagnostyczny in vitro do w</w:t>
            </w: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ykrywani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 xml:space="preserve"> metodą jakościową</w:t>
            </w: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</w:t>
            </w: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mutacji </w:t>
            </w:r>
            <w:r w:rsidR="00413C87" w:rsidRPr="003B4229">
              <w:rPr>
                <w:rFonts w:asciiTheme="minorHAnsi" w:hAnsiTheme="minorHAnsi" w:cstheme="minorHAnsi"/>
                <w:sz w:val="22"/>
                <w:szCs w:val="22"/>
              </w:rPr>
              <w:t xml:space="preserve">V600/E2/D i V600K/R/M w kodonie 600 genu BRAF: test wykorzystuje DNA wydzielone z utwardzonych w parafinie (FFPE) fragmentów tkanek zawierających komórki nowotworowe, test polegający na uzyskaniu wyniku z próbki za pomocą real </w:t>
            </w:r>
            <w:proofErr w:type="spellStart"/>
            <w:r w:rsidR="00413C87" w:rsidRPr="003B4229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proofErr w:type="spellEnd"/>
            <w:r w:rsidR="00413C87" w:rsidRPr="003B4229">
              <w:rPr>
                <w:rFonts w:asciiTheme="minorHAnsi" w:hAnsiTheme="minorHAnsi" w:cstheme="minorHAnsi"/>
                <w:sz w:val="22"/>
                <w:szCs w:val="22"/>
              </w:rPr>
              <w:t xml:space="preserve"> PCR, czułość oznaczenia: 1% komórek zmutowanych w populacji dzikiej</w:t>
            </w:r>
            <w:r w:rsidR="00413C87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, czas badania do 90 minut.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B2B" w:rsidRPr="003B4229" w:rsidRDefault="00413C87" w:rsidP="007E1EC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1 op - 6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B2B" w:rsidRPr="003B4229" w:rsidRDefault="00F15B2B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B2B" w:rsidRPr="003B4229" w:rsidRDefault="00F15B2B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B2B" w:rsidRPr="003B4229" w:rsidRDefault="00F15B2B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B2B" w:rsidRPr="003B4229" w:rsidRDefault="00F15B2B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13C87" w:rsidRPr="003B4229" w:rsidTr="00B041F0">
        <w:trPr>
          <w:trHeight w:val="342"/>
        </w:trPr>
        <w:tc>
          <w:tcPr>
            <w:tcW w:w="6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C87" w:rsidRPr="003B4229" w:rsidRDefault="00413C87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C87" w:rsidRPr="003B4229" w:rsidRDefault="00413C87" w:rsidP="0001639B">
            <w:pP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 diagnostyczny in vitro do w</w:t>
            </w: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ykrywani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 xml:space="preserve"> metodą jakościową mutacji w kodonach 12, 13, 59, 61, 117, 146 NRAS oraz w kodonie V600E/D/K/R BRAF. Test wykorzystuje utrwalone w formalinie i zatopione w parafinie (FFPE) ludzkie tkanki nowotworowe do izolacji DNA i przeprowadzenia łańcuchowej reakcji polimerazy (PCR) w czasie rzeczywistym oraz wykrywania poszukiwanych sekwencji, czułość oznaczenia: 5% komórek </w:t>
            </w:r>
            <w:r w:rsidRPr="003B42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zmutowanych w populacji dzikiej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czas badania do 150minut.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C87" w:rsidRPr="003B4229" w:rsidRDefault="00413C87" w:rsidP="007E1EC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1 op - 6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C87" w:rsidRPr="003B4229" w:rsidRDefault="00413C87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C87" w:rsidRPr="003B4229" w:rsidRDefault="00413C87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C87" w:rsidRPr="003B4229" w:rsidRDefault="00413C87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C87" w:rsidRPr="003B4229" w:rsidRDefault="00413C87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13C87" w:rsidRPr="003B4229" w:rsidTr="00B041F0">
        <w:trPr>
          <w:trHeight w:val="342"/>
        </w:trPr>
        <w:tc>
          <w:tcPr>
            <w:tcW w:w="6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C87" w:rsidRPr="003B4229" w:rsidRDefault="00413C87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C87" w:rsidRPr="003B4229" w:rsidRDefault="00413C87" w:rsidP="0001639B">
            <w:pP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Test diagnostyczny in vitro do wykrywania metodą jakościową mutacji</w:t>
            </w: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w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eksonie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18 (G719A/S/C),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eksonie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21 (L858R, L861Q),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eksonie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20 (T790M, S768I), delecji w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eksonie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19 oraz insercji w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eksonie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20 genu EGFR w czasie nie dłuższym niż 150 min od aplikacji skrawka parafinowego</w:t>
            </w:r>
            <w:r w:rsidR="00E3709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(próbka) do uzyskania wyniku 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C87" w:rsidRPr="003B4229" w:rsidRDefault="00413C87" w:rsidP="00B96A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1 op - 6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C87" w:rsidRPr="003B4229" w:rsidRDefault="00413C87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C87" w:rsidRPr="003B4229" w:rsidRDefault="00413C87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C87" w:rsidRPr="003B4229" w:rsidRDefault="00413C87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C87" w:rsidRPr="003B4229" w:rsidRDefault="00413C87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041F0" w:rsidRPr="003B4229" w:rsidTr="00B041F0">
        <w:trPr>
          <w:trHeight w:val="342"/>
        </w:trPr>
        <w:tc>
          <w:tcPr>
            <w:tcW w:w="6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41F0" w:rsidRPr="003B4229" w:rsidRDefault="00B041F0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1F0" w:rsidRPr="003B4229" w:rsidRDefault="00E37099" w:rsidP="00E3709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Test diagnostyczny in vitro do wykrywania metodą jakościową </w:t>
            </w: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fuzji genowych ALK, ROS1, RET. Test wykorzystujący utrwalone w formalinie i zatopione w parafinie (FFPE) wycinki tkanki nowotworowej od pacjentów z nie drobnokomórkowym rakiem płuca, test obejmujący cały proces od prób</w:t>
            </w:r>
            <w:r w:rsidR="00B96A12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ki do wyniku, w tym zintegrowaną</w:t>
            </w: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ekstrakcję</w:t>
            </w:r>
            <w:r w:rsidR="00B96A12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RNA i DNA, odwrotną</w:t>
            </w: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transakcję mRNA, amplifikację i detekcję PCR w czasie rzeczywistym, analizę danych oraz raportowanie wyników, czas badania do 190 minut.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1F0" w:rsidRPr="003B4229" w:rsidRDefault="00E37099" w:rsidP="00B96A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1 op - 6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041F0" w:rsidRPr="003B4229" w:rsidTr="00B041F0">
        <w:tc>
          <w:tcPr>
            <w:tcW w:w="6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41F0" w:rsidRPr="003B4229" w:rsidRDefault="00B041F0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1F0" w:rsidRPr="003B4229" w:rsidRDefault="00E37099" w:rsidP="00E3709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Test diagnostyczny in vitro do wykrywania metodą jakościową fuzji genowych </w:t>
            </w: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NTRK1/2/3, MET,</w:t>
            </w: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ROS1, RET. Test wykorzystujący utrwalone w formalinie i zatopione w parafinie (FFPE) wycinki tkanki nowotworowej od pacjentów z </w:t>
            </w: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zaawansowanym rakiem różnych narządów</w:t>
            </w: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, test obejmujący cały proces od prób</w:t>
            </w:r>
            <w:r w:rsidR="00B96A12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ki do wyniku, w tym zintegrowaną</w:t>
            </w: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ekstrakcję</w:t>
            </w:r>
            <w:r w:rsidR="00B96A12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RNA i DNA, odwrotną</w:t>
            </w: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transakcję mRNA, amplifikację i detekcję PCR w czasie rzeczywistym, analizę danych oraz raportowanie wyników, czas badania do 190 minut.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1F0" w:rsidRPr="003B4229" w:rsidRDefault="00B041F0" w:rsidP="00B96A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1 op. – 6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284A8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284A8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284A8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284A8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041F0" w:rsidRPr="003B4229" w:rsidTr="00B041F0">
        <w:tc>
          <w:tcPr>
            <w:tcW w:w="6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41F0" w:rsidRPr="003B4229" w:rsidRDefault="00B041F0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1F0" w:rsidRDefault="00B96A12" w:rsidP="00AD5C4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Test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diagnostyczny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in vitro do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oznaczania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niestabilności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mikrosatelitarnych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(MSI)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wykrywanie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metodą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jakościową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panelu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siedmiu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monomorficznych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biomarkerów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identyfikacji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nistabilności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mikrosatelitarnej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(MSI)</w:t>
            </w:r>
          </w:p>
          <w:p w:rsidR="00B96A12" w:rsidRPr="003B4229" w:rsidRDefault="00B96A12" w:rsidP="00AD5C4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360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– 1op=6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1F0" w:rsidRPr="003B4229" w:rsidRDefault="00B96A12" w:rsidP="007E1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lastRenderedPageBreak/>
              <w:t>60</w:t>
            </w:r>
            <w:r w:rsidR="00B041F0"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op.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(1op.</w:t>
            </w:r>
            <w:r w:rsidR="00B041F0"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– 6 </w:t>
            </w:r>
            <w:proofErr w:type="spellStart"/>
            <w:r w:rsidR="00B041F0"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041F0" w:rsidRPr="003B4229" w:rsidTr="00B041F0">
        <w:tc>
          <w:tcPr>
            <w:tcW w:w="6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41F0" w:rsidRPr="003B4229" w:rsidRDefault="00B041F0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1F0" w:rsidRPr="003B4229" w:rsidRDefault="00B96A12" w:rsidP="00B96A12">
            <w:pP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 do jakościowego w</w:t>
            </w: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ykrywania pięciu mutacji IDH1 w kodonie R132: R132C/H/G/S/L, czterech mutacji IDH2 w kodonie R140: R140Q/L/G/W i sześciu mutacji IDH2 w kodonie R172: R172K/M/G/S/W. Wykorzystuje DNA wyekstrahowane z próbek FFPE, krwi lub ludzkiego szpiku kostnego. Test obejmujący cały proces od próbki do wyniku, czas badania ok. 100 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1F0" w:rsidRPr="003B4229" w:rsidRDefault="00B96A12" w:rsidP="007E1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</w:t>
            </w:r>
            <w:r w:rsidR="005F10B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B041F0"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op.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(1op</w:t>
            </w:r>
            <w:r w:rsidR="00B041F0"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-  6 </w:t>
            </w:r>
            <w:proofErr w:type="spellStart"/>
            <w:r w:rsidR="00B041F0"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041F0" w:rsidRPr="003B4229" w:rsidTr="00B041F0">
        <w:tc>
          <w:tcPr>
            <w:tcW w:w="6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41F0" w:rsidRPr="003B4229" w:rsidRDefault="00B041F0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1F0" w:rsidRPr="003B4229" w:rsidRDefault="00B96A12" w:rsidP="00AD5C44">
            <w:pP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Test do jakościowego wykrywania mutacji w zakresie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eksonów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18,19,20,21 genu EGFR w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wolnokrażącym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DNA nowotworowym (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ctDNA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) w osoczu krwi. Obejmuje izolację</w:t>
            </w:r>
            <w:r w:rsidR="005F10B7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, amplifikację i wykrywanie produktu PCR w czasie rzeczywistym, analizę danych oraz raportowanie wyników, czas badania ok 160 minut.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1F0" w:rsidRPr="003B4229" w:rsidRDefault="00B041F0" w:rsidP="007E1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1 op.  – 6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041F0" w:rsidRPr="003B4229" w:rsidTr="00B041F0">
        <w:tc>
          <w:tcPr>
            <w:tcW w:w="6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41F0" w:rsidRPr="003B4229" w:rsidRDefault="00B041F0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1F0" w:rsidRPr="003B4229" w:rsidRDefault="00B041F0" w:rsidP="007E1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Bibuła filtracyjna, jakościowa, klasa 1, okrągła – 10 mm, 1000 szt. (1op.=500 sztuk) 500zł</w:t>
            </w:r>
          </w:p>
          <w:p w:rsidR="00B041F0" w:rsidRPr="003B4229" w:rsidRDefault="00B041F0" w:rsidP="004A35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1F0" w:rsidRPr="003B4229" w:rsidRDefault="00B96A12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 op.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041F0" w:rsidRPr="003B4229" w:rsidTr="00B041F0">
        <w:trPr>
          <w:gridAfter w:val="1"/>
          <w:wAfter w:w="1984" w:type="dxa"/>
        </w:trPr>
        <w:tc>
          <w:tcPr>
            <w:tcW w:w="1041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41F0" w:rsidRPr="003B4229" w:rsidRDefault="00B041F0" w:rsidP="005F6C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Razem brutto: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1F0" w:rsidRPr="003B4229" w:rsidRDefault="00B041F0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881C39" w:rsidRPr="003B4229" w:rsidRDefault="00881C39" w:rsidP="00881C39">
      <w:pPr>
        <w:rPr>
          <w:rFonts w:asciiTheme="minorHAnsi" w:hAnsiTheme="minorHAnsi" w:cstheme="minorHAnsi"/>
          <w:sz w:val="22"/>
          <w:szCs w:val="22"/>
        </w:rPr>
      </w:pPr>
    </w:p>
    <w:p w:rsidR="008A6D06" w:rsidRPr="003B4229" w:rsidRDefault="00132DB5" w:rsidP="003B4229">
      <w:pPr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D5C44" w:rsidRPr="003B4229" w:rsidRDefault="00AD5C44" w:rsidP="005F6C4D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FF0353" w:rsidRPr="003B4229" w:rsidRDefault="00FF0353" w:rsidP="00FF0353">
      <w:pPr>
        <w:spacing w:after="120"/>
        <w:ind w:left="4500"/>
        <w:jc w:val="center"/>
        <w:rPr>
          <w:rFonts w:asciiTheme="minorHAnsi" w:hAnsiTheme="minorHAnsi" w:cstheme="minorHAnsi"/>
          <w:sz w:val="22"/>
          <w:szCs w:val="22"/>
        </w:rPr>
      </w:pPr>
    </w:p>
    <w:p w:rsidR="00FF0353" w:rsidRPr="003B4229" w:rsidRDefault="00FF0353" w:rsidP="00FF0353">
      <w:pPr>
        <w:spacing w:after="120"/>
        <w:ind w:left="4500"/>
        <w:jc w:val="center"/>
        <w:rPr>
          <w:rFonts w:asciiTheme="minorHAnsi" w:hAnsiTheme="minorHAnsi" w:cstheme="minorHAnsi"/>
          <w:sz w:val="22"/>
          <w:szCs w:val="22"/>
        </w:rPr>
      </w:pPr>
    </w:p>
    <w:p w:rsidR="00FF0353" w:rsidRPr="003B4229" w:rsidRDefault="00FF0353" w:rsidP="00FF0353">
      <w:pPr>
        <w:rPr>
          <w:rFonts w:asciiTheme="minorHAnsi" w:hAnsiTheme="minorHAnsi" w:cstheme="minorHAnsi"/>
          <w:sz w:val="22"/>
          <w:szCs w:val="22"/>
        </w:rPr>
      </w:pPr>
    </w:p>
    <w:p w:rsidR="00851A07" w:rsidRPr="003B4229" w:rsidRDefault="00851A07" w:rsidP="00B041F0">
      <w:pPr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i/>
          <w:iCs/>
          <w:kern w:val="2"/>
          <w:sz w:val="22"/>
          <w:szCs w:val="22"/>
          <w:lang w:eastAsia="zh-CN"/>
        </w:rPr>
        <w:t>(</w:t>
      </w:r>
      <w:r w:rsidRPr="003B4229">
        <w:rPr>
          <w:rFonts w:asciiTheme="minorHAnsi" w:hAnsiTheme="minorHAnsi" w:cstheme="minorHAnsi"/>
          <w:sz w:val="22"/>
          <w:szCs w:val="22"/>
        </w:rPr>
        <w:t>podpis kwalifikowany/ zaufany/ elektroniczny podpis osobisty</w:t>
      </w:r>
      <w:r w:rsidRPr="003B4229">
        <w:rPr>
          <w:rFonts w:asciiTheme="minorHAnsi" w:hAnsiTheme="minorHAnsi" w:cstheme="minorHAnsi"/>
          <w:i/>
          <w:iCs/>
          <w:kern w:val="2"/>
          <w:sz w:val="22"/>
          <w:szCs w:val="22"/>
          <w:lang w:eastAsia="zh-CN"/>
        </w:rPr>
        <w:t>)</w:t>
      </w:r>
    </w:p>
    <w:p w:rsidR="00790586" w:rsidRDefault="00790586" w:rsidP="00B041F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F10B7" w:rsidRDefault="005F10B7" w:rsidP="00B041F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F10B7" w:rsidRDefault="005F10B7" w:rsidP="00B041F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F10B7" w:rsidRDefault="005F10B7" w:rsidP="00B041F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F10B7" w:rsidRDefault="005F10B7" w:rsidP="00B041F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F10B7" w:rsidRDefault="005F10B7" w:rsidP="00B041F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F10B7" w:rsidRPr="005F10B7" w:rsidRDefault="005F10B7" w:rsidP="005F10B7">
      <w:pPr>
        <w:tabs>
          <w:tab w:val="left" w:pos="6379"/>
        </w:tabs>
        <w:suppressAutoHyphens/>
        <w:autoSpaceDN w:val="0"/>
        <w:rPr>
          <w:rFonts w:ascii="Calibri" w:hAnsi="Calibri" w:cs="Calibri"/>
          <w:b/>
          <w:kern w:val="3"/>
          <w:lang w:eastAsia="zh-CN"/>
        </w:rPr>
      </w:pPr>
      <w:r w:rsidRPr="005F10B7">
        <w:rPr>
          <w:rFonts w:ascii="Calibri" w:hAnsi="Calibri" w:cs="Calibri"/>
          <w:b/>
          <w:kern w:val="3"/>
          <w:lang w:eastAsia="zh-CN"/>
        </w:rPr>
        <w:t>Załącznik nr 2</w:t>
      </w:r>
      <w:r>
        <w:rPr>
          <w:rFonts w:ascii="Calibri" w:hAnsi="Calibri" w:cs="Calibri"/>
          <w:b/>
          <w:kern w:val="3"/>
          <w:lang w:eastAsia="zh-CN"/>
        </w:rPr>
        <w:t>.</w:t>
      </w:r>
      <w:r>
        <w:rPr>
          <w:rFonts w:ascii="Calibri" w:hAnsi="Calibri" w:cs="Calibri"/>
          <w:b/>
          <w:kern w:val="3"/>
          <w:lang w:eastAsia="zh-CN"/>
        </w:rPr>
        <w:t>2</w:t>
      </w:r>
      <w:r w:rsidRPr="005F10B7">
        <w:rPr>
          <w:rFonts w:ascii="Calibri" w:hAnsi="Calibri" w:cs="Calibri"/>
          <w:b/>
          <w:kern w:val="3"/>
          <w:lang w:eastAsia="zh-CN"/>
        </w:rPr>
        <w:t xml:space="preserve"> – Kosztorys ofertowy </w:t>
      </w:r>
    </w:p>
    <w:p w:rsidR="005F10B7" w:rsidRDefault="005F10B7" w:rsidP="005F10B7">
      <w:pPr>
        <w:tabs>
          <w:tab w:val="left" w:pos="1134"/>
          <w:tab w:val="left" w:pos="1960"/>
        </w:tabs>
        <w:rPr>
          <w:rFonts w:ascii="Calibri" w:hAnsi="Calibri" w:cs="Calibri"/>
          <w:b/>
          <w:color w:val="00000A"/>
          <w:lang w:eastAsia="ar-SA"/>
        </w:rPr>
      </w:pPr>
      <w:r w:rsidRPr="005740C7">
        <w:rPr>
          <w:rFonts w:ascii="Calibri" w:hAnsi="Calibri"/>
          <w:b/>
        </w:rPr>
        <w:t xml:space="preserve">Część 2 – </w:t>
      </w:r>
      <w:r>
        <w:rPr>
          <w:rFonts w:ascii="Calibri" w:hAnsi="Calibri"/>
          <w:b/>
        </w:rPr>
        <w:t xml:space="preserve">Zestawy diagnostyczne do monitorowania poziomu </w:t>
      </w:r>
      <w:proofErr w:type="spellStart"/>
      <w:r>
        <w:rPr>
          <w:rFonts w:ascii="Calibri" w:hAnsi="Calibri"/>
          <w:b/>
        </w:rPr>
        <w:t>transkryptu</w:t>
      </w:r>
      <w:proofErr w:type="spellEnd"/>
      <w:r>
        <w:rPr>
          <w:rFonts w:ascii="Calibri" w:hAnsi="Calibri"/>
          <w:b/>
        </w:rPr>
        <w:t xml:space="preserve"> z wykorzystaniem aparatu </w:t>
      </w:r>
      <w:proofErr w:type="spellStart"/>
      <w:r>
        <w:rPr>
          <w:rFonts w:ascii="Calibri" w:hAnsi="Calibri"/>
          <w:b/>
        </w:rPr>
        <w:t>GenexPERT</w:t>
      </w:r>
      <w:proofErr w:type="spellEnd"/>
      <w:r w:rsidRPr="005740C7">
        <w:rPr>
          <w:rFonts w:ascii="Calibri" w:hAnsi="Calibri" w:cs="Calibri"/>
          <w:b/>
          <w:color w:val="00000A"/>
          <w:kern w:val="2"/>
        </w:rPr>
        <w:t xml:space="preserve"> </w:t>
      </w:r>
      <w:r w:rsidRPr="005740C7">
        <w:rPr>
          <w:rFonts w:ascii="Calibri" w:hAnsi="Calibri" w:cs="Calibri"/>
          <w:b/>
          <w:color w:val="00000A"/>
          <w:lang w:eastAsia="ar-SA"/>
        </w:rPr>
        <w:t xml:space="preserve">       </w:t>
      </w:r>
    </w:p>
    <w:p w:rsidR="005F10B7" w:rsidRDefault="005F10B7" w:rsidP="005F10B7">
      <w:pPr>
        <w:tabs>
          <w:tab w:val="left" w:pos="1134"/>
          <w:tab w:val="left" w:pos="1960"/>
        </w:tabs>
        <w:rPr>
          <w:rFonts w:ascii="Calibri" w:hAnsi="Calibri" w:cs="Calibri"/>
          <w:b/>
          <w:color w:val="00000A"/>
          <w:lang w:eastAsia="ar-SA"/>
        </w:rPr>
      </w:pPr>
    </w:p>
    <w:tbl>
      <w:tblPr>
        <w:tblW w:w="136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678"/>
        <w:gridCol w:w="2410"/>
        <w:gridCol w:w="1842"/>
        <w:gridCol w:w="851"/>
        <w:gridCol w:w="1276"/>
        <w:gridCol w:w="1984"/>
      </w:tblGrid>
      <w:tr w:rsidR="005F10B7" w:rsidRPr="003B4229" w:rsidTr="00715C02">
        <w:trPr>
          <w:trHeight w:val="662"/>
        </w:trPr>
        <w:tc>
          <w:tcPr>
            <w:tcW w:w="634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10B7" w:rsidRPr="003B4229" w:rsidRDefault="005F10B7" w:rsidP="00715C0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10B7" w:rsidRPr="003B4229" w:rsidRDefault="005F10B7" w:rsidP="00715C02">
            <w:pPr>
              <w:snapToGrid w:val="0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0B7" w:rsidRPr="003B4229" w:rsidRDefault="005F10B7" w:rsidP="00715C0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Liczba oznaczeń w okresie 12 miesięcy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B7" w:rsidRPr="003B4229" w:rsidRDefault="005F10B7" w:rsidP="00715C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Cena jedn. brutto za opakowanie*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B7" w:rsidRPr="003B4229" w:rsidRDefault="005F10B7" w:rsidP="00715C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VAT</w:t>
            </w:r>
          </w:p>
          <w:p w:rsidR="005F10B7" w:rsidRPr="003B4229" w:rsidRDefault="005F10B7" w:rsidP="00715C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B7" w:rsidRPr="003B4229" w:rsidRDefault="005F10B7" w:rsidP="00715C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brutto*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B7" w:rsidRPr="003B4229" w:rsidRDefault="005F10B7" w:rsidP="00715C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Producent/</w:t>
            </w:r>
            <w:r w:rsidRPr="003B4229">
              <w:rPr>
                <w:rFonts w:asciiTheme="minorHAnsi" w:hAnsiTheme="minorHAnsi" w:cstheme="minorHAnsi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br/>
              <w:t>nazwa handlowa/</w:t>
            </w:r>
            <w:r w:rsidRPr="003B4229">
              <w:rPr>
                <w:rFonts w:asciiTheme="minorHAnsi" w:hAnsiTheme="minorHAnsi" w:cstheme="minorHAnsi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br/>
              <w:t>numer katalogowy*</w:t>
            </w:r>
          </w:p>
        </w:tc>
      </w:tr>
      <w:tr w:rsidR="005F10B7" w:rsidRPr="003B4229" w:rsidTr="00715C02">
        <w:trPr>
          <w:trHeight w:val="342"/>
        </w:trPr>
        <w:tc>
          <w:tcPr>
            <w:tcW w:w="6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0B7" w:rsidRPr="003B4229" w:rsidRDefault="005F10B7" w:rsidP="005F10B7">
            <w:pPr>
              <w:widowControl w:val="0"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0B7" w:rsidRPr="003B4229" w:rsidRDefault="003A2DDA" w:rsidP="003A2DDA">
            <w:pP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Zestaw do ilościowego oznaczania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transkryptów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p210 genu BCR-ABL w krwi obwodowej do izolacji RNA, odwrotnej transkrypcji i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qPCR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dla genu BCR – ABL i genu referencyjnego ABL w jednym kartridżu, umożliwiający uzyskanie wyniku do 3 godzin od otrzymania próbki CE-IVD), do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uzycia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GeneXpert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IV, zestaw na 10 reakcji.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0B7" w:rsidRPr="003B4229" w:rsidRDefault="005F10B7" w:rsidP="005F10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8 </w:t>
            </w: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op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0B7" w:rsidRPr="003B4229" w:rsidRDefault="005F10B7" w:rsidP="00715C0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0B7" w:rsidRPr="003B4229" w:rsidRDefault="005F10B7" w:rsidP="00715C0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0B7" w:rsidRPr="003B4229" w:rsidRDefault="005F10B7" w:rsidP="00715C0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0B7" w:rsidRPr="003B4229" w:rsidRDefault="005F10B7" w:rsidP="00715C0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F10B7" w:rsidRPr="003B4229" w:rsidTr="00715C02">
        <w:trPr>
          <w:trHeight w:val="342"/>
        </w:trPr>
        <w:tc>
          <w:tcPr>
            <w:tcW w:w="6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0B7" w:rsidRPr="003B4229" w:rsidRDefault="005F10B7" w:rsidP="005F10B7">
            <w:pPr>
              <w:widowControl w:val="0"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0B7" w:rsidRPr="003B4229" w:rsidRDefault="003A2DDA" w:rsidP="003A2DDA">
            <w:pP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Zestaw do ilościowego oznaczania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transkryptów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190</w:t>
            </w: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genu BCR-ABL w krwi obwodowej do izolacji RNA, odwrotnej transkrypcji i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qPCR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dla genu BCR – ABL i genu referencyjnego ABL w jednym kartridżu, </w:t>
            </w: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umożliwiający</w:t>
            </w: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uzyskanie wyniku do 3 godzin od otrzymania próbki </w:t>
            </w: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CE-IVD), do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uzycia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GeneXpert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, zestaw na 10 reakcji.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0B7" w:rsidRPr="003B4229" w:rsidRDefault="005F10B7" w:rsidP="005F10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6 op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0B7" w:rsidRPr="003B4229" w:rsidRDefault="005F10B7" w:rsidP="00715C0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0B7" w:rsidRPr="003B4229" w:rsidRDefault="005F10B7" w:rsidP="00715C0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0B7" w:rsidRPr="003B4229" w:rsidRDefault="005F10B7" w:rsidP="00715C0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0B7" w:rsidRPr="003B4229" w:rsidRDefault="005F10B7" w:rsidP="00715C0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F10B7" w:rsidRPr="003B4229" w:rsidTr="00715C02">
        <w:trPr>
          <w:trHeight w:val="342"/>
        </w:trPr>
        <w:tc>
          <w:tcPr>
            <w:tcW w:w="6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0B7" w:rsidRPr="003B4229" w:rsidRDefault="005F10B7" w:rsidP="005F10B7">
            <w:pPr>
              <w:widowControl w:val="0"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DDA" w:rsidRDefault="005F10B7" w:rsidP="00715C02">
            <w:pP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Zestaw do ilościowego oznaczania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transkryptów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genu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nukleofosminy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(NPMI) (typ A, B i D w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eksonie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12) w krwi obwodowej, do izolacji RNA, odwrotnej transkrypcji i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qPCR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w jednym kartridżu,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umozliwiajacy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uzyskanie wyniku do 3 godzin. Od otrzymania próbki (CE-IVD), do użycia z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GeneXpert</w:t>
            </w:r>
            <w:proofErr w:type="spellEnd"/>
            <w:r w:rsidR="003A2DDA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, </w:t>
            </w:r>
          </w:p>
          <w:p w:rsidR="005F10B7" w:rsidRPr="003B4229" w:rsidRDefault="003A2DDA" w:rsidP="00715C02">
            <w:pP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zestaw na 10 reakcji.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0B7" w:rsidRPr="003B4229" w:rsidRDefault="005F10B7" w:rsidP="005F10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</w:t>
            </w: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op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0B7" w:rsidRPr="003B4229" w:rsidRDefault="005F10B7" w:rsidP="00715C0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0B7" w:rsidRPr="003B4229" w:rsidRDefault="005F10B7" w:rsidP="00715C0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0B7" w:rsidRPr="003B4229" w:rsidRDefault="005F10B7" w:rsidP="00715C0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0B7" w:rsidRPr="003B4229" w:rsidRDefault="005F10B7" w:rsidP="00715C0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F10B7" w:rsidRPr="003B4229" w:rsidTr="00715C02">
        <w:trPr>
          <w:gridAfter w:val="1"/>
          <w:wAfter w:w="1984" w:type="dxa"/>
        </w:trPr>
        <w:tc>
          <w:tcPr>
            <w:tcW w:w="1041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0B7" w:rsidRPr="003B4229" w:rsidRDefault="005F10B7" w:rsidP="00715C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Razem brutto: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0B7" w:rsidRPr="003B4229" w:rsidRDefault="005F10B7" w:rsidP="00715C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5F10B7" w:rsidRPr="003B4229" w:rsidRDefault="005F10B7" w:rsidP="005F10B7">
      <w:pPr>
        <w:rPr>
          <w:rFonts w:asciiTheme="minorHAnsi" w:hAnsiTheme="minorHAnsi" w:cstheme="minorHAnsi"/>
          <w:sz w:val="22"/>
          <w:szCs w:val="22"/>
        </w:rPr>
      </w:pPr>
    </w:p>
    <w:p w:rsidR="005F10B7" w:rsidRPr="003B4229" w:rsidRDefault="005F10B7" w:rsidP="003A2DDA">
      <w:pPr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F10B7" w:rsidRPr="003B4229" w:rsidRDefault="005F10B7" w:rsidP="005F10B7">
      <w:pPr>
        <w:spacing w:after="120"/>
        <w:ind w:left="4500"/>
        <w:jc w:val="center"/>
        <w:rPr>
          <w:rFonts w:asciiTheme="minorHAnsi" w:hAnsiTheme="minorHAnsi" w:cstheme="minorHAnsi"/>
          <w:sz w:val="22"/>
          <w:szCs w:val="22"/>
        </w:rPr>
      </w:pPr>
    </w:p>
    <w:p w:rsidR="005F10B7" w:rsidRPr="003B4229" w:rsidRDefault="005F10B7" w:rsidP="005F10B7">
      <w:pPr>
        <w:rPr>
          <w:rFonts w:asciiTheme="minorHAnsi" w:hAnsiTheme="minorHAnsi" w:cstheme="minorHAnsi"/>
          <w:sz w:val="22"/>
          <w:szCs w:val="22"/>
        </w:rPr>
      </w:pPr>
    </w:p>
    <w:p w:rsidR="005F10B7" w:rsidRPr="003B4229" w:rsidRDefault="005F10B7" w:rsidP="003A2DDA">
      <w:pPr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i/>
          <w:iCs/>
          <w:kern w:val="2"/>
          <w:sz w:val="22"/>
          <w:szCs w:val="22"/>
          <w:lang w:eastAsia="zh-CN"/>
        </w:rPr>
        <w:t>(</w:t>
      </w:r>
      <w:r w:rsidRPr="003B4229">
        <w:rPr>
          <w:rFonts w:asciiTheme="minorHAnsi" w:hAnsiTheme="minorHAnsi" w:cstheme="minorHAnsi"/>
          <w:sz w:val="22"/>
          <w:szCs w:val="22"/>
        </w:rPr>
        <w:t>podpis kwalifikowany/ zaufany/ elektroniczny podpis osobisty</w:t>
      </w:r>
      <w:r w:rsidRPr="003B4229">
        <w:rPr>
          <w:rFonts w:asciiTheme="minorHAnsi" w:hAnsiTheme="minorHAnsi" w:cstheme="minorHAnsi"/>
          <w:i/>
          <w:iCs/>
          <w:kern w:val="2"/>
          <w:sz w:val="22"/>
          <w:szCs w:val="22"/>
          <w:lang w:eastAsia="zh-CN"/>
        </w:rPr>
        <w:t>)</w:t>
      </w:r>
      <w:bookmarkStart w:id="0" w:name="_GoBack"/>
      <w:bookmarkEnd w:id="0"/>
    </w:p>
    <w:sectPr w:rsidR="005F10B7" w:rsidRPr="003B4229" w:rsidSect="00132DB5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563"/>
    <w:multiLevelType w:val="hybridMultilevel"/>
    <w:tmpl w:val="0CAEECDE"/>
    <w:lvl w:ilvl="0" w:tplc="B7DE6D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93F89"/>
    <w:multiLevelType w:val="hybridMultilevel"/>
    <w:tmpl w:val="5C1AA4F0"/>
    <w:lvl w:ilvl="0" w:tplc="11A68424">
      <w:start w:val="4"/>
      <w:numFmt w:val="upperRoman"/>
      <w:lvlText w:val="%1."/>
      <w:lvlJc w:val="left"/>
      <w:pPr>
        <w:tabs>
          <w:tab w:val="num" w:pos="780"/>
        </w:tabs>
        <w:ind w:left="420" w:hanging="360"/>
      </w:pPr>
    </w:lvl>
    <w:lvl w:ilvl="1" w:tplc="CC9C2DF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4274E050">
      <w:start w:val="18"/>
      <w:numFmt w:val="upperRoman"/>
      <w:lvlText w:val="%3."/>
      <w:lvlJc w:val="left"/>
      <w:pPr>
        <w:tabs>
          <w:tab w:val="num" w:pos="2760"/>
        </w:tabs>
        <w:ind w:left="2400" w:hanging="360"/>
      </w:pPr>
    </w:lvl>
    <w:lvl w:ilvl="3" w:tplc="43C4260E">
      <w:start w:val="2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4" w:tplc="9FF6158A">
      <w:start w:val="1"/>
      <w:numFmt w:val="lowerLetter"/>
      <w:lvlText w:val="%5)"/>
      <w:lvlJc w:val="left"/>
      <w:pPr>
        <w:tabs>
          <w:tab w:val="num" w:pos="587"/>
        </w:tabs>
        <w:ind w:left="567" w:hanging="34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E8F5550"/>
    <w:multiLevelType w:val="hybridMultilevel"/>
    <w:tmpl w:val="362A5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E550B5"/>
    <w:multiLevelType w:val="hybridMultilevel"/>
    <w:tmpl w:val="6B6EB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8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53"/>
    <w:rsid w:val="00132DB5"/>
    <w:rsid w:val="001B2FDD"/>
    <w:rsid w:val="00284A88"/>
    <w:rsid w:val="002A2222"/>
    <w:rsid w:val="003A2DDA"/>
    <w:rsid w:val="003B4229"/>
    <w:rsid w:val="00413C87"/>
    <w:rsid w:val="00414EA8"/>
    <w:rsid w:val="004A356D"/>
    <w:rsid w:val="00591665"/>
    <w:rsid w:val="005F10B7"/>
    <w:rsid w:val="005F6C4D"/>
    <w:rsid w:val="00790586"/>
    <w:rsid w:val="007E1EC7"/>
    <w:rsid w:val="007F108C"/>
    <w:rsid w:val="00851A07"/>
    <w:rsid w:val="00881C39"/>
    <w:rsid w:val="008A6D06"/>
    <w:rsid w:val="00911275"/>
    <w:rsid w:val="00984A67"/>
    <w:rsid w:val="009C041A"/>
    <w:rsid w:val="009F704D"/>
    <w:rsid w:val="00AC65AA"/>
    <w:rsid w:val="00AD5C44"/>
    <w:rsid w:val="00B041F0"/>
    <w:rsid w:val="00B96A12"/>
    <w:rsid w:val="00D94745"/>
    <w:rsid w:val="00E37099"/>
    <w:rsid w:val="00F15B2B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48F92-749E-4D51-8452-39D6F397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F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2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22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A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cen-gen</dc:creator>
  <cp:keywords/>
  <dc:description/>
  <cp:lastModifiedBy>Agnieszka Wąsiewicz</cp:lastModifiedBy>
  <cp:revision>3</cp:revision>
  <cp:lastPrinted>2023-05-23T11:04:00Z</cp:lastPrinted>
  <dcterms:created xsi:type="dcterms:W3CDTF">2024-07-23T09:58:00Z</dcterms:created>
  <dcterms:modified xsi:type="dcterms:W3CDTF">2024-10-30T09:30:00Z</dcterms:modified>
</cp:coreProperties>
</file>